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tiff" ContentType="image/tif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3"/>
        <w:framePr w:wrap="around"/>
      </w:pPr>
      <w:bookmarkStart w:id="314" w:name="_GoBack"/>
      <w:bookmarkEnd w:id="314"/>
      <w:r>
        <w:rPr>
          <w:rFonts w:ascii="Times New Roman"/>
        </w:rPr>
        <w:t>ICS</w:t>
      </w:r>
      <w:r>
        <w:rPr>
          <w:rFonts w:hint="eastAsia" w:ascii="MS Mincho" w:hAnsi="MS Mincho" w:eastAsia="MS Mincho" w:cs="MS Mincho"/>
        </w:rPr>
        <w:t> </w:t>
      </w:r>
      <w:bookmarkStart w:id="0" w:name="ICS"/>
      <w:r>
        <w:fldChar w:fldCharType="begin">
          <w:ffData>
            <w:name w:val="ICS"/>
            <w:enabled/>
            <w:calcOnExit w:val="0"/>
            <w:helpText w:type="text" w:val="请输入正确的ICS号："/>
            <w:textInput>
              <w:default w:val="点击此处添加ICS号"/>
            </w:textInput>
          </w:ffData>
        </w:fldChar>
      </w:r>
      <w:r>
        <w:instrText xml:space="preserve"> FORMTEXT </w:instrText>
      </w:r>
      <w:r>
        <w:fldChar w:fldCharType="separate"/>
      </w:r>
      <w:r>
        <w:rPr>
          <w:rFonts w:hint="eastAsia"/>
        </w:rPr>
        <w:t>83.060</w:t>
      </w:r>
      <w:r>
        <w:fldChar w:fldCharType="end"/>
      </w:r>
      <w:bookmarkEnd w:id="0"/>
    </w:p>
    <w:p>
      <w:pPr>
        <w:pStyle w:val="123"/>
        <w:framePr w:wrap="around"/>
      </w:pPr>
      <w:r>
        <w:rPr>
          <w:rFonts w:hint="eastAsia"/>
        </w:rPr>
        <w:t>CCS</w:t>
      </w:r>
      <w:r>
        <w:t xml:space="preserve"> </w:t>
      </w:r>
      <w:r>
        <w:rPr>
          <w:rFonts w:hint="eastAsia"/>
        </w:rPr>
        <w:t>G 40</w:t>
      </w:r>
    </w:p>
    <w:p>
      <w:pPr>
        <w:pStyle w:val="66"/>
        <w:framePr w:wrap="around"/>
      </w:pPr>
      <w:r>
        <w:drawing>
          <wp:inline distT="0" distB="0" distL="0" distR="0">
            <wp:extent cx="1439545" cy="716280"/>
            <wp:effectExtent l="0" t="0" r="8255" b="7620"/>
            <wp:docPr id="1" name="图片 1"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39545" cy="716280"/>
                    </a:xfrm>
                    <a:prstGeom prst="rect">
                      <a:avLst/>
                    </a:prstGeom>
                    <a:noFill/>
                    <a:ln>
                      <a:noFill/>
                    </a:ln>
                  </pic:spPr>
                </pic:pic>
              </a:graphicData>
            </a:graphic>
          </wp:inline>
        </w:drawing>
      </w:r>
    </w:p>
    <w:p>
      <w:pPr>
        <w:pStyle w:val="67"/>
        <w:framePr w:wrap="around"/>
      </w:pPr>
      <w:r>
        <w:rPr>
          <w:rFonts w:hint="eastAsia"/>
        </w:rPr>
        <w:t>中华人民共和国国家标准</w:t>
      </w:r>
    </w:p>
    <w:p>
      <w:pPr>
        <w:pStyle w:val="47"/>
        <w:framePr w:wrap="around"/>
        <w:wordWrap w:val="0"/>
      </w:pPr>
      <w:r>
        <w:rPr>
          <w:rFonts w:ascii="Times New Roman"/>
        </w:rPr>
        <w:t xml:space="preserve">GB/T </w:t>
      </w:r>
      <w:bookmarkStart w:id="1" w:name="StdNo1"/>
      <w:r>
        <w:fldChar w:fldCharType="begin">
          <w:ffData>
            <w:name w:val="StdNo1"/>
            <w:enabled/>
            <w:calcOnExit w:val="0"/>
            <w:textInput>
              <w:default w:val="XXXXX"/>
            </w:textInput>
          </w:ffData>
        </w:fldChar>
      </w:r>
      <w:r>
        <w:instrText xml:space="preserve"> FORMTEXT </w:instrText>
      </w:r>
      <w:r>
        <w:fldChar w:fldCharType="separate"/>
      </w:r>
      <w:r>
        <w:t>XXXXX</w:t>
      </w:r>
      <w:r>
        <w:fldChar w:fldCharType="end"/>
      </w:r>
      <w:bookmarkEnd w:id="1"/>
      <w:r>
        <w:t>—</w:t>
      </w:r>
      <w:bookmarkStart w:id="2" w:name="StdNo2"/>
      <w:r>
        <w:fldChar w:fldCharType="begin">
          <w:ffData>
            <w:name w:val="StdNo2"/>
            <w:enabled/>
            <w:calcOnExit w:val="0"/>
            <w:textInput>
              <w:default w:val="XXXX"/>
              <w:maxLength w:val="4"/>
            </w:textInput>
          </w:ffData>
        </w:fldChar>
      </w:r>
      <w:r>
        <w:instrText xml:space="preserve"> FORMTEXT </w:instrText>
      </w:r>
      <w:r>
        <w:fldChar w:fldCharType="separate"/>
      </w:r>
      <w:r>
        <w:t>XXXX</w:t>
      </w:r>
      <w:r>
        <w:fldChar w:fldCharType="end"/>
      </w:r>
      <w:bookmarkEnd w:id="2"/>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shd w:val="clear" w:color="auto" w:fill="auto"/>
          </w:tcPr>
          <w:p>
            <w:pPr>
              <w:pStyle w:val="76"/>
              <w:framePr w:wrap="around"/>
            </w:pPr>
            <w:bookmarkStart w:id="3" w:name="DT"/>
            <w:r>
              <mc:AlternateContent>
                <mc:Choice Requires="wps">
                  <w:drawing>
                    <wp:anchor distT="0" distB="0" distL="114300" distR="114300" simplePos="0" relativeHeight="251661312" behindDoc="1" locked="0" layoutInCell="1" allowOverlap="1">
                      <wp:simplePos x="0" y="0"/>
                      <wp:positionH relativeFrom="column">
                        <wp:posOffset>4734560</wp:posOffset>
                      </wp:positionH>
                      <wp:positionV relativeFrom="paragraph">
                        <wp:posOffset>34290</wp:posOffset>
                      </wp:positionV>
                      <wp:extent cx="1143000" cy="228600"/>
                      <wp:effectExtent l="0" t="0" r="3175" b="0"/>
                      <wp:wrapNone/>
                      <wp:docPr id="6" name="DT"/>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DT" o:spid="_x0000_s1026" o:spt="1" style="position:absolute;left:0pt;margin-left:372.8pt;margin-top:2.7pt;height:18pt;width:90pt;z-index:-251655168;mso-width-relative:page;mso-height-relative:page;" fillcolor="#FFFFFF" filled="t" stroked="f" coordsize="21600,21600" o:gfxdata="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mDyy9YAAAAIAQAADwAAAAAAAAABACAAAAAiAAAA&#10;ZHJzL2Rvd25yZXYueG1sUEsBAhQAFAAAAAgAh07iQID0rnsJAgAAIAQAAA4AAAAAAAAAAQAgAAAA&#10;JQEAAGRycy9lMm9Eb2MueG1sUEsFBgAAAAAGAAYAWQEAAKAFAAAAAA==&#10;">
                      <v:fill on="t" focussize="0,0"/>
                      <v:stroke on="f"/>
                      <v:imagedata o:title=""/>
                      <o:lock v:ext="edit" aspectratio="f"/>
                    </v:rect>
                  </w:pict>
                </mc:Fallback>
              </mc:AlternateContent>
            </w:r>
            <w:bookmarkEnd w:id="3"/>
            <w:r>
              <w:t xml:space="preserve"> </w:t>
            </w:r>
          </w:p>
        </w:tc>
      </w:tr>
    </w:tbl>
    <w:p>
      <w:pPr>
        <w:pStyle w:val="47"/>
        <w:framePr w:wrap="around"/>
      </w:pPr>
    </w:p>
    <w:p>
      <w:pPr>
        <w:pStyle w:val="47"/>
        <w:framePr w:wrap="around"/>
      </w:pPr>
    </w:p>
    <w:p>
      <w:pPr>
        <w:pStyle w:val="78"/>
        <w:framePr w:wrap="around" w:x="1531" w:y="6316"/>
      </w:pPr>
      <w:bookmarkStart w:id="4" w:name="StdName"/>
      <w:r>
        <w:fldChar w:fldCharType="begin">
          <w:ffData>
            <w:name w:val="StdName"/>
            <w:enabled/>
            <w:calcOnExit w:val="0"/>
            <w:textInput>
              <w:default w:val="点击此处添加标准名称"/>
            </w:textInput>
          </w:ffData>
        </w:fldChar>
      </w:r>
      <w:r>
        <w:instrText xml:space="preserve"> FORMTEXT </w:instrText>
      </w:r>
      <w:r>
        <w:fldChar w:fldCharType="separate"/>
      </w:r>
      <w:r>
        <w:rPr>
          <w:rFonts w:hint="eastAsia"/>
        </w:rPr>
        <w:t>橡胶与橡胶制品  统计学在物理试验上的应用指南</w:t>
      </w:r>
      <w:r>
        <w:fldChar w:fldCharType="end"/>
      </w:r>
      <w:bookmarkEnd w:id="4"/>
    </w:p>
    <w:p>
      <w:pPr>
        <w:pStyle w:val="79"/>
        <w:framePr w:wrap="around" w:x="1531" w:y="6316"/>
      </w:pPr>
      <w:bookmarkStart w:id="5" w:name="StdEnglishName"/>
      <w:r>
        <w:fldChar w:fldCharType="begin">
          <w:ffData>
            <w:name w:val="StdEnglishName"/>
            <w:enabled/>
            <w:calcOnExit w:val="0"/>
            <w:textInput>
              <w:default w:val="点击此处添加标准英文译名"/>
            </w:textInput>
          </w:ffData>
        </w:fldChar>
      </w:r>
      <w:r>
        <w:instrText xml:space="preserve"> FORMTEXT </w:instrText>
      </w:r>
      <w:r>
        <w:fldChar w:fldCharType="separate"/>
      </w:r>
      <w:r>
        <w:t>Rubber and rubber products — Guide on the application of statistics to physical testing</w:t>
      </w:r>
      <w:r>
        <w:fldChar w:fldCharType="end"/>
      </w:r>
      <w:bookmarkEnd w:id="5"/>
    </w:p>
    <w:p>
      <w:pPr>
        <w:pStyle w:val="80"/>
        <w:framePr w:wrap="around" w:x="1531" w:y="6316"/>
      </w:pPr>
      <w:r>
        <w:fldChar w:fldCharType="begin">
          <w:ffData>
            <w:name w:val="YZBS"/>
            <w:enabled/>
            <w:calcOnExit w:val="0"/>
            <w:textInput>
              <w:default w:val="ISO 19003:2006, MOD"/>
            </w:textInput>
          </w:ffData>
        </w:fldChar>
      </w:r>
      <w:r>
        <w:instrText xml:space="preserve"> </w:instrText>
      </w:r>
      <w:bookmarkStart w:id="6" w:name="YZBS"/>
      <w:r>
        <w:instrText xml:space="preserve">FORMTEXT </w:instrText>
      </w:r>
      <w:r>
        <w:fldChar w:fldCharType="separate"/>
      </w:r>
      <w:r>
        <w:t>ISO 19003:2006, MOD</w:t>
      </w:r>
      <w:r>
        <w:fldChar w:fldCharType="end"/>
      </w:r>
      <w:bookmarkEnd w:id="6"/>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81"/>
              <w:framePr w:wrap="around" w:x="1531" w:y="6316"/>
            </w:pPr>
            <w:r>
              <mc:AlternateContent>
                <mc:Choice Requires="wps">
                  <w:drawing>
                    <wp:anchor distT="0" distB="0" distL="114300" distR="114300" simplePos="0" relativeHeight="251662336" behindDoc="1" locked="1" layoutInCell="1" allowOverlap="1">
                      <wp:simplePos x="0" y="0"/>
                      <wp:positionH relativeFrom="column">
                        <wp:posOffset>2200910</wp:posOffset>
                      </wp:positionH>
                      <wp:positionV relativeFrom="paragraph">
                        <wp:posOffset>573405</wp:posOffset>
                      </wp:positionV>
                      <wp:extent cx="1905000" cy="254000"/>
                      <wp:effectExtent l="635" t="0" r="0" b="4445"/>
                      <wp:wrapNone/>
                      <wp:docPr id="5" name="RQ"/>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Q" o:spid="_x0000_s1026" o:spt="1" style="position:absolute;left:0pt;margin-left:173.3pt;margin-top:45.15pt;height:20pt;width:150pt;z-index:-251654144;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ia6S1QAAAAoBAAAPAAAAAAAAAAEAIAAAACIAAABk&#10;cnMvZG93bnJldi54bWxQSwECFAAUAAAACACHTuJASxLv7QkCAAAgBAAADgAAAAAAAAABACAAAAAk&#10;AQAAZHJzL2Uyb0RvYy54bWxQSwUGAAAAAAYABgBZAQAAnwUAAAAA&#10;">
                      <v:fill on="t" focussize="0,0"/>
                      <v:stroke on="f"/>
                      <v:imagedata o:title=""/>
                      <o:lock v:ext="edit" aspectratio="f"/>
                      <w10:anchorlock/>
                    </v:rect>
                  </w:pict>
                </mc:Fallback>
              </mc:AlternateContent>
            </w:r>
            <w:r>
              <w:t>(征求意见稿</w:t>
            </w:r>
            <w:r>
              <w:rPr>
                <w:rFonts w:hint="eastAsi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shd w:val="clear" w:color="auto" w:fill="auto"/>
          </w:tcPr>
          <w:p>
            <w:pPr>
              <w:pStyle w:val="82"/>
              <w:framePr w:wrap="around" w:x="1531" w:y="6316"/>
            </w:pPr>
            <w:r>
              <w:fldChar w:fldCharType="begin">
                <w:ffData>
                  <w:name w:val="WCRQ"/>
                  <w:enabled/>
                  <w:calcOnExit w:val="0"/>
                  <w:textInput>
                    <w:default w:val="（本稿完成日期：2023年1月9日）"/>
                  </w:textInput>
                </w:ffData>
              </w:fldChar>
            </w:r>
            <w:r>
              <w:instrText xml:space="preserve"> </w:instrText>
            </w:r>
            <w:bookmarkStart w:id="7" w:name="WCRQ"/>
            <w:r>
              <w:instrText xml:space="preserve">FORMTEXT </w:instrText>
            </w:r>
            <w:r>
              <w:fldChar w:fldCharType="separate"/>
            </w:r>
            <w:r>
              <w:rPr>
                <w:rFonts w:hint="eastAsia"/>
              </w:rPr>
              <w:t>（本稿完成日期：2023年1月9日）</w:t>
            </w:r>
            <w:r>
              <w:fldChar w:fldCharType="end"/>
            </w:r>
            <w:bookmarkEnd w:id="7"/>
          </w:p>
        </w:tc>
      </w:tr>
    </w:tbl>
    <w:p>
      <w:pPr>
        <w:pStyle w:val="131"/>
        <w:framePr w:wrap="around" w:hAnchor="page" w:x="1550" w:y="14143"/>
      </w:pPr>
      <w:bookmarkStart w:id="8" w:name="FY"/>
      <w:r>
        <w:rPr>
          <w:rFonts w:ascii="黑体"/>
        </w:rPr>
        <w:fldChar w:fldCharType="begin">
          <w:ffData>
            <w:name w:val="FY"/>
            <w:enabled/>
            <w:calcOnExit w:val="0"/>
            <w:entryMacro w:val="ShowHelp8"/>
            <w:textInput>
              <w:default w:val="XXXX"/>
              <w:maxLength w:val="4"/>
            </w:textInput>
          </w:ffData>
        </w:fldChar>
      </w:r>
      <w:r>
        <w:rPr>
          <w:rFonts w:ascii="黑体"/>
        </w:rPr>
        <w:instrText xml:space="preserve"> FORMTEXT </w:instrText>
      </w:r>
      <w:r>
        <w:rPr>
          <w:rFonts w:ascii="黑体"/>
        </w:rPr>
        <w:fldChar w:fldCharType="separate"/>
      </w:r>
      <w:r>
        <w:rPr>
          <w:rFonts w:ascii="黑体"/>
        </w:rPr>
        <w:t>XXXX</w:t>
      </w:r>
      <w:r>
        <w:rPr>
          <w:rFonts w:ascii="黑体"/>
        </w:rPr>
        <w:fldChar w:fldCharType="end"/>
      </w:r>
      <w:bookmarkEnd w:id="8"/>
      <w:r>
        <w:t xml:space="preserve"> </w:t>
      </w:r>
      <w:r>
        <w:rPr>
          <w:rFonts w:ascii="黑体"/>
        </w:rPr>
        <w:t>-</w:t>
      </w:r>
      <w:r>
        <w:t xml:space="preserve"> </w:t>
      </w:r>
      <w:bookmarkStart w:id="9" w:name="FM"/>
      <w:r>
        <w:rPr>
          <w:rFonts w:ascii="黑体"/>
        </w:rPr>
        <w:fldChar w:fldCharType="begin">
          <w:ffData>
            <w:name w:val="FM"/>
            <w:enabled/>
            <w:calcOnExit w:val="0"/>
            <w:entryMacro w:val="ShowHelp8"/>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9"/>
      <w:r>
        <w:t xml:space="preserve"> </w:t>
      </w:r>
      <w:r>
        <w:rPr>
          <w:rFonts w:ascii="黑体"/>
        </w:rPr>
        <w:t>-</w:t>
      </w:r>
      <w:r>
        <w:t xml:space="preserve"> </w:t>
      </w:r>
      <w:bookmarkStart w:id="10" w:name="FD"/>
      <w:r>
        <w:rPr>
          <w:rFonts w:ascii="黑体"/>
        </w:rPr>
        <w:fldChar w:fldCharType="begin">
          <w:ffData>
            <w:name w:val="FD"/>
            <w:enabled/>
            <w:calcOnExit w:val="0"/>
            <w:entryMacro w:val="ShowHelp8"/>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10"/>
      <w:r>
        <w:rPr>
          <w:rFonts w:hint="eastAsia"/>
        </w:rPr>
        <w:t>发布</w:t>
      </w:r>
      <w:r>
        <mc:AlternateContent>
          <mc:Choice Requires="wps">
            <w:drawing>
              <wp:anchor distT="0" distB="0" distL="114300" distR="114300" simplePos="0" relativeHeight="251659264" behindDoc="0" locked="1" layoutInCell="1" allowOverlap="1">
                <wp:simplePos x="0" y="0"/>
                <wp:positionH relativeFrom="column">
                  <wp:posOffset>-635</wp:posOffset>
                </wp:positionH>
                <wp:positionV relativeFrom="page">
                  <wp:posOffset>9251950</wp:posOffset>
                </wp:positionV>
                <wp:extent cx="6120130" cy="0"/>
                <wp:effectExtent l="13970" t="12700" r="9525" b="6350"/>
                <wp:wrapNone/>
                <wp:docPr id="3" name="Line 10"/>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10" o:spid="_x0000_s1026" o:spt="20" style="position:absolute;left:0pt;margin-left:-0.05pt;margin-top:728.5pt;height:0pt;width:481.9pt;mso-position-vertical-relative:page;z-index:251659264;mso-width-relative:page;mso-height-relative:page;" filled="f" stroked="t" coordsize="21600,21600" o:gfxdata="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YdrPNYAAAALAQAADwAAAAAAAAABACAAAAAiAAAAZHJzL2Rv&#10;d25yZXYueG1sUEsBAhQAFAAAAAgAh07iQFtSG4nKAQAAoAMAAA4AAAAAAAAAAQAgAAAAJQEAAGRy&#10;cy9lMm9Eb2MueG1sUEsFBgAAAAAGAAYAWQEAAGEFAAAAAA==&#10;">
                <v:fill on="f" focussize="0,0"/>
                <v:stroke color="#000000" joinstyle="round"/>
                <v:imagedata o:title=""/>
                <o:lock v:ext="edit" aspectratio="f"/>
                <w10:anchorlock/>
              </v:line>
            </w:pict>
          </mc:Fallback>
        </mc:AlternateContent>
      </w:r>
    </w:p>
    <w:p>
      <w:pPr>
        <w:pStyle w:val="132"/>
        <w:framePr w:wrap="around" w:hAnchor="page" w:x="7010" w:y="14129"/>
      </w:pPr>
      <w:bookmarkStart w:id="11" w:name="SY"/>
      <w:r>
        <w:rPr>
          <w:rFonts w:ascii="黑体"/>
        </w:rPr>
        <w:fldChar w:fldCharType="begin">
          <w:ffData>
            <w:name w:val="SY"/>
            <w:enabled/>
            <w:calcOnExit w:val="0"/>
            <w:entryMacro w:val="ShowHelp9"/>
            <w:textInput>
              <w:default w:val="XXXX"/>
              <w:maxLength w:val="4"/>
            </w:textInput>
          </w:ffData>
        </w:fldChar>
      </w:r>
      <w:r>
        <w:rPr>
          <w:rFonts w:ascii="黑体"/>
        </w:rPr>
        <w:instrText xml:space="preserve"> FORMTEXT </w:instrText>
      </w:r>
      <w:r>
        <w:rPr>
          <w:rFonts w:ascii="黑体"/>
        </w:rPr>
        <w:fldChar w:fldCharType="separate"/>
      </w:r>
      <w:r>
        <w:rPr>
          <w:rFonts w:ascii="黑体"/>
        </w:rPr>
        <w:t>XXXX</w:t>
      </w:r>
      <w:r>
        <w:rPr>
          <w:rFonts w:ascii="黑体"/>
        </w:rPr>
        <w:fldChar w:fldCharType="end"/>
      </w:r>
      <w:bookmarkEnd w:id="11"/>
      <w:r>
        <w:t xml:space="preserve"> </w:t>
      </w:r>
      <w:r>
        <w:rPr>
          <w:rFonts w:ascii="黑体"/>
        </w:rPr>
        <w:t>-</w:t>
      </w:r>
      <w:r>
        <w:t xml:space="preserve"> </w:t>
      </w:r>
      <w:bookmarkStart w:id="12" w:name="SM"/>
      <w:r>
        <w:rPr>
          <w:rFonts w:ascii="黑体"/>
        </w:rPr>
        <w:fldChar w:fldCharType="begin">
          <w:ffData>
            <w:name w:val="SM"/>
            <w:enabled/>
            <w:calcOnExit w:val="0"/>
            <w:entryMacro w:val="ShowHelp9"/>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12"/>
      <w:r>
        <w:t xml:space="preserve"> </w:t>
      </w:r>
      <w:r>
        <w:rPr>
          <w:rFonts w:ascii="黑体"/>
        </w:rPr>
        <w:t>-</w:t>
      </w:r>
      <w:r>
        <w:t xml:space="preserve"> </w:t>
      </w:r>
      <w:bookmarkStart w:id="13" w:name="SD"/>
      <w:r>
        <w:rPr>
          <w:rFonts w:ascii="黑体"/>
        </w:rPr>
        <w:fldChar w:fldCharType="begin">
          <w:ffData>
            <w:name w:val="SD"/>
            <w:enabled/>
            <w:calcOnExit w:val="0"/>
            <w:entryMacro w:val="ShowHelp9"/>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rPr>
          <w:rFonts w:hint="eastAsia"/>
        </w:rPr>
        <w:t>实施</w:t>
      </w:r>
    </w:p>
    <w:p>
      <w:pPr>
        <w:pStyle w:val="74"/>
        <w:framePr w:wrap="around"/>
      </w:pPr>
      <w:r>
        <w:drawing>
          <wp:inline distT="0" distB="0" distL="0" distR="0">
            <wp:extent cx="2868930" cy="545465"/>
            <wp:effectExtent l="0" t="0" r="762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8930" cy="545465"/>
                    </a:xfrm>
                    <a:prstGeom prst="rect">
                      <a:avLst/>
                    </a:prstGeom>
                  </pic:spPr>
                </pic:pic>
              </a:graphicData>
            </a:graphic>
          </wp:inline>
        </w:drawing>
      </w:r>
    </w:p>
    <w:p>
      <w:pPr>
        <w:pStyle w:val="23"/>
        <w:sectPr>
          <w:headerReference r:id="rId5" w:type="even"/>
          <w:footerReference r:id="rId6" w:type="even"/>
          <w:pgSz w:w="11906" w:h="16838"/>
          <w:pgMar w:top="567" w:right="850" w:bottom="1134" w:left="1418" w:header="0" w:footer="0" w:gutter="0"/>
          <w:pgNumType w:start="1"/>
          <w:cols w:space="425" w:num="1"/>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2339975</wp:posOffset>
                </wp:positionV>
                <wp:extent cx="6120130" cy="0"/>
                <wp:effectExtent l="13970" t="13970" r="9525" b="5080"/>
                <wp:wrapNone/>
                <wp:docPr id="2" name="Line 1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11" o:spid="_x0000_s1026" o:spt="20" style="position:absolute;left:0pt;margin-left:-0.05pt;margin-top:184.25pt;height:0pt;width:481.9pt;z-index:251660288;mso-width-relative:page;mso-height-relative:page;" filled="f" stroked="t" coordsize="21600,21600" o:gfxdata="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CQeJf1wAAAAkBAAAPAAAAAAAAAAEAIAAAACIAAABkcnMvZG93&#10;bnJldi54bWxQSwECFAAUAAAACACHTuJA3SaJLsgBAACgAwAADgAAAAAAAAABACAAAAAmAQAAZHJz&#10;L2Uyb0RvYy54bWxQSwUGAAAAAAYABgBZAQAAYAUAAAAA&#10;">
                <v:fill on="f" focussize="0,0"/>
                <v:stroke color="#000000" joinstyle="round"/>
                <v:imagedata o:title=""/>
                <o:lock v:ext="edit" aspectratio="f"/>
              </v:line>
            </w:pict>
          </mc:Fallback>
        </mc:AlternateContent>
      </w:r>
    </w:p>
    <w:sdt>
      <w:sdtPr>
        <w:rPr>
          <w:rFonts w:ascii="Times New Roman" w:hAnsi="Times New Roman" w:eastAsia="宋体" w:cs="Times New Roman"/>
          <w:color w:val="auto"/>
          <w:kern w:val="2"/>
          <w:sz w:val="21"/>
          <w:szCs w:val="24"/>
          <w:lang w:val="zh-CN"/>
        </w:rPr>
        <w:id w:val="31701681"/>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151"/>
          </w:pPr>
          <w:r>
            <w:rPr>
              <w:lang w:val="zh-CN"/>
            </w:rPr>
            <w:t>目录</w:t>
          </w:r>
        </w:p>
        <w:p>
          <w:pPr>
            <w:pStyle w:val="19"/>
            <w:rPr>
              <w:rFonts w:asciiTheme="minorHAnsi" w:hAnsiTheme="minorHAnsi" w:eastAsiaTheme="minorEastAsia" w:cstheme="minorBidi"/>
              <w:szCs w:val="22"/>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"_Toc124173891" </w:instrText>
          </w:r>
          <w:r>
            <w:fldChar w:fldCharType="separate"/>
          </w:r>
          <w:r>
            <w:rPr>
              <w:rStyle w:val="38"/>
              <w:rFonts w:hint="eastAsia"/>
            </w:rPr>
            <w:t>前言</w:t>
          </w:r>
          <w:r>
            <w:tab/>
          </w:r>
          <w:r>
            <w:fldChar w:fldCharType="begin"/>
          </w:r>
          <w:r>
            <w:instrText xml:space="preserve"> PAGEREF _Toc124173891 \h </w:instrText>
          </w:r>
          <w:r>
            <w:fldChar w:fldCharType="separate"/>
          </w:r>
          <w:r>
            <w:t>V</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"_Toc124173892" </w:instrText>
          </w:r>
          <w:r>
            <w:fldChar w:fldCharType="separate"/>
          </w:r>
          <w:r>
            <w:rPr>
              <w:rStyle w:val="38"/>
            </w:rPr>
            <w:t>1</w:t>
          </w:r>
          <w:r>
            <w:rPr>
              <w:rStyle w:val="38"/>
              <w:rFonts w:hint="eastAsia"/>
            </w:rPr>
            <w:t xml:space="preserve"> 范围</w:t>
          </w:r>
          <w:r>
            <w:tab/>
          </w:r>
          <w:r>
            <w:fldChar w:fldCharType="begin"/>
          </w:r>
          <w:r>
            <w:instrText xml:space="preserve"> PAGEREF _Toc124173892 \h </w:instrText>
          </w:r>
          <w:r>
            <w:fldChar w:fldCharType="separate"/>
          </w:r>
          <w:r>
            <w:t>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"_Toc124173893" </w:instrText>
          </w:r>
          <w:r>
            <w:fldChar w:fldCharType="separate"/>
          </w:r>
          <w:r>
            <w:rPr>
              <w:rStyle w:val="38"/>
            </w:rPr>
            <w:t>2</w:t>
          </w:r>
          <w:r>
            <w:rPr>
              <w:rStyle w:val="38"/>
              <w:rFonts w:hint="eastAsia"/>
            </w:rPr>
            <w:t xml:space="preserve"> 规范性引用文件</w:t>
          </w:r>
          <w:r>
            <w:tab/>
          </w:r>
          <w:r>
            <w:fldChar w:fldCharType="begin"/>
          </w:r>
          <w:r>
            <w:instrText xml:space="preserve"> PAGEREF _Toc124173893 \h </w:instrText>
          </w:r>
          <w:r>
            <w:fldChar w:fldCharType="separate"/>
          </w:r>
          <w:r>
            <w:t>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"_Toc124173894" </w:instrText>
          </w:r>
          <w:r>
            <w:fldChar w:fldCharType="separate"/>
          </w:r>
          <w:r>
            <w:rPr>
              <w:rStyle w:val="38"/>
            </w:rPr>
            <w:t>3</w:t>
          </w:r>
          <w:r>
            <w:rPr>
              <w:rStyle w:val="38"/>
              <w:rFonts w:hint="eastAsia" w:hAnsi="黑体"/>
            </w:rPr>
            <w:t xml:space="preserve"> 术语和定义</w:t>
          </w:r>
          <w:r>
            <w:tab/>
          </w:r>
          <w:r>
            <w:fldChar w:fldCharType="begin"/>
          </w:r>
          <w:r>
            <w:instrText xml:space="preserve"> PAGEREF _Toc124173894 \h </w:instrText>
          </w:r>
          <w:r>
            <w:fldChar w:fldCharType="separate"/>
          </w:r>
          <w:r>
            <w:t>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"_Toc124173922" </w:instrText>
          </w:r>
          <w:r>
            <w:fldChar w:fldCharType="separate"/>
          </w:r>
          <w:r>
            <w:rPr>
              <w:rStyle w:val="38"/>
            </w:rPr>
            <w:t>4</w:t>
          </w:r>
          <w:r>
            <w:rPr>
              <w:rStyle w:val="38"/>
              <w:rFonts w:hint="eastAsia"/>
            </w:rPr>
            <w:t xml:space="preserve"> 符号</w:t>
          </w:r>
          <w:r>
            <w:tab/>
          </w:r>
          <w:r>
            <w:fldChar w:fldCharType="begin"/>
          </w:r>
          <w:r>
            <w:instrText xml:space="preserve"> PAGEREF _Toc124173922 \h </w:instrText>
          </w:r>
          <w:r>
            <w:fldChar w:fldCharType="separate"/>
          </w:r>
          <w:r>
            <w:t>4</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"_Toc124173923" </w:instrText>
          </w:r>
          <w:r>
            <w:fldChar w:fldCharType="separate"/>
          </w:r>
          <w:r>
            <w:rPr>
              <w:rStyle w:val="38"/>
            </w:rPr>
            <w:t>5</w:t>
          </w:r>
          <w:r>
            <w:rPr>
              <w:rStyle w:val="38"/>
              <w:rFonts w:hint="eastAsia" w:hAnsi="黑体"/>
            </w:rPr>
            <w:t xml:space="preserve"> 试验结果的限制</w:t>
          </w:r>
          <w:r>
            <w:tab/>
          </w:r>
          <w:r>
            <w:fldChar w:fldCharType="begin"/>
          </w:r>
          <w:r>
            <w:instrText xml:space="preserve"> PAGEREF _Toc124173923 \h </w:instrText>
          </w:r>
          <w:r>
            <w:fldChar w:fldCharType="separate"/>
          </w:r>
          <w:r>
            <w:t>5</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"_Toc124173924" </w:instrText>
          </w:r>
          <w:r>
            <w:fldChar w:fldCharType="separate"/>
          </w:r>
          <w:r>
            <w:rPr>
              <w:rStyle w:val="38"/>
            </w:rPr>
            <w:t>5.1</w:t>
          </w:r>
          <w:r>
            <w:rPr>
              <w:rStyle w:val="38"/>
              <w:rFonts w:hint="eastAsia"/>
            </w:rPr>
            <w:t xml:space="preserve"> 变异性</w:t>
          </w:r>
          <w:r>
            <w:tab/>
          </w:r>
          <w:r>
            <w:fldChar w:fldCharType="begin"/>
          </w:r>
          <w:r>
            <w:instrText xml:space="preserve"> PAGEREF _Toc124173924 \h </w:instrText>
          </w:r>
          <w:r>
            <w:fldChar w:fldCharType="separate"/>
          </w:r>
          <w:r>
            <w:t>5</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"_Toc124173925" </w:instrText>
          </w:r>
          <w:r>
            <w:fldChar w:fldCharType="separate"/>
          </w:r>
          <w:r>
            <w:rPr>
              <w:rStyle w:val="38"/>
            </w:rPr>
            <w:t>5.2</w:t>
          </w:r>
          <w:r>
            <w:rPr>
              <w:rStyle w:val="38"/>
              <w:rFonts w:hint="eastAsia" w:hAnsi="黑体"/>
            </w:rPr>
            <w:t xml:space="preserve"> 准确度、正确度和精密度</w:t>
          </w:r>
          <w:r>
            <w:tab/>
          </w:r>
          <w:r>
            <w:fldChar w:fldCharType="begin"/>
          </w:r>
          <w:r>
            <w:instrText xml:space="preserve"> PAGEREF _Toc124173925 \h </w:instrText>
          </w:r>
          <w:r>
            <w:fldChar w:fldCharType="separate"/>
          </w:r>
          <w:r>
            <w:t>7</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"_Toc124173926" </w:instrText>
          </w:r>
          <w:r>
            <w:fldChar w:fldCharType="separate"/>
          </w:r>
          <w:r>
            <w:rPr>
              <w:rStyle w:val="38"/>
            </w:rPr>
            <w:t>5.3</w:t>
          </w:r>
          <w:r>
            <w:rPr>
              <w:rStyle w:val="38"/>
              <w:rFonts w:hint="eastAsia"/>
            </w:rPr>
            <w:t xml:space="preserve"> 相关性和显著性</w:t>
          </w:r>
          <w:r>
            <w:tab/>
          </w:r>
          <w:r>
            <w:fldChar w:fldCharType="begin"/>
          </w:r>
          <w:r>
            <w:instrText xml:space="preserve"> PAGEREF _Toc124173926 \h </w:instrText>
          </w:r>
          <w:r>
            <w:fldChar w:fldCharType="separate"/>
          </w:r>
          <w:r>
            <w:t>7</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"_Toc124173927" </w:instrText>
          </w:r>
          <w:r>
            <w:fldChar w:fldCharType="separate"/>
          </w:r>
          <w:r>
            <w:rPr>
              <w:rStyle w:val="38"/>
            </w:rPr>
            <w:t>6</w:t>
          </w:r>
          <w:r>
            <w:rPr>
              <w:rStyle w:val="38"/>
              <w:rFonts w:hint="eastAsia"/>
            </w:rPr>
            <w:t xml:space="preserve"> 结果的分布和集中趋势的度量</w:t>
          </w:r>
          <w:r>
            <w:tab/>
          </w:r>
          <w:r>
            <w:fldChar w:fldCharType="begin"/>
          </w:r>
          <w:r>
            <w:instrText xml:space="preserve"> PAGEREF _Toc124173927 \h </w:instrText>
          </w:r>
          <w:r>
            <w:fldChar w:fldCharType="separate"/>
          </w:r>
          <w:r>
            <w:t>8</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"_Toc124173928" </w:instrText>
          </w:r>
          <w:r>
            <w:fldChar w:fldCharType="separate"/>
          </w:r>
          <w:r>
            <w:rPr>
              <w:rStyle w:val="38"/>
            </w:rPr>
            <w:t>6.1</w:t>
          </w:r>
          <w:r>
            <w:rPr>
              <w:rStyle w:val="38"/>
              <w:rFonts w:hint="eastAsia"/>
            </w:rPr>
            <w:t xml:space="preserve"> 原理</w:t>
          </w:r>
          <w:r>
            <w:tab/>
          </w:r>
          <w:r>
            <w:fldChar w:fldCharType="begin"/>
          </w:r>
          <w:r>
            <w:instrText xml:space="preserve"> PAGEREF _Toc124173928 \h </w:instrText>
          </w:r>
          <w:r>
            <w:fldChar w:fldCharType="separate"/>
          </w:r>
          <w:r>
            <w:t>8</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"_Toc124173929" </w:instrText>
          </w:r>
          <w:r>
            <w:fldChar w:fldCharType="separate"/>
          </w:r>
          <w:r>
            <w:rPr>
              <w:rStyle w:val="38"/>
            </w:rPr>
            <w:t>6.2</w:t>
          </w:r>
          <w:r>
            <w:rPr>
              <w:rStyle w:val="38"/>
              <w:rFonts w:hint="eastAsia"/>
            </w:rPr>
            <w:t xml:space="preserve"> 方法</w:t>
          </w:r>
          <w:r>
            <w:tab/>
          </w:r>
          <w:r>
            <w:fldChar w:fldCharType="begin"/>
          </w:r>
          <w:r>
            <w:instrText xml:space="preserve"> PAGEREF _Toc124173929 \h </w:instrText>
          </w:r>
          <w:r>
            <w:fldChar w:fldCharType="separate"/>
          </w:r>
          <w:r>
            <w:t>8</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"_Toc124173930" </w:instrText>
          </w:r>
          <w:r>
            <w:fldChar w:fldCharType="separate"/>
          </w:r>
          <w:r>
            <w:rPr>
              <w:rStyle w:val="38"/>
            </w:rPr>
            <w:t>6.3</w:t>
          </w:r>
          <w:r>
            <w:rPr>
              <w:rStyle w:val="38"/>
              <w:rFonts w:hint="eastAsia"/>
            </w:rPr>
            <w:t xml:space="preserve"> 橡胶试验的应用</w:t>
          </w:r>
          <w:r>
            <w:tab/>
          </w:r>
          <w:r>
            <w:fldChar w:fldCharType="begin"/>
          </w:r>
          <w:r>
            <w:instrText xml:space="preserve"> PAGEREF _Toc124173930 \h </w:instrText>
          </w:r>
          <w:r>
            <w:fldChar w:fldCharType="separate"/>
          </w:r>
          <w:r>
            <w:t>18</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"_Toc124173931" </w:instrText>
          </w:r>
          <w:r>
            <w:fldChar w:fldCharType="separate"/>
          </w:r>
          <w:r>
            <w:rPr>
              <w:rStyle w:val="38"/>
            </w:rPr>
            <w:t>7</w:t>
          </w:r>
          <w:r>
            <w:rPr>
              <w:rStyle w:val="38"/>
              <w:rFonts w:hint="eastAsia"/>
            </w:rPr>
            <w:t xml:space="preserve"> 置信限和显著性差异</w:t>
          </w:r>
          <w:r>
            <w:tab/>
          </w:r>
          <w:r>
            <w:fldChar w:fldCharType="begin"/>
          </w:r>
          <w:r>
            <w:instrText xml:space="preserve"> PAGEREF _Toc124173931 \h </w:instrText>
          </w:r>
          <w:r>
            <w:fldChar w:fldCharType="separate"/>
          </w:r>
          <w:r>
            <w:t>22</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"_Toc124173932" </w:instrText>
          </w:r>
          <w:r>
            <w:fldChar w:fldCharType="separate"/>
          </w:r>
          <w:r>
            <w:rPr>
              <w:rStyle w:val="38"/>
            </w:rPr>
            <w:t>7.1</w:t>
          </w:r>
          <w:r>
            <w:rPr>
              <w:rStyle w:val="38"/>
              <w:rFonts w:hint="eastAsia"/>
            </w:rPr>
            <w:t xml:space="preserve"> 原理</w:t>
          </w:r>
          <w:r>
            <w:tab/>
          </w:r>
          <w:r>
            <w:fldChar w:fldCharType="begin"/>
          </w:r>
          <w:r>
            <w:instrText xml:space="preserve"> PAGEREF _Toc124173932 \h </w:instrText>
          </w:r>
          <w:r>
            <w:fldChar w:fldCharType="separate"/>
          </w:r>
          <w:r>
            <w:t>22</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"_Toc124173933" </w:instrText>
          </w:r>
          <w:r>
            <w:fldChar w:fldCharType="separate"/>
          </w:r>
          <w:r>
            <w:rPr>
              <w:rStyle w:val="38"/>
            </w:rPr>
            <w:t>7.2</w:t>
          </w:r>
          <w:r>
            <w:rPr>
              <w:rStyle w:val="38"/>
              <w:rFonts w:hint="eastAsia"/>
            </w:rPr>
            <w:t xml:space="preserve"> 方法学</w:t>
          </w:r>
          <w:r>
            <w:tab/>
          </w:r>
          <w:r>
            <w:fldChar w:fldCharType="begin"/>
          </w:r>
          <w:r>
            <w:instrText xml:space="preserve"> PAGEREF _Toc124173933 \h </w:instrText>
          </w:r>
          <w:r>
            <w:fldChar w:fldCharType="separate"/>
          </w:r>
          <w:r>
            <w:t>23</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"_Toc124173934" </w:instrText>
          </w:r>
          <w:r>
            <w:fldChar w:fldCharType="separate"/>
          </w:r>
          <w:r>
            <w:rPr>
              <w:rStyle w:val="38"/>
            </w:rPr>
            <w:t>7.3</w:t>
          </w:r>
          <w:r>
            <w:rPr>
              <w:rStyle w:val="38"/>
              <w:rFonts w:hint="eastAsia"/>
            </w:rPr>
            <w:t xml:space="preserve"> 橡胶试验的应用</w:t>
          </w:r>
          <w:r>
            <w:tab/>
          </w:r>
          <w:r>
            <w:fldChar w:fldCharType="begin"/>
          </w:r>
          <w:r>
            <w:instrText xml:space="preserve"> PAGEREF _Toc124173934 \h </w:instrText>
          </w:r>
          <w:r>
            <w:fldChar w:fldCharType="separate"/>
          </w:r>
          <w:r>
            <w:t>29</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"_Toc124173935" </w:instrText>
          </w:r>
          <w:r>
            <w:fldChar w:fldCharType="separate"/>
          </w:r>
          <w:r>
            <w:rPr>
              <w:rStyle w:val="38"/>
            </w:rPr>
            <w:t>8</w:t>
          </w:r>
          <w:r>
            <w:rPr>
              <w:rStyle w:val="38"/>
              <w:rFonts w:hint="eastAsia"/>
            </w:rPr>
            <w:t xml:space="preserve"> 排序法</w:t>
          </w:r>
          <w:r>
            <w:tab/>
          </w:r>
          <w:r>
            <w:fldChar w:fldCharType="begin"/>
          </w:r>
          <w:r>
            <w:instrText xml:space="preserve"> PAGEREF _Toc124173935 \h </w:instrText>
          </w:r>
          <w:r>
            <w:fldChar w:fldCharType="separate"/>
          </w:r>
          <w:r>
            <w:t>31</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"_Toc124173936" </w:instrText>
          </w:r>
          <w:r>
            <w:fldChar w:fldCharType="separate"/>
          </w:r>
          <w:r>
            <w:rPr>
              <w:rStyle w:val="38"/>
            </w:rPr>
            <w:t>8.1</w:t>
          </w:r>
          <w:r>
            <w:rPr>
              <w:rStyle w:val="38"/>
              <w:rFonts w:hint="eastAsia"/>
            </w:rPr>
            <w:t xml:space="preserve"> 原理</w:t>
          </w:r>
          <w:r>
            <w:tab/>
          </w:r>
          <w:r>
            <w:fldChar w:fldCharType="begin"/>
          </w:r>
          <w:r>
            <w:instrText xml:space="preserve"> PAGEREF _Toc124173936 \h </w:instrText>
          </w:r>
          <w:r>
            <w:fldChar w:fldCharType="separate"/>
          </w:r>
          <w:r>
            <w:t>31</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"_Toc124173937" </w:instrText>
          </w:r>
          <w:r>
            <w:fldChar w:fldCharType="separate"/>
          </w:r>
          <w:r>
            <w:rPr>
              <w:rStyle w:val="38"/>
            </w:rPr>
            <w:t>8.2</w:t>
          </w:r>
          <w:r>
            <w:rPr>
              <w:rStyle w:val="38"/>
              <w:rFonts w:hint="eastAsia"/>
            </w:rPr>
            <w:t xml:space="preserve"> 方法学</w:t>
          </w:r>
          <w:r>
            <w:tab/>
          </w:r>
          <w:r>
            <w:fldChar w:fldCharType="begin"/>
          </w:r>
          <w:r>
            <w:instrText xml:space="preserve"> PAGEREF _Toc124173937 \h </w:instrText>
          </w:r>
          <w:r>
            <w:fldChar w:fldCharType="separate"/>
          </w:r>
          <w:r>
            <w:t>31</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"_Toc124173938" </w:instrText>
          </w:r>
          <w:r>
            <w:fldChar w:fldCharType="separate"/>
          </w:r>
          <w:r>
            <w:rPr>
              <w:rStyle w:val="38"/>
            </w:rPr>
            <w:t>8.3</w:t>
          </w:r>
          <w:r>
            <w:rPr>
              <w:rStyle w:val="38"/>
              <w:rFonts w:hint="eastAsia"/>
            </w:rPr>
            <w:t xml:space="preserve"> 在橡胶试验中的应用</w:t>
          </w:r>
          <w:r>
            <w:tab/>
          </w:r>
          <w:r>
            <w:fldChar w:fldCharType="begin"/>
          </w:r>
          <w:r>
            <w:instrText xml:space="preserve"> PAGEREF _Toc124173938 \h </w:instrText>
          </w:r>
          <w:r>
            <w:fldChar w:fldCharType="separate"/>
          </w:r>
          <w:r>
            <w:t>32</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"_Toc124173939" </w:instrText>
          </w:r>
          <w:r>
            <w:fldChar w:fldCharType="separate"/>
          </w:r>
          <w:r>
            <w:rPr>
              <w:rStyle w:val="38"/>
            </w:rPr>
            <w:t>9</w:t>
          </w:r>
          <w:r>
            <w:rPr>
              <w:rStyle w:val="38"/>
              <w:rFonts w:hint="eastAsia"/>
            </w:rPr>
            <w:t xml:space="preserve"> 拒绝离群值的标准</w:t>
          </w:r>
          <w:r>
            <w:tab/>
          </w:r>
          <w:r>
            <w:fldChar w:fldCharType="begin"/>
          </w:r>
          <w:r>
            <w:instrText xml:space="preserve"> PAGEREF _Toc124173939 \h </w:instrText>
          </w:r>
          <w:r>
            <w:fldChar w:fldCharType="separate"/>
          </w:r>
          <w:r>
            <w:t>33</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"_Toc124173940" </w:instrText>
          </w:r>
          <w:r>
            <w:fldChar w:fldCharType="separate"/>
          </w:r>
          <w:r>
            <w:rPr>
              <w:rStyle w:val="38"/>
            </w:rPr>
            <w:t>9.1</w:t>
          </w:r>
          <w:r>
            <w:rPr>
              <w:rStyle w:val="38"/>
              <w:rFonts w:hint="eastAsia"/>
            </w:rPr>
            <w:t xml:space="preserve"> 原理</w:t>
          </w:r>
          <w:r>
            <w:tab/>
          </w:r>
          <w:r>
            <w:fldChar w:fldCharType="begin"/>
          </w:r>
          <w:r>
            <w:instrText xml:space="preserve"> PAGEREF _Toc124173940 \h </w:instrText>
          </w:r>
          <w:r>
            <w:fldChar w:fldCharType="separate"/>
          </w:r>
          <w:r>
            <w:t>33</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"_Toc124173941" </w:instrText>
          </w:r>
          <w:r>
            <w:fldChar w:fldCharType="separate"/>
          </w:r>
          <w:r>
            <w:rPr>
              <w:rStyle w:val="38"/>
            </w:rPr>
            <w:t>9.2</w:t>
          </w:r>
          <w:r>
            <w:rPr>
              <w:rStyle w:val="38"/>
              <w:rFonts w:hint="eastAsia"/>
            </w:rPr>
            <w:t xml:space="preserve"> 方法</w:t>
          </w:r>
          <w:r>
            <w:tab/>
          </w:r>
          <w:r>
            <w:fldChar w:fldCharType="begin"/>
          </w:r>
          <w:r>
            <w:instrText xml:space="preserve"> PAGEREF _Toc124173941 \h </w:instrText>
          </w:r>
          <w:r>
            <w:fldChar w:fldCharType="separate"/>
          </w:r>
          <w:r>
            <w:t>34</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"_Toc124173942" </w:instrText>
          </w:r>
          <w:r>
            <w:fldChar w:fldCharType="separate"/>
          </w:r>
          <w:r>
            <w:rPr>
              <w:rStyle w:val="38"/>
            </w:rPr>
            <w:t>9.3</w:t>
          </w:r>
          <w:r>
            <w:rPr>
              <w:rStyle w:val="38"/>
              <w:rFonts w:hint="eastAsia"/>
            </w:rPr>
            <w:t xml:space="preserve"> 在橡胶试验中的应用</w:t>
          </w:r>
          <w:r>
            <w:tab/>
          </w:r>
          <w:r>
            <w:fldChar w:fldCharType="begin"/>
          </w:r>
          <w:r>
            <w:instrText xml:space="preserve"> PAGEREF _Toc124173942 \h </w:instrText>
          </w:r>
          <w:r>
            <w:fldChar w:fldCharType="separate"/>
          </w:r>
          <w:r>
            <w:t>37</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"_Toc124173943" </w:instrText>
          </w:r>
          <w:r>
            <w:fldChar w:fldCharType="separate"/>
          </w:r>
          <w:r>
            <w:rPr>
              <w:rStyle w:val="38"/>
            </w:rPr>
            <w:t>10</w:t>
          </w:r>
          <w:r>
            <w:rPr>
              <w:rStyle w:val="38"/>
              <w:rFonts w:hint="eastAsia"/>
            </w:rPr>
            <w:t xml:space="preserve"> 方差分析（</w:t>
          </w:r>
          <w:r>
            <w:rPr>
              <w:rStyle w:val="38"/>
            </w:rPr>
            <w:t>ANOVA</w:t>
          </w:r>
          <w:r>
            <w:rPr>
              <w:rStyle w:val="38"/>
              <w:rFonts w:hint="eastAsia"/>
            </w:rPr>
            <w:t>）</w:t>
          </w:r>
          <w:r>
            <w:tab/>
          </w:r>
          <w:r>
            <w:fldChar w:fldCharType="begin"/>
          </w:r>
          <w:r>
            <w:instrText xml:space="preserve"> PAGEREF _Toc124173943 \h </w:instrText>
          </w:r>
          <w:r>
            <w:fldChar w:fldCharType="separate"/>
          </w:r>
          <w:r>
            <w:t>39</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"_Toc124173944" </w:instrText>
          </w:r>
          <w:r>
            <w:fldChar w:fldCharType="separate"/>
          </w:r>
          <w:r>
            <w:rPr>
              <w:rStyle w:val="38"/>
            </w:rPr>
            <w:t>10.1</w:t>
          </w:r>
          <w:r>
            <w:rPr>
              <w:rStyle w:val="38"/>
              <w:rFonts w:hint="eastAsia"/>
            </w:rPr>
            <w:t xml:space="preserve"> 原理</w:t>
          </w:r>
          <w:r>
            <w:tab/>
          </w:r>
          <w:r>
            <w:fldChar w:fldCharType="begin"/>
          </w:r>
          <w:r>
            <w:instrText xml:space="preserve"> PAGEREF _Toc124173944 \h </w:instrText>
          </w:r>
          <w:r>
            <w:fldChar w:fldCharType="separate"/>
          </w:r>
          <w:r>
            <w:t>39</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"_Toc124173945" </w:instrText>
          </w:r>
          <w:r>
            <w:fldChar w:fldCharType="separate"/>
          </w:r>
          <w:r>
            <w:rPr>
              <w:rStyle w:val="38"/>
            </w:rPr>
            <w:t>10.2</w:t>
          </w:r>
          <w:r>
            <w:rPr>
              <w:rStyle w:val="38"/>
              <w:rFonts w:hint="eastAsia"/>
            </w:rPr>
            <w:t xml:space="preserve"> 方法</w:t>
          </w:r>
          <w:r>
            <w:tab/>
          </w:r>
          <w:r>
            <w:fldChar w:fldCharType="begin"/>
          </w:r>
          <w:r>
            <w:instrText xml:space="preserve"> PAGEREF _Toc124173945 \h </w:instrText>
          </w:r>
          <w:r>
            <w:fldChar w:fldCharType="separate"/>
          </w:r>
          <w:r>
            <w:t>40</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"_Toc124173946" </w:instrText>
          </w:r>
          <w:r>
            <w:fldChar w:fldCharType="separate"/>
          </w:r>
          <w:r>
            <w:rPr>
              <w:rStyle w:val="38"/>
            </w:rPr>
            <w:t>10.3</w:t>
          </w:r>
          <w:r>
            <w:rPr>
              <w:rStyle w:val="38"/>
              <w:rFonts w:hint="eastAsia"/>
            </w:rPr>
            <w:t xml:space="preserve"> 在橡胶试验中的应用</w:t>
          </w:r>
          <w:r>
            <w:tab/>
          </w:r>
          <w:r>
            <w:fldChar w:fldCharType="begin"/>
          </w:r>
          <w:r>
            <w:instrText xml:space="preserve"> PAGEREF _Toc124173946 \h </w:instrText>
          </w:r>
          <w:r>
            <w:fldChar w:fldCharType="separate"/>
          </w:r>
          <w:r>
            <w:t>41</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"_Toc124173947" </w:instrText>
          </w:r>
          <w:r>
            <w:fldChar w:fldCharType="separate"/>
          </w:r>
          <w:r>
            <w:rPr>
              <w:rStyle w:val="38"/>
            </w:rPr>
            <w:t>11</w:t>
          </w:r>
          <w:r>
            <w:rPr>
              <w:rStyle w:val="38"/>
              <w:rFonts w:hint="eastAsia"/>
            </w:rPr>
            <w:t xml:space="preserve"> 回归分析</w:t>
          </w:r>
          <w:r>
            <w:tab/>
          </w:r>
          <w:r>
            <w:fldChar w:fldCharType="begin"/>
          </w:r>
          <w:r>
            <w:instrText xml:space="preserve"> PAGEREF _Toc124173947 \h </w:instrText>
          </w:r>
          <w:r>
            <w:fldChar w:fldCharType="separate"/>
          </w:r>
          <w:r>
            <w:t>44</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"_Toc124173948" </w:instrText>
          </w:r>
          <w:r>
            <w:fldChar w:fldCharType="separate"/>
          </w:r>
          <w:r>
            <w:rPr>
              <w:rStyle w:val="38"/>
            </w:rPr>
            <w:t>11.1</w:t>
          </w:r>
          <w:r>
            <w:rPr>
              <w:rStyle w:val="38"/>
              <w:rFonts w:hint="eastAsia"/>
            </w:rPr>
            <w:t xml:space="preserve"> 原理</w:t>
          </w:r>
          <w:r>
            <w:tab/>
          </w:r>
          <w:r>
            <w:fldChar w:fldCharType="begin"/>
          </w:r>
          <w:r>
            <w:instrText xml:space="preserve"> PAGEREF _Toc124173948 \h </w:instrText>
          </w:r>
          <w:r>
            <w:fldChar w:fldCharType="separate"/>
          </w:r>
          <w:r>
            <w:t>44</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"_Toc124173949" </w:instrText>
          </w:r>
          <w:r>
            <w:fldChar w:fldCharType="separate"/>
          </w:r>
          <w:r>
            <w:rPr>
              <w:rStyle w:val="38"/>
            </w:rPr>
            <w:t>11.2</w:t>
          </w:r>
          <w:r>
            <w:rPr>
              <w:rStyle w:val="38"/>
              <w:rFonts w:hint="eastAsia"/>
            </w:rPr>
            <w:t xml:space="preserve"> 方法</w:t>
          </w:r>
          <w:r>
            <w:tab/>
          </w:r>
          <w:r>
            <w:fldChar w:fldCharType="begin"/>
          </w:r>
          <w:r>
            <w:instrText xml:space="preserve"> PAGEREF _Toc124173949 \h </w:instrText>
          </w:r>
          <w:r>
            <w:fldChar w:fldCharType="separate"/>
          </w:r>
          <w:r>
            <w:t>45</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"_Toc124173950" </w:instrText>
          </w:r>
          <w:r>
            <w:fldChar w:fldCharType="separate"/>
          </w:r>
          <w:r>
            <w:rPr>
              <w:rStyle w:val="38"/>
            </w:rPr>
            <w:t>11.3</w:t>
          </w:r>
          <w:r>
            <w:rPr>
              <w:rStyle w:val="38"/>
              <w:rFonts w:hint="eastAsia"/>
            </w:rPr>
            <w:t xml:space="preserve"> 在橡胶试验中的应用</w:t>
          </w:r>
          <w:r>
            <w:tab/>
          </w:r>
          <w:r>
            <w:fldChar w:fldCharType="begin"/>
          </w:r>
          <w:r>
            <w:instrText xml:space="preserve"> PAGEREF _Toc124173950 \h </w:instrText>
          </w:r>
          <w:r>
            <w:fldChar w:fldCharType="separate"/>
          </w:r>
          <w:r>
            <w:t>46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"_Toc124173951" </w:instrText>
          </w:r>
          <w:r>
            <w:fldChar w:fldCharType="separate"/>
          </w:r>
          <w:r>
            <w:rPr>
              <w:rStyle w:val="38"/>
            </w:rPr>
            <w:t>12</w:t>
          </w:r>
          <w:r>
            <w:rPr>
              <w:rStyle w:val="38"/>
              <w:rFonts w:hint="eastAsia"/>
            </w:rPr>
            <w:t xml:space="preserve"> 不确定度的测量</w:t>
          </w:r>
          <w:r>
            <w:tab/>
          </w:r>
          <w:r>
            <w:fldChar w:fldCharType="begin"/>
          </w:r>
          <w:r>
            <w:instrText xml:space="preserve"> PAGEREF _Toc124173951 \h </w:instrText>
          </w:r>
          <w:r>
            <w:fldChar w:fldCharType="separate"/>
          </w:r>
          <w:r>
            <w:t>49</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"_Toc124173952" </w:instrText>
          </w:r>
          <w:r>
            <w:fldChar w:fldCharType="separate"/>
          </w:r>
          <w:r>
            <w:rPr>
              <w:rStyle w:val="38"/>
            </w:rPr>
            <w:t>12.1</w:t>
          </w:r>
          <w:r>
            <w:rPr>
              <w:rStyle w:val="38"/>
              <w:rFonts w:hint="eastAsia"/>
            </w:rPr>
            <w:t xml:space="preserve"> 原理</w:t>
          </w:r>
          <w:r>
            <w:tab/>
          </w:r>
          <w:r>
            <w:fldChar w:fldCharType="begin"/>
          </w:r>
          <w:r>
            <w:instrText xml:space="preserve"> PAGEREF _Toc124173952 \h </w:instrText>
          </w:r>
          <w:r>
            <w:fldChar w:fldCharType="separate"/>
          </w:r>
          <w:r>
            <w:t>49</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"_Toc124173953" </w:instrText>
          </w:r>
          <w:r>
            <w:fldChar w:fldCharType="separate"/>
          </w:r>
          <w:r>
            <w:rPr>
              <w:rStyle w:val="38"/>
            </w:rPr>
            <w:t>12.2</w:t>
          </w:r>
          <w:r>
            <w:rPr>
              <w:rStyle w:val="38"/>
              <w:rFonts w:hint="eastAsia"/>
            </w:rPr>
            <w:t xml:space="preserve"> 方法</w:t>
          </w:r>
          <w:r>
            <w:tab/>
          </w:r>
          <w:r>
            <w:fldChar w:fldCharType="begin"/>
          </w:r>
          <w:r>
            <w:instrText xml:space="preserve"> PAGEREF _Toc124173953 \h </w:instrText>
          </w:r>
          <w:r>
            <w:fldChar w:fldCharType="separate"/>
          </w:r>
          <w:r>
            <w:t>50</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"_Toc124173954" </w:instrText>
          </w:r>
          <w:r>
            <w:fldChar w:fldCharType="separate"/>
          </w:r>
          <w:r>
            <w:rPr>
              <w:rStyle w:val="38"/>
            </w:rPr>
            <w:t>12.3</w:t>
          </w:r>
          <w:r>
            <w:rPr>
              <w:rStyle w:val="38"/>
              <w:rFonts w:hint="eastAsia"/>
            </w:rPr>
            <w:t xml:space="preserve"> 在橡胶试验中的应用</w:t>
          </w:r>
          <w:r>
            <w:tab/>
          </w:r>
          <w:r>
            <w:fldChar w:fldCharType="begin"/>
          </w:r>
          <w:r>
            <w:instrText xml:space="preserve"> PAGEREF _Toc124173954 \h </w:instrText>
          </w:r>
          <w:r>
            <w:fldChar w:fldCharType="separate"/>
          </w:r>
          <w:r>
            <w:t>52</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"_Toc124173955" </w:instrText>
          </w:r>
          <w:r>
            <w:fldChar w:fldCharType="separate"/>
          </w:r>
          <w:r>
            <w:rPr>
              <w:rStyle w:val="38"/>
            </w:rPr>
            <w:t>13</w:t>
          </w:r>
          <w:r>
            <w:rPr>
              <w:rStyle w:val="38"/>
              <w:rFonts w:hint="eastAsia"/>
            </w:rPr>
            <w:t xml:space="preserve"> 抽样</w:t>
          </w:r>
          <w:r>
            <w:tab/>
          </w:r>
          <w:r>
            <w:fldChar w:fldCharType="begin"/>
          </w:r>
          <w:r>
            <w:instrText xml:space="preserve"> PAGEREF _Toc124173955 \h </w:instrText>
          </w:r>
          <w:r>
            <w:fldChar w:fldCharType="separate"/>
          </w:r>
          <w:r>
            <w:t>52</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"_Toc124173956" </w:instrText>
          </w:r>
          <w:r>
            <w:fldChar w:fldCharType="separate"/>
          </w:r>
          <w:r>
            <w:rPr>
              <w:rStyle w:val="38"/>
            </w:rPr>
            <w:t>13.1</w:t>
          </w:r>
          <w:r>
            <w:rPr>
              <w:rStyle w:val="38"/>
              <w:rFonts w:hint="eastAsia"/>
            </w:rPr>
            <w:t xml:space="preserve"> 原理</w:t>
          </w:r>
          <w:r>
            <w:tab/>
          </w:r>
          <w:r>
            <w:fldChar w:fldCharType="begin"/>
          </w:r>
          <w:r>
            <w:instrText xml:space="preserve"> PAGEREF _Toc124173956 \h </w:instrText>
          </w:r>
          <w:r>
            <w:fldChar w:fldCharType="separate"/>
          </w:r>
          <w:r>
            <w:t>52</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"_Toc124173957" </w:instrText>
          </w:r>
          <w:r>
            <w:fldChar w:fldCharType="separate"/>
          </w:r>
          <w:r>
            <w:rPr>
              <w:rStyle w:val="38"/>
            </w:rPr>
            <w:t>13.2</w:t>
          </w:r>
          <w:r>
            <w:rPr>
              <w:rStyle w:val="38"/>
              <w:rFonts w:hint="eastAsia"/>
            </w:rPr>
            <w:t xml:space="preserve"> 方法</w:t>
          </w:r>
          <w:r>
            <w:tab/>
          </w:r>
          <w:r>
            <w:fldChar w:fldCharType="begin"/>
          </w:r>
          <w:r>
            <w:instrText xml:space="preserve"> PAGEREF _Toc124173957 \h </w:instrText>
          </w:r>
          <w:r>
            <w:fldChar w:fldCharType="separate"/>
          </w:r>
          <w:r>
            <w:t>52</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"_Toc124173958" </w:instrText>
          </w:r>
          <w:r>
            <w:fldChar w:fldCharType="separate"/>
          </w:r>
          <w:r>
            <w:rPr>
              <w:rStyle w:val="38"/>
            </w:rPr>
            <w:t>13.3</w:t>
          </w:r>
          <w:r>
            <w:rPr>
              <w:rStyle w:val="38"/>
              <w:rFonts w:hint="eastAsia"/>
            </w:rPr>
            <w:t xml:space="preserve"> 在橡胶试验中的应用</w:t>
          </w:r>
          <w:r>
            <w:tab/>
          </w:r>
          <w:r>
            <w:fldChar w:fldCharType="begin"/>
          </w:r>
          <w:r>
            <w:instrText xml:space="preserve"> PAGEREF _Toc124173958 \h </w:instrText>
          </w:r>
          <w:r>
            <w:fldChar w:fldCharType="separate"/>
          </w:r>
          <w:r>
            <w:t>55</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"_Toc124173959" </w:instrText>
          </w:r>
          <w:r>
            <w:fldChar w:fldCharType="separate"/>
          </w:r>
          <w:r>
            <w:rPr>
              <w:rStyle w:val="38"/>
            </w:rPr>
            <w:t>14</w:t>
          </w:r>
          <w:r>
            <w:rPr>
              <w:rStyle w:val="38"/>
              <w:rFonts w:hint="eastAsia"/>
            </w:rPr>
            <w:t xml:space="preserve"> 试样数量</w:t>
          </w:r>
          <w:r>
            <w:tab/>
          </w:r>
          <w:r>
            <w:fldChar w:fldCharType="begin"/>
          </w:r>
          <w:r>
            <w:instrText xml:space="preserve"> PAGEREF _Toc124173959 \h </w:instrText>
          </w:r>
          <w:r>
            <w:fldChar w:fldCharType="separate"/>
          </w:r>
          <w:r>
            <w:t>55</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"_Toc124173960" </w:instrText>
          </w:r>
          <w:r>
            <w:fldChar w:fldCharType="separate"/>
          </w:r>
          <w:r>
            <w:rPr>
              <w:rStyle w:val="38"/>
            </w:rPr>
            <w:t>14.1</w:t>
          </w:r>
          <w:r>
            <w:rPr>
              <w:rStyle w:val="38"/>
              <w:rFonts w:hint="eastAsia"/>
            </w:rPr>
            <w:t xml:space="preserve"> 原理</w:t>
          </w:r>
          <w:r>
            <w:tab/>
          </w:r>
          <w:r>
            <w:fldChar w:fldCharType="begin"/>
          </w:r>
          <w:r>
            <w:instrText xml:space="preserve"> PAGEREF _Toc124173960 \h </w:instrText>
          </w:r>
          <w:r>
            <w:fldChar w:fldCharType="separate"/>
          </w:r>
          <w:r>
            <w:t>55</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"_Toc124173961" </w:instrText>
          </w:r>
          <w:r>
            <w:fldChar w:fldCharType="separate"/>
          </w:r>
          <w:r>
            <w:rPr>
              <w:rStyle w:val="38"/>
            </w:rPr>
            <w:t>14.2</w:t>
          </w:r>
          <w:r>
            <w:rPr>
              <w:rStyle w:val="38"/>
              <w:rFonts w:hint="eastAsia"/>
            </w:rPr>
            <w:t xml:space="preserve"> 方法</w:t>
          </w:r>
          <w:r>
            <w:tab/>
          </w:r>
          <w:r>
            <w:fldChar w:fldCharType="begin"/>
          </w:r>
          <w:r>
            <w:instrText xml:space="preserve"> PAGEREF _Toc124173961 \h </w:instrText>
          </w:r>
          <w:r>
            <w:fldChar w:fldCharType="separate"/>
          </w:r>
          <w:r>
            <w:t>56</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"_Toc124173962" </w:instrText>
          </w:r>
          <w:r>
            <w:fldChar w:fldCharType="separate"/>
          </w:r>
          <w:r>
            <w:rPr>
              <w:rStyle w:val="38"/>
            </w:rPr>
            <w:t>14.3</w:t>
          </w:r>
          <w:r>
            <w:rPr>
              <w:rStyle w:val="38"/>
              <w:rFonts w:hint="eastAsia"/>
            </w:rPr>
            <w:t xml:space="preserve"> 在橡胶试验中的应用</w:t>
          </w:r>
          <w:r>
            <w:tab/>
          </w:r>
          <w:r>
            <w:fldChar w:fldCharType="begin"/>
          </w:r>
          <w:r>
            <w:instrText xml:space="preserve"> PAGEREF _Toc124173962 \h </w:instrText>
          </w:r>
          <w:r>
            <w:fldChar w:fldCharType="separate"/>
          </w:r>
          <w:r>
            <w:t>56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"_Toc124173963" </w:instrText>
          </w:r>
          <w:r>
            <w:fldChar w:fldCharType="separate"/>
          </w:r>
          <w:r>
            <w:rPr>
              <w:rStyle w:val="38"/>
            </w:rPr>
            <w:t>15</w:t>
          </w:r>
          <w:r>
            <w:rPr>
              <w:rStyle w:val="38"/>
              <w:rFonts w:hint="eastAsia"/>
            </w:rPr>
            <w:t xml:space="preserve"> 结果表示</w:t>
          </w:r>
          <w:r>
            <w:tab/>
          </w:r>
          <w:r>
            <w:fldChar w:fldCharType="begin"/>
          </w:r>
          <w:r>
            <w:instrText xml:space="preserve"> PAGEREF _Toc124173963 \h </w:instrText>
          </w:r>
          <w:r>
            <w:fldChar w:fldCharType="separate"/>
          </w:r>
          <w:r>
            <w:t>57</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"_Toc124173964" </w:instrText>
          </w:r>
          <w:r>
            <w:fldChar w:fldCharType="separate"/>
          </w:r>
          <w:r>
            <w:rPr>
              <w:rStyle w:val="38"/>
            </w:rPr>
            <w:t>15.1</w:t>
          </w:r>
          <w:r>
            <w:rPr>
              <w:rStyle w:val="38"/>
              <w:rFonts w:hint="eastAsia"/>
            </w:rPr>
            <w:t xml:space="preserve"> 原则</w:t>
          </w:r>
          <w:r>
            <w:tab/>
          </w:r>
          <w:r>
            <w:fldChar w:fldCharType="begin"/>
          </w:r>
          <w:r>
            <w:instrText xml:space="preserve"> PAGEREF _Toc124173964 \h </w:instrText>
          </w:r>
          <w:r>
            <w:fldChar w:fldCharType="separate"/>
          </w:r>
          <w:r>
            <w:t>57</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"_Toc124173965" </w:instrText>
          </w:r>
          <w:r>
            <w:fldChar w:fldCharType="separate"/>
          </w:r>
          <w:r>
            <w:rPr>
              <w:rStyle w:val="38"/>
            </w:rPr>
            <w:t>15.2</w:t>
          </w:r>
          <w:r>
            <w:rPr>
              <w:rStyle w:val="38"/>
              <w:rFonts w:hint="eastAsia"/>
            </w:rPr>
            <w:t xml:space="preserve"> 方法</w:t>
          </w:r>
          <w:r>
            <w:tab/>
          </w:r>
          <w:r>
            <w:fldChar w:fldCharType="begin"/>
          </w:r>
          <w:r>
            <w:instrText xml:space="preserve"> PAGEREF _Toc124173965 \h </w:instrText>
          </w:r>
          <w:r>
            <w:fldChar w:fldCharType="separate"/>
          </w:r>
          <w:r>
            <w:t>57</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"_Toc124173966" </w:instrText>
          </w:r>
          <w:r>
            <w:fldChar w:fldCharType="separate"/>
          </w:r>
          <w:r>
            <w:rPr>
              <w:rStyle w:val="38"/>
            </w:rPr>
            <w:t>15.3</w:t>
          </w:r>
          <w:r>
            <w:rPr>
              <w:rStyle w:val="38"/>
              <w:rFonts w:hint="eastAsia"/>
            </w:rPr>
            <w:t xml:space="preserve"> 在橡胶试验中的应用</w:t>
          </w:r>
          <w:r>
            <w:tab/>
          </w:r>
          <w:r>
            <w:fldChar w:fldCharType="begin"/>
          </w:r>
          <w:r>
            <w:instrText xml:space="preserve"> PAGEREF _Toc124173966 \h </w:instrText>
          </w:r>
          <w:r>
            <w:fldChar w:fldCharType="separate"/>
          </w:r>
          <w:r>
            <w:t>59</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"_Toc124173967" </w:instrText>
          </w:r>
          <w:r>
            <w:fldChar w:fldCharType="separate"/>
          </w:r>
          <w:r>
            <w:rPr>
              <w:rStyle w:val="38"/>
            </w:rPr>
            <w:t>16</w:t>
          </w:r>
          <w:r>
            <w:rPr>
              <w:rStyle w:val="38"/>
              <w:rFonts w:hint="eastAsia"/>
            </w:rPr>
            <w:t xml:space="preserve"> 精密度陈述</w:t>
          </w:r>
          <w:r>
            <w:tab/>
          </w:r>
          <w:r>
            <w:fldChar w:fldCharType="begin"/>
          </w:r>
          <w:r>
            <w:instrText xml:space="preserve"> PAGEREF _Toc124173967 \h </w:instrText>
          </w:r>
          <w:r>
            <w:fldChar w:fldCharType="separate"/>
          </w:r>
          <w:r>
            <w:t>60</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"_Toc124173968" </w:instrText>
          </w:r>
          <w:r>
            <w:fldChar w:fldCharType="separate"/>
          </w:r>
          <w:r>
            <w:rPr>
              <w:rStyle w:val="38"/>
            </w:rPr>
            <w:t>16.1</w:t>
          </w:r>
          <w:r>
            <w:rPr>
              <w:rStyle w:val="38"/>
              <w:rFonts w:hint="eastAsia"/>
            </w:rPr>
            <w:t xml:space="preserve"> 概述</w:t>
          </w:r>
          <w:r>
            <w:tab/>
          </w:r>
          <w:r>
            <w:fldChar w:fldCharType="begin"/>
          </w:r>
          <w:r>
            <w:instrText xml:space="preserve"> PAGEREF _Toc124173968 \h </w:instrText>
          </w:r>
          <w:r>
            <w:fldChar w:fldCharType="separate"/>
          </w:r>
          <w:r>
            <w:t>60</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"_Toc124173969" </w:instrText>
          </w:r>
          <w:r>
            <w:fldChar w:fldCharType="separate"/>
          </w:r>
          <w:r>
            <w:rPr>
              <w:rStyle w:val="38"/>
            </w:rPr>
            <w:t>16.2</w:t>
          </w:r>
          <w:r>
            <w:rPr>
              <w:rStyle w:val="38"/>
              <w:rFonts w:hint="eastAsia"/>
            </w:rPr>
            <w:t xml:space="preserve"> 原理</w:t>
          </w:r>
          <w:r>
            <w:tab/>
          </w:r>
          <w:r>
            <w:fldChar w:fldCharType="begin"/>
          </w:r>
          <w:r>
            <w:instrText xml:space="preserve"> PAGEREF _Toc124173969 \h </w:instrText>
          </w:r>
          <w:r>
            <w:fldChar w:fldCharType="separate"/>
          </w:r>
          <w:r>
            <w:t>60</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"_Toc124173970" </w:instrText>
          </w:r>
          <w:r>
            <w:fldChar w:fldCharType="separate"/>
          </w:r>
          <w:r>
            <w:rPr>
              <w:rStyle w:val="38"/>
            </w:rPr>
            <w:t>16.3</w:t>
          </w:r>
          <w:r>
            <w:rPr>
              <w:rStyle w:val="38"/>
              <w:rFonts w:hint="eastAsia"/>
            </w:rPr>
            <w:t xml:space="preserve"> 方法</w:t>
          </w:r>
          <w:r>
            <w:tab/>
          </w:r>
          <w:r>
            <w:fldChar w:fldCharType="begin"/>
          </w:r>
          <w:r>
            <w:instrText xml:space="preserve"> PAGEREF _Toc124173970 \h </w:instrText>
          </w:r>
          <w:r>
            <w:fldChar w:fldCharType="separate"/>
          </w:r>
          <w:r>
            <w:t>61</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"_Toc124173971" </w:instrText>
          </w:r>
          <w:r>
            <w:fldChar w:fldCharType="separate"/>
          </w:r>
          <w:r>
            <w:rPr>
              <w:rStyle w:val="38"/>
            </w:rPr>
            <w:t>16.4</w:t>
          </w:r>
          <w:r>
            <w:rPr>
              <w:rStyle w:val="38"/>
              <w:rFonts w:hint="eastAsia"/>
            </w:rPr>
            <w:t xml:space="preserve"> 在橡胶试验中的应用</w:t>
          </w:r>
          <w:r>
            <w:tab/>
          </w:r>
          <w:r>
            <w:fldChar w:fldCharType="begin"/>
          </w:r>
          <w:r>
            <w:instrText xml:space="preserve"> PAGEREF _Toc124173971 \h </w:instrText>
          </w:r>
          <w:r>
            <w:fldChar w:fldCharType="separate"/>
          </w:r>
          <w:r>
            <w:t>62</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"_Toc124173972" </w:instrText>
          </w:r>
          <w:r>
            <w:fldChar w:fldCharType="separate"/>
          </w:r>
          <w:r>
            <w:rPr>
              <w:rStyle w:val="38"/>
            </w:rPr>
            <w:t>17</w:t>
          </w:r>
          <w:r>
            <w:rPr>
              <w:rStyle w:val="38"/>
              <w:rFonts w:hint="eastAsia"/>
            </w:rPr>
            <w:t xml:space="preserve"> 实验设计</w:t>
          </w:r>
          <w:r>
            <w:tab/>
          </w:r>
          <w:r>
            <w:fldChar w:fldCharType="begin"/>
          </w:r>
          <w:r>
            <w:instrText xml:space="preserve"> PAGEREF _Toc124173972 \h </w:instrText>
          </w:r>
          <w:r>
            <w:fldChar w:fldCharType="separate"/>
          </w:r>
          <w:r>
            <w:t>62</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"_Toc124173973" </w:instrText>
          </w:r>
          <w:r>
            <w:fldChar w:fldCharType="separate"/>
          </w:r>
          <w:r>
            <w:rPr>
              <w:rStyle w:val="38"/>
            </w:rPr>
            <w:t>17.1</w:t>
          </w:r>
          <w:r>
            <w:rPr>
              <w:rStyle w:val="38"/>
              <w:rFonts w:hint="eastAsia"/>
            </w:rPr>
            <w:t xml:space="preserve"> 一般信息及原理</w:t>
          </w:r>
          <w:r>
            <w:tab/>
          </w:r>
          <w:r>
            <w:fldChar w:fldCharType="begin"/>
          </w:r>
          <w:r>
            <w:instrText xml:space="preserve"> PAGEREF _Toc124173973 \h </w:instrText>
          </w:r>
          <w:r>
            <w:fldChar w:fldCharType="separate"/>
          </w:r>
          <w:r>
            <w:t>62</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"_Toc124173974" </w:instrText>
          </w:r>
          <w:r>
            <w:fldChar w:fldCharType="separate"/>
          </w:r>
          <w:r>
            <w:rPr>
              <w:rStyle w:val="38"/>
            </w:rPr>
            <w:t>17.2</w:t>
          </w:r>
          <w:r>
            <w:rPr>
              <w:rStyle w:val="38"/>
              <w:rFonts w:hint="eastAsia"/>
            </w:rPr>
            <w:t xml:space="preserve"> 方法</w:t>
          </w:r>
          <w:r>
            <w:tab/>
          </w:r>
          <w:r>
            <w:fldChar w:fldCharType="begin"/>
          </w:r>
          <w:r>
            <w:instrText xml:space="preserve"> PAGEREF _Toc124173974 \h </w:instrText>
          </w:r>
          <w:r>
            <w:fldChar w:fldCharType="separate"/>
          </w:r>
          <w:r>
            <w:t>72</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"_Toc124173975" </w:instrText>
          </w:r>
          <w:r>
            <w:fldChar w:fldCharType="separate"/>
          </w:r>
          <w:r>
            <w:rPr>
              <w:rStyle w:val="38"/>
            </w:rPr>
            <w:t>17.3</w:t>
          </w:r>
          <w:r>
            <w:rPr>
              <w:rStyle w:val="38"/>
              <w:rFonts w:hint="eastAsia"/>
            </w:rPr>
            <w:t xml:space="preserve"> 在橡胶试验中的应用</w:t>
          </w:r>
          <w:r>
            <w:tab/>
          </w:r>
          <w:r>
            <w:fldChar w:fldCharType="begin"/>
          </w:r>
          <w:r>
            <w:instrText xml:space="preserve"> PAGEREF _Toc124173975 \h </w:instrText>
          </w:r>
          <w:r>
            <w:fldChar w:fldCharType="separate"/>
          </w:r>
          <w:r>
            <w:t>76</w:t>
          </w:r>
          <w:r>
            <w:fldChar w:fldCharType="end"/>
          </w:r>
          <w:r>
            <w:fldChar w:fldCharType="end"/>
          </w:r>
        </w:p>
        <w:p>
          <w:pPr>
            <w:pStyle w:val="28"/>
            <w:rPr>
              <w:rFonts w:asciiTheme="minorHAnsi" w:hAnsiTheme="minorHAnsi" w:eastAsiaTheme="minorEastAsia" w:cstheme="minorBidi"/>
              <w:szCs w:val="22"/>
            </w:rPr>
          </w:pPr>
          <w:r>
            <w:fldChar w:fldCharType="begin"/>
          </w:r>
          <w:r>
            <w:instrText xml:space="preserve"> HYPERLINK \l "_Toc124173976" </w:instrText>
          </w:r>
          <w:r>
            <w:fldChar w:fldCharType="separate"/>
          </w:r>
          <w:r>
            <w:rPr>
              <w:rStyle w:val="38"/>
            </w:rPr>
            <w:t>18</w:t>
          </w:r>
          <w:r>
            <w:rPr>
              <w:rStyle w:val="38"/>
              <w:rFonts w:hint="eastAsia"/>
            </w:rPr>
            <w:t xml:space="preserve"> 统计学质量控制</w:t>
          </w:r>
          <w:r>
            <w:tab/>
          </w:r>
          <w:r>
            <w:fldChar w:fldCharType="begin"/>
          </w:r>
          <w:r>
            <w:instrText xml:space="preserve"> PAGEREF _Toc124173976 \h </w:instrText>
          </w:r>
          <w:r>
            <w:fldChar w:fldCharType="separate"/>
          </w:r>
          <w:r>
            <w:t>85</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"_Toc124173977" </w:instrText>
          </w:r>
          <w:r>
            <w:fldChar w:fldCharType="separate"/>
          </w:r>
          <w:r>
            <w:rPr>
              <w:rStyle w:val="38"/>
            </w:rPr>
            <w:t>18.1</w:t>
          </w:r>
          <w:r>
            <w:rPr>
              <w:rStyle w:val="38"/>
              <w:rFonts w:hint="eastAsia"/>
            </w:rPr>
            <w:t xml:space="preserve"> 原理</w:t>
          </w:r>
          <w:r>
            <w:tab/>
          </w:r>
          <w:r>
            <w:fldChar w:fldCharType="begin"/>
          </w:r>
          <w:r>
            <w:instrText xml:space="preserve"> PAGEREF _Toc124173977 \h </w:instrText>
          </w:r>
          <w:r>
            <w:fldChar w:fldCharType="separate"/>
          </w:r>
          <w:r>
            <w:t>85</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"_Toc124173978" </w:instrText>
          </w:r>
          <w:r>
            <w:fldChar w:fldCharType="separate"/>
          </w:r>
          <w:r>
            <w:rPr>
              <w:rStyle w:val="38"/>
            </w:rPr>
            <w:t>18.2</w:t>
          </w:r>
          <w:r>
            <w:rPr>
              <w:rStyle w:val="38"/>
              <w:rFonts w:hint="eastAsia"/>
            </w:rPr>
            <w:t xml:space="preserve"> 方法</w:t>
          </w:r>
          <w:r>
            <w:tab/>
          </w:r>
          <w:r>
            <w:fldChar w:fldCharType="begin"/>
          </w:r>
          <w:r>
            <w:instrText xml:space="preserve"> PAGEREF _Toc124173978 \h </w:instrText>
          </w:r>
          <w:r>
            <w:fldChar w:fldCharType="separate"/>
          </w:r>
          <w:r>
            <w:t>85</w:t>
          </w:r>
          <w:r>
            <w:fldChar w:fldCharType="end"/>
          </w:r>
          <w:r>
            <w:fldChar w:fldCharType="end"/>
          </w:r>
        </w:p>
        <w:p>
          <w:pPr>
            <w:pStyle w:val="12"/>
            <w:ind w:firstLine="210"/>
            <w:rPr>
              <w:rFonts w:asciiTheme="minorHAnsi" w:hAnsiTheme="minorHAnsi" w:eastAsiaTheme="minorEastAsia" w:cstheme="minorBidi"/>
              <w:szCs w:val="22"/>
            </w:rPr>
          </w:pPr>
          <w:r>
            <w:fldChar w:fldCharType="begin"/>
          </w:r>
          <w:r>
            <w:instrText xml:space="preserve"> HYPERLINK \l "_Toc124173979" </w:instrText>
          </w:r>
          <w:r>
            <w:fldChar w:fldCharType="separate"/>
          </w:r>
          <w:r>
            <w:rPr>
              <w:rStyle w:val="38"/>
            </w:rPr>
            <w:t>18.3</w:t>
          </w:r>
          <w:r>
            <w:rPr>
              <w:rStyle w:val="38"/>
              <w:rFonts w:hint="eastAsia"/>
            </w:rPr>
            <w:t xml:space="preserve"> 在橡胶试验中的应用</w:t>
          </w:r>
          <w:r>
            <w:tab/>
          </w:r>
          <w:r>
            <w:fldChar w:fldCharType="begin"/>
          </w:r>
          <w:r>
            <w:instrText xml:space="preserve"> PAGEREF _Toc124173979 \h </w:instrText>
          </w:r>
          <w:r>
            <w:fldChar w:fldCharType="separate"/>
          </w:r>
          <w:r>
            <w:t>87</w:t>
          </w:r>
          <w:r>
            <w:fldChar w:fldCharType="end"/>
          </w:r>
          <w:r>
            <w:fldChar w:fldCharType="end"/>
          </w:r>
        </w:p>
        <w:p>
          <w:pPr>
            <w:pStyle w:val="19"/>
            <w:rPr>
              <w:rFonts w:asciiTheme="minorHAnsi" w:hAnsiTheme="minorHAnsi" w:eastAsiaTheme="minorEastAsia" w:cstheme="minorBidi"/>
              <w:szCs w:val="22"/>
            </w:rPr>
          </w:pPr>
          <w:r>
            <w:fldChar w:fldCharType="begin"/>
          </w:r>
          <w:r>
            <w:instrText xml:space="preserve"> HYPERLINK \l "_Toc124173980" </w:instrText>
          </w:r>
          <w:r>
            <w:fldChar w:fldCharType="separate"/>
          </w:r>
          <w:r>
            <w:rPr>
              <w:rStyle w:val="38"/>
              <w:rFonts w:hint="eastAsia"/>
            </w:rPr>
            <w:t>附　录　A （资料性）</w:t>
          </w:r>
          <w:r>
            <w:rPr>
              <w:rStyle w:val="38"/>
            </w:rPr>
            <w:t xml:space="preserve"> </w:t>
          </w:r>
          <w:r>
            <w:rPr>
              <w:rStyle w:val="38"/>
              <w:rFonts w:hint="eastAsia"/>
            </w:rPr>
            <w:t>本文件中引用的分布函数的数学形式</w:t>
          </w:r>
          <w:r>
            <w:tab/>
          </w:r>
          <w:r>
            <w:fldChar w:fldCharType="begin"/>
          </w:r>
          <w:r>
            <w:instrText xml:space="preserve"> PAGEREF _Toc124173980 \h </w:instrText>
          </w:r>
          <w:r>
            <w:fldChar w:fldCharType="separate"/>
          </w:r>
          <w:r>
            <w:t>93</w:t>
          </w:r>
          <w:r>
            <w:fldChar w:fldCharType="end"/>
          </w:r>
          <w:r>
            <w:fldChar w:fldCharType="end"/>
          </w:r>
        </w:p>
        <w:p>
          <w:pPr>
            <w:pStyle w:val="19"/>
            <w:rPr>
              <w:rFonts w:asciiTheme="minorHAnsi" w:hAnsiTheme="minorHAnsi" w:eastAsiaTheme="minorEastAsia" w:cstheme="minorBidi"/>
              <w:szCs w:val="22"/>
            </w:rPr>
          </w:pPr>
          <w:r>
            <w:fldChar w:fldCharType="begin"/>
          </w:r>
          <w:r>
            <w:instrText xml:space="preserve"> HYPERLINK \l "_Toc124173981" </w:instrText>
          </w:r>
          <w:r>
            <w:fldChar w:fldCharType="separate"/>
          </w:r>
          <w:r>
            <w:rPr>
              <w:rStyle w:val="38"/>
              <w:rFonts w:hint="eastAsia"/>
            </w:rPr>
            <w:t>附　录　B （资料性）</w:t>
          </w:r>
          <w:r>
            <w:rPr>
              <w:rStyle w:val="38"/>
            </w:rPr>
            <w:t xml:space="preserve"> </w:t>
          </w:r>
          <w:r>
            <w:rPr>
              <w:rStyle w:val="38"/>
              <w:rFonts w:hint="eastAsia"/>
            </w:rPr>
            <w:t>平均值的其他形式</w:t>
          </w:r>
          <w:r>
            <w:tab/>
          </w:r>
          <w:r>
            <w:fldChar w:fldCharType="begin"/>
          </w:r>
          <w:r>
            <w:instrText xml:space="preserve"> PAGEREF _Toc124173981 \h </w:instrText>
          </w:r>
          <w:r>
            <w:fldChar w:fldCharType="separate"/>
          </w:r>
          <w:r>
            <w:t>95</w:t>
          </w:r>
          <w:r>
            <w:fldChar w:fldCharType="end"/>
          </w:r>
          <w:r>
            <w:fldChar w:fldCharType="end"/>
          </w:r>
        </w:p>
        <w:p>
          <w:pPr>
            <w:pStyle w:val="19"/>
            <w:rPr>
              <w:rFonts w:asciiTheme="minorHAnsi" w:hAnsiTheme="minorHAnsi" w:eastAsiaTheme="minorEastAsia" w:cstheme="minorBidi"/>
              <w:szCs w:val="22"/>
            </w:rPr>
          </w:pPr>
          <w:r>
            <w:fldChar w:fldCharType="begin"/>
          </w:r>
          <w:r>
            <w:instrText xml:space="preserve"> HYPERLINK \l "_Toc124173982" </w:instrText>
          </w:r>
          <w:r>
            <w:fldChar w:fldCharType="separate"/>
          </w:r>
          <w:r>
            <w:rPr>
              <w:rStyle w:val="38"/>
              <w:rFonts w:hint="eastAsia"/>
            </w:rPr>
            <w:t>附　录　C （资料性）</w:t>
          </w:r>
          <w:r>
            <w:rPr>
              <w:rStyle w:val="38"/>
            </w:rPr>
            <w:t xml:space="preserve"> </w:t>
          </w:r>
          <w:r>
            <w:rPr>
              <w:rStyle w:val="38"/>
              <w:rFonts w:hint="eastAsia"/>
            </w:rPr>
            <w:t>在双指数和威布尔分布中集中趋势度量的相互关系</w:t>
          </w:r>
          <w:r>
            <w:tab/>
          </w:r>
          <w:r>
            <w:fldChar w:fldCharType="begin"/>
          </w:r>
          <w:r>
            <w:instrText xml:space="preserve"> PAGEREF _Toc124173982 \h </w:instrText>
          </w:r>
          <w:r>
            <w:fldChar w:fldCharType="separate"/>
          </w:r>
          <w:r>
            <w:t>95</w:t>
          </w:r>
          <w:r>
            <w:fldChar w:fldCharType="end"/>
          </w:r>
          <w:r>
            <w:fldChar w:fldCharType="end"/>
          </w:r>
        </w:p>
        <w:p>
          <w:pPr>
            <w:pStyle w:val="19"/>
            <w:rPr>
              <w:rFonts w:asciiTheme="minorHAnsi" w:hAnsiTheme="minorHAnsi" w:eastAsiaTheme="minorEastAsia" w:cstheme="minorBidi"/>
              <w:szCs w:val="22"/>
            </w:rPr>
          </w:pPr>
          <w:r>
            <w:fldChar w:fldCharType="begin"/>
          </w:r>
          <w:r>
            <w:instrText xml:space="preserve"> HYPERLINK \l "_Toc124173985" </w:instrText>
          </w:r>
          <w:r>
            <w:fldChar w:fldCharType="separate"/>
          </w:r>
          <w:r>
            <w:rPr>
              <w:rStyle w:val="38"/>
              <w:rFonts w:hint="eastAsia"/>
            </w:rPr>
            <w:t>附　录　D （资料性）</w:t>
          </w:r>
          <w:r>
            <w:rPr>
              <w:rStyle w:val="38"/>
            </w:rPr>
            <w:t xml:space="preserve"> </w:t>
          </w:r>
          <w:r>
            <w:rPr>
              <w:rStyle w:val="38"/>
              <w:rFonts w:hint="eastAsia"/>
            </w:rPr>
            <w:t>计算标准差的公式</w:t>
          </w:r>
          <w:r>
            <w:tab/>
          </w:r>
          <w:r>
            <w:fldChar w:fldCharType="begin"/>
          </w:r>
          <w:r>
            <w:instrText xml:space="preserve"> PAGEREF _Toc124173985 \h </w:instrText>
          </w:r>
          <w:r>
            <w:fldChar w:fldCharType="separate"/>
          </w:r>
          <w:r>
            <w:t>96</w:t>
          </w:r>
          <w:r>
            <w:fldChar w:fldCharType="end"/>
          </w:r>
          <w:r>
            <w:fldChar w:fldCharType="end"/>
          </w:r>
        </w:p>
        <w:p>
          <w:pPr>
            <w:pStyle w:val="19"/>
            <w:rPr>
              <w:rFonts w:asciiTheme="minorHAnsi" w:hAnsiTheme="minorHAnsi" w:eastAsiaTheme="minorEastAsia" w:cstheme="minorBidi"/>
              <w:szCs w:val="22"/>
            </w:rPr>
          </w:pPr>
          <w:r>
            <w:fldChar w:fldCharType="begin"/>
          </w:r>
          <w:r>
            <w:instrText xml:space="preserve"> HYPERLINK \l "_Toc124173986" </w:instrText>
          </w:r>
          <w:r>
            <w:fldChar w:fldCharType="separate"/>
          </w:r>
          <w:r>
            <w:rPr>
              <w:rStyle w:val="38"/>
              <w:rFonts w:hint="eastAsia"/>
            </w:rPr>
            <w:t>附　录　E （资料性）</w:t>
          </w:r>
          <w:r>
            <w:rPr>
              <w:rStyle w:val="38"/>
            </w:rPr>
            <w:t xml:space="preserve"> </w:t>
          </w:r>
          <w:r>
            <w:rPr>
              <w:rStyle w:val="38"/>
              <w:rFonts w:hint="eastAsia"/>
            </w:rPr>
            <w:t>构建威布尔概率纸</w:t>
          </w:r>
          <w:r>
            <w:tab/>
          </w:r>
          <w:r>
            <w:fldChar w:fldCharType="begin"/>
          </w:r>
          <w:r>
            <w:instrText xml:space="preserve"> PAGEREF _Toc124173986 \h </w:instrText>
          </w:r>
          <w:r>
            <w:fldChar w:fldCharType="separate"/>
          </w:r>
          <w:r>
            <w:t>98</w:t>
          </w:r>
          <w:r>
            <w:fldChar w:fldCharType="end"/>
          </w:r>
          <w:r>
            <w:fldChar w:fldCharType="end"/>
          </w:r>
        </w:p>
        <w:p>
          <w:pPr>
            <w:pStyle w:val="19"/>
            <w:rPr>
              <w:rFonts w:asciiTheme="minorHAnsi" w:hAnsiTheme="minorHAnsi" w:eastAsiaTheme="minorEastAsia" w:cstheme="minorBidi"/>
              <w:szCs w:val="22"/>
            </w:rPr>
          </w:pPr>
          <w:r>
            <w:fldChar w:fldCharType="begin"/>
          </w:r>
          <w:r>
            <w:instrText xml:space="preserve"> HYPERLINK \l "_Toc124173987" </w:instrText>
          </w:r>
          <w:r>
            <w:fldChar w:fldCharType="separate"/>
          </w:r>
          <w:r>
            <w:rPr>
              <w:rStyle w:val="38"/>
              <w:rFonts w:hint="eastAsia"/>
            </w:rPr>
            <w:t>附　录　F （资料性）</w:t>
          </w:r>
          <w:r>
            <w:rPr>
              <w:rStyle w:val="38"/>
            </w:rPr>
            <w:t xml:space="preserve"> </w:t>
          </w:r>
          <w:r>
            <w:rPr>
              <w:rStyle w:val="38"/>
              <w:rFonts w:hint="eastAsia"/>
            </w:rPr>
            <w:t>计算学生</w:t>
          </w:r>
          <w:r>
            <w:rPr>
              <w:rStyle w:val="38"/>
              <w:i/>
            </w:rPr>
            <w:t>t</w:t>
          </w:r>
          <w:r>
            <w:rPr>
              <w:rStyle w:val="38"/>
              <w:rFonts w:hint="eastAsia"/>
            </w:rPr>
            <w:t>值的公式</w:t>
          </w:r>
          <w:r>
            <w:tab/>
          </w:r>
          <w:r>
            <w:fldChar w:fldCharType="begin"/>
          </w:r>
          <w:r>
            <w:instrText xml:space="preserve"> PAGEREF _Toc124173987 \h </w:instrText>
          </w:r>
          <w:r>
            <w:fldChar w:fldCharType="separate"/>
          </w:r>
          <w:r>
            <w:t>99</w:t>
          </w:r>
          <w:r>
            <w:fldChar w:fldCharType="end"/>
          </w:r>
          <w:r>
            <w:fldChar w:fldCharType="end"/>
          </w:r>
        </w:p>
        <w:p>
          <w:pPr>
            <w:pStyle w:val="19"/>
            <w:rPr>
              <w:rFonts w:asciiTheme="minorHAnsi" w:hAnsiTheme="minorHAnsi" w:eastAsiaTheme="minorEastAsia" w:cstheme="minorBidi"/>
              <w:szCs w:val="22"/>
            </w:rPr>
          </w:pPr>
          <w:r>
            <w:fldChar w:fldCharType="begin"/>
          </w:r>
          <w:r>
            <w:instrText xml:space="preserve"> HYPERLINK \l "_Toc124173988" </w:instrText>
          </w:r>
          <w:r>
            <w:fldChar w:fldCharType="separate"/>
          </w:r>
          <w:r>
            <w:rPr>
              <w:rStyle w:val="38"/>
              <w:rFonts w:hint="eastAsia"/>
            </w:rPr>
            <w:t>附　录　G （资料性）</w:t>
          </w:r>
          <w:r>
            <w:rPr>
              <w:rStyle w:val="38"/>
            </w:rPr>
            <w:t xml:space="preserve"> </w:t>
          </w:r>
          <w:r>
            <w:rPr>
              <w:rStyle w:val="38"/>
              <w:rFonts w:hint="eastAsia"/>
            </w:rPr>
            <w:t>方差分析</w:t>
          </w:r>
          <w:r>
            <w:tab/>
          </w:r>
          <w:r>
            <w:fldChar w:fldCharType="begin"/>
          </w:r>
          <w:r>
            <w:instrText xml:space="preserve"> PAGEREF _Toc124173988 \h </w:instrText>
          </w:r>
          <w:r>
            <w:fldChar w:fldCharType="separate"/>
          </w:r>
          <w:r>
            <w:t>99</w:t>
          </w:r>
          <w:r>
            <w:fldChar w:fldCharType="end"/>
          </w:r>
          <w:r>
            <w:fldChar w:fldCharType="end"/>
          </w:r>
        </w:p>
        <w:p>
          <w:pPr>
            <w:pStyle w:val="19"/>
            <w:rPr>
              <w:rFonts w:asciiTheme="minorHAnsi" w:hAnsiTheme="minorHAnsi" w:eastAsiaTheme="minorEastAsia" w:cstheme="minorBidi"/>
              <w:szCs w:val="22"/>
            </w:rPr>
          </w:pPr>
          <w:r>
            <w:fldChar w:fldCharType="begin"/>
          </w:r>
          <w:r>
            <w:instrText xml:space="preserve"> HYPERLINK \l "_Toc124173991" </w:instrText>
          </w:r>
          <w:r>
            <w:fldChar w:fldCharType="separate"/>
          </w:r>
          <w:r>
            <w:rPr>
              <w:rStyle w:val="38"/>
              <w:rFonts w:hint="eastAsia"/>
            </w:rPr>
            <w:t>附　录　H （资料性）</w:t>
          </w:r>
          <w:r>
            <w:rPr>
              <w:rStyle w:val="38"/>
            </w:rPr>
            <w:t xml:space="preserve"> </w:t>
          </w:r>
          <w:r>
            <w:rPr>
              <w:rStyle w:val="38"/>
              <w:rFonts w:hint="eastAsia"/>
            </w:rPr>
            <w:t>计算回归系数的方程</w:t>
          </w:r>
          <w:r>
            <w:rPr>
              <w:rStyle w:val="38"/>
            </w:rPr>
            <w:t>/</w:t>
          </w:r>
          <w:r>
            <w:rPr>
              <w:rStyle w:val="38"/>
              <w:rFonts w:hint="eastAsia"/>
            </w:rPr>
            <w:t>利用</w:t>
          </w:r>
          <w:r>
            <w:rPr>
              <w:rStyle w:val="38"/>
            </w:rPr>
            <w:t>excel</w:t>
          </w:r>
          <w:r>
            <w:rPr>
              <w:rStyle w:val="38"/>
              <w:rFonts w:hint="eastAsia"/>
            </w:rPr>
            <w:t>计算多元函数回归的方法</w:t>
          </w:r>
          <w:r>
            <w:tab/>
          </w:r>
          <w:r>
            <w:fldChar w:fldCharType="begin"/>
          </w:r>
          <w:r>
            <w:instrText xml:space="preserve"> PAGEREF _Toc124173991 \h </w:instrText>
          </w:r>
          <w:r>
            <w:fldChar w:fldCharType="separate"/>
          </w:r>
          <w:r>
            <w:t>103</w:t>
          </w:r>
          <w:r>
            <w:fldChar w:fldCharType="end"/>
          </w:r>
          <w:r>
            <w:fldChar w:fldCharType="end"/>
          </w:r>
        </w:p>
        <w:p>
          <w:pPr>
            <w:pStyle w:val="19"/>
            <w:rPr>
              <w:rFonts w:asciiTheme="minorHAnsi" w:hAnsiTheme="minorHAnsi" w:eastAsiaTheme="minorEastAsia" w:cstheme="minorBidi"/>
              <w:szCs w:val="22"/>
            </w:rPr>
          </w:pPr>
          <w:r>
            <w:fldChar w:fldCharType="begin"/>
          </w:r>
          <w:r>
            <w:instrText xml:space="preserve"> HYPERLINK \l "_Toc124173996" </w:instrText>
          </w:r>
          <w:r>
            <w:fldChar w:fldCharType="separate"/>
          </w:r>
          <w:r>
            <w:rPr>
              <w:rStyle w:val="38"/>
              <w:rFonts w:hint="eastAsia"/>
            </w:rPr>
            <w:t>附　录　I （资料性）</w:t>
          </w:r>
          <w:r>
            <w:rPr>
              <w:rStyle w:val="38"/>
            </w:rPr>
            <w:t xml:space="preserve"> Intercal</w:t>
          </w:r>
          <w:r>
            <w:rPr>
              <w:rStyle w:val="38"/>
              <w:rFonts w:hint="eastAsia"/>
            </w:rPr>
            <w:t>介入法</w:t>
          </w:r>
          <w:r>
            <w:tab/>
          </w:r>
          <w:r>
            <w:fldChar w:fldCharType="begin"/>
          </w:r>
          <w:r>
            <w:instrText xml:space="preserve"> PAGEREF _Toc124173996 \h </w:instrText>
          </w:r>
          <w:r>
            <w:fldChar w:fldCharType="separate"/>
          </w:r>
          <w:r>
            <w:t>105</w:t>
          </w:r>
          <w:r>
            <w:fldChar w:fldCharType="end"/>
          </w:r>
          <w:r>
            <w:fldChar w:fldCharType="end"/>
          </w:r>
        </w:p>
        <w:p>
          <w:pPr>
            <w:pStyle w:val="19"/>
            <w:rPr>
              <w:rFonts w:asciiTheme="minorHAnsi" w:hAnsiTheme="minorHAnsi" w:eastAsiaTheme="minorEastAsia" w:cstheme="minorBidi"/>
              <w:szCs w:val="22"/>
            </w:rPr>
          </w:pPr>
          <w:r>
            <w:fldChar w:fldCharType="begin"/>
          </w:r>
          <w:r>
            <w:instrText xml:space="preserve"> HYPERLINK \l "_Toc124173997" </w:instrText>
          </w:r>
          <w:r>
            <w:fldChar w:fldCharType="separate"/>
          </w:r>
          <w:r>
            <w:rPr>
              <w:rStyle w:val="38"/>
              <w:rFonts w:hint="eastAsia"/>
            </w:rPr>
            <w:t>参考文献</w:t>
          </w:r>
          <w:r>
            <w:tab/>
          </w:r>
          <w:r>
            <w:fldChar w:fldCharType="begin"/>
          </w:r>
          <w:r>
            <w:instrText xml:space="preserve"> PAGEREF _Toc124173997 \h </w:instrText>
          </w:r>
          <w:r>
            <w:fldChar w:fldCharType="separate"/>
          </w:r>
          <w:r>
            <w:t>107</w:t>
          </w:r>
          <w:r>
            <w:fldChar w:fldCharType="end"/>
          </w:r>
          <w:r>
            <w:fldChar w:fldCharType="end"/>
          </w:r>
        </w:p>
        <w:p>
          <w:r>
            <w:rPr>
              <w:b/>
              <w:bCs/>
              <w:lang w:val="zh-CN"/>
            </w:rPr>
            <w:fldChar w:fldCharType="end"/>
          </w:r>
        </w:p>
      </w:sdtContent>
    </w:sdt>
    <w:p>
      <w:pPr>
        <w:pStyle w:val="112"/>
      </w:pPr>
    </w:p>
    <w:p>
      <w:pPr>
        <w:widowControl/>
        <w:jc w:val="left"/>
        <w:rPr>
          <w:rFonts w:ascii="黑体" w:eastAsia="黑体"/>
          <w:kern w:val="0"/>
          <w:sz w:val="32"/>
          <w:szCs w:val="20"/>
        </w:rPr>
      </w:pPr>
      <w:r>
        <w:br w:type="page"/>
      </w:r>
    </w:p>
    <w:p>
      <w:pPr>
        <w:pStyle w:val="112"/>
      </w:pPr>
      <w:bookmarkStart w:id="14" w:name="_Toc124173891"/>
      <w:r>
        <w:rPr>
          <w:rFonts w:hint="eastAsia"/>
        </w:rPr>
        <w:t>前</w:t>
      </w:r>
      <w:bookmarkStart w:id="15" w:name="BKQY"/>
      <w:r>
        <w:rPr>
          <w:rFonts w:hint="eastAsia" w:ascii="MS Mincho" w:hAnsi="MS Mincho" w:eastAsia="MS Mincho" w:cs="MS Mincho"/>
        </w:rPr>
        <w:t>  </w:t>
      </w:r>
      <w:r>
        <w:rPr>
          <w:rFonts w:hint="eastAsia"/>
        </w:rPr>
        <w:t>言</w:t>
      </w:r>
      <w:bookmarkEnd w:id="14"/>
      <w:bookmarkEnd w:id="15"/>
    </w:p>
    <w:p>
      <w:pPr>
        <w:pStyle w:val="23"/>
      </w:pPr>
      <w:r>
        <w:t>本文件按照GB/T 1.1—2020《标准化工作导则</w:t>
      </w:r>
      <w:r>
        <w:rPr>
          <w:rFonts w:hint="eastAsia"/>
        </w:rPr>
        <w:t xml:space="preserve"> 第1部分：标准化文件的结构和起草规则</w:t>
      </w:r>
      <w:r>
        <w:t>》的规定起草。</w:t>
      </w:r>
    </w:p>
    <w:p>
      <w:pPr>
        <w:pStyle w:val="23"/>
      </w:pPr>
      <w:r>
        <w:t>本文件由中国石油和化学工业联合会提出。</w:t>
      </w:r>
    </w:p>
    <w:p>
      <w:pPr>
        <w:pStyle w:val="23"/>
      </w:pPr>
      <w:r>
        <w:t>本文件由全国橡胶与橡胶制品标准化技术委员会（</w:t>
      </w:r>
      <w:r>
        <w:rPr>
          <w:rFonts w:hint="eastAsia"/>
        </w:rPr>
        <w:t xml:space="preserve">SAC/TC </w:t>
      </w:r>
      <w:r>
        <w:t>3</w:t>
      </w:r>
      <w:r>
        <w:rPr>
          <w:rFonts w:hint="eastAsia"/>
        </w:rPr>
        <w:t>5</w:t>
      </w:r>
      <w:r>
        <w:t>）归口。</w:t>
      </w:r>
    </w:p>
    <w:p>
      <w:pPr>
        <w:pStyle w:val="23"/>
      </w:pPr>
      <w:r>
        <w:t>本文件的起草单位：</w:t>
      </w:r>
    </w:p>
    <w:p>
      <w:pPr>
        <w:pStyle w:val="23"/>
      </w:pPr>
      <w:r>
        <w:t>本文件的起草人：</w:t>
      </w:r>
    </w:p>
    <w:p>
      <w:pPr>
        <w:pStyle w:val="23"/>
      </w:pPr>
    </w:p>
    <w:p>
      <w:pPr>
        <w:pStyle w:val="23"/>
      </w:pPr>
    </w:p>
    <w:p>
      <w:pPr>
        <w:pStyle w:val="23"/>
        <w:sectPr>
          <w:headerReference r:id="rId7" w:type="default"/>
          <w:footerReference r:id="rId8" w:type="default"/>
          <w:pgSz w:w="11906" w:h="16838"/>
          <w:pgMar w:top="567" w:right="1134" w:bottom="1134" w:left="1418" w:header="1418" w:footer="1134" w:gutter="0"/>
          <w:pgNumType w:fmt="upperRoman" w:start="1"/>
          <w:cols w:space="425" w:num="1"/>
          <w:formProt w:val="0"/>
          <w:docGrid w:type="lines" w:linePitch="312" w:charSpace="0"/>
        </w:sectPr>
      </w:pPr>
    </w:p>
    <w:p>
      <w:pPr>
        <w:pStyle w:val="50"/>
        <w:outlineLvl w:val="9"/>
      </w:pPr>
      <w:bookmarkStart w:id="16" w:name="_Toc117244984"/>
      <w:r>
        <w:rPr>
          <w:rFonts w:hint="eastAsia"/>
        </w:rPr>
        <w:t>橡</w:t>
      </w:r>
      <w:bookmarkStart w:id="17" w:name="StandardName"/>
      <w:r>
        <w:rPr>
          <w:rFonts w:hint="eastAsia"/>
        </w:rPr>
        <w:t>胶与橡胶制品  统计学在物理试验上的应用指南</w:t>
      </w:r>
      <w:bookmarkEnd w:id="16"/>
      <w:bookmarkEnd w:id="17"/>
    </w:p>
    <w:p>
      <w:pPr>
        <w:pStyle w:val="45"/>
      </w:pPr>
      <w:bookmarkStart w:id="18" w:name="_Toc124173892"/>
      <w:r>
        <w:rPr>
          <w:rFonts w:hint="eastAsia"/>
        </w:rPr>
        <w:t>范围</w:t>
      </w:r>
      <w:bookmarkEnd w:id="18"/>
    </w:p>
    <w:p>
      <w:pPr>
        <w:pStyle w:val="23"/>
      </w:pPr>
      <w:r>
        <w:rPr>
          <w:rFonts w:hint="eastAsia"/>
        </w:rPr>
        <w:t>本文件提供了统计学在橡胶试验上的应用指南。本文件并非意在与现行涉及统计学技术的标准相矛盾或将其替代，而是提供补充，并给出</w:t>
      </w:r>
      <w:r>
        <w:rPr>
          <w:rFonts w:ascii="Arial" w:hAnsi="Arial" w:cs="Arial"/>
          <w:color w:val="2E3033"/>
          <w:szCs w:val="21"/>
          <w:shd w:val="clear" w:color="auto" w:fill="FFFFFF"/>
        </w:rPr>
        <w:t>这些技术应用于具体橡胶试验情况的</w:t>
      </w:r>
      <w:r>
        <w:rPr>
          <w:rFonts w:hint="eastAsia" w:ascii="Arial" w:hAnsi="Arial" w:cs="Arial"/>
          <w:color w:val="2E3033"/>
          <w:szCs w:val="21"/>
          <w:shd w:val="clear" w:color="auto" w:fill="FFFFFF"/>
        </w:rPr>
        <w:t>示例</w:t>
      </w:r>
      <w:r>
        <w:rPr>
          <w:rFonts w:ascii="Arial" w:hAnsi="Arial" w:cs="Arial"/>
          <w:color w:val="2E3033"/>
          <w:szCs w:val="21"/>
          <w:shd w:val="clear" w:color="auto" w:fill="FFFFFF"/>
        </w:rPr>
        <w:t>。</w:t>
      </w:r>
    </w:p>
    <w:p>
      <w:pPr>
        <w:pStyle w:val="45"/>
      </w:pPr>
      <w:bookmarkStart w:id="19" w:name="_Toc124173893"/>
      <w:r>
        <w:rPr>
          <w:rFonts w:hint="eastAsia"/>
        </w:rPr>
        <w:t>规范性引用文件</w:t>
      </w:r>
      <w:bookmarkEnd w:id="19"/>
    </w:p>
    <w:p>
      <w:pPr>
        <w:ind w:firstLine="420" w:firstLineChars="200"/>
      </w:pPr>
      <w:r>
        <w:rPr>
          <w:rFonts w:hint="eastAsia"/>
        </w:rPr>
        <w:t>本文件引用其他出版物以提供信息或指南。这些标准列于参考文献中。</w:t>
      </w:r>
    </w:p>
    <w:p>
      <w:pPr>
        <w:pStyle w:val="23"/>
      </w:pPr>
    </w:p>
    <w:p>
      <w:pPr>
        <w:pStyle w:val="45"/>
        <w:rPr>
          <w:rFonts w:hAnsi="黑体"/>
        </w:rPr>
      </w:pPr>
      <w:bookmarkStart w:id="20" w:name="_Toc124173894"/>
      <w:r>
        <w:rPr>
          <w:rFonts w:hAnsi="黑体"/>
        </w:rPr>
        <w:t>术语和定义</w:t>
      </w:r>
      <w:bookmarkEnd w:id="20"/>
    </w:p>
    <w:p>
      <w:pPr>
        <w:ind w:firstLine="420" w:firstLineChars="200"/>
      </w:pPr>
      <w:r>
        <w:t>下列术语</w:t>
      </w:r>
      <w:r>
        <w:rPr>
          <w:rFonts w:hint="eastAsia"/>
        </w:rPr>
        <w:t>和定义适用于本文件。</w:t>
      </w:r>
    </w:p>
    <w:p>
      <w:pPr>
        <w:pStyle w:val="64"/>
      </w:pPr>
      <w:r>
        <w:t>这些术语，尽可能地以非数学术语表述，适用于所用的主要统计学用语。</w:t>
      </w:r>
      <w:r>
        <w:rPr>
          <w:shd w:val="clear" w:color="auto" w:fill="FFFFFF"/>
        </w:rPr>
        <w:t>更全面和严谨的术语列表</w:t>
      </w:r>
      <w:r>
        <w:rPr>
          <w:rFonts w:hint="eastAsia"/>
          <w:shd w:val="clear" w:color="auto" w:fill="FFFFFF"/>
        </w:rPr>
        <w:t>见</w:t>
      </w:r>
      <w:r>
        <w:rPr>
          <w:shd w:val="clear" w:color="auto" w:fill="FFFFFF"/>
        </w:rPr>
        <w:t>ISO 3534的各部分和参考文献中所示的处理专业统计学技术的标准。</w:t>
      </w:r>
    </w:p>
    <w:p>
      <w:pPr>
        <w:pStyle w:val="42"/>
      </w:pPr>
      <w:bookmarkStart w:id="21" w:name="_Toc117244988"/>
      <w:bookmarkEnd w:id="21"/>
      <w:bookmarkStart w:id="22" w:name="_Toc124173114"/>
      <w:bookmarkEnd w:id="22"/>
      <w:bookmarkStart w:id="23" w:name="_Toc124173523"/>
      <w:bookmarkEnd w:id="23"/>
      <w:bookmarkStart w:id="24" w:name="_Toc124173783"/>
      <w:bookmarkEnd w:id="24"/>
      <w:bookmarkStart w:id="25" w:name="_Toc124173659"/>
      <w:bookmarkEnd w:id="25"/>
      <w:bookmarkStart w:id="26" w:name="_Toc124173895"/>
      <w:bookmarkEnd w:id="26"/>
    </w:p>
    <w:p>
      <w:pPr>
        <w:spacing w:before="156" w:beforeLines="50" w:after="156" w:afterLines="50"/>
        <w:ind w:firstLine="420" w:firstLineChars="200"/>
        <w:rPr>
          <w:rFonts w:eastAsia="黑体"/>
        </w:rPr>
      </w:pPr>
      <w:r>
        <w:rPr>
          <w:rFonts w:eastAsia="黑体"/>
        </w:rPr>
        <w:t>总体 population</w:t>
      </w:r>
    </w:p>
    <w:p>
      <w:pPr>
        <w:ind w:firstLine="420" w:firstLineChars="200"/>
      </w:pPr>
      <w:r>
        <w:rPr>
          <w:rFonts w:hint="eastAsia"/>
        </w:rPr>
        <w:t>（理论上）可能获得的用于表征测试橡胶、配合剂或工艺的性能的全部</w:t>
      </w:r>
      <w:r>
        <w:t>数据</w:t>
      </w:r>
    </w:p>
    <w:p>
      <w:pPr>
        <w:pStyle w:val="42"/>
      </w:pPr>
      <w:bookmarkStart w:id="27" w:name="_Toc117244989"/>
      <w:bookmarkEnd w:id="27"/>
      <w:bookmarkStart w:id="28" w:name="_Toc124173115"/>
      <w:bookmarkEnd w:id="28"/>
      <w:bookmarkStart w:id="29" w:name="_Toc124173524"/>
      <w:bookmarkEnd w:id="29"/>
      <w:bookmarkStart w:id="30" w:name="_Toc124173660"/>
      <w:bookmarkEnd w:id="30"/>
      <w:bookmarkStart w:id="31" w:name="_Toc124173896"/>
      <w:bookmarkEnd w:id="31"/>
      <w:bookmarkStart w:id="32" w:name="_Toc124173784"/>
      <w:bookmarkEnd w:id="32"/>
    </w:p>
    <w:p>
      <w:pPr>
        <w:spacing w:before="156" w:beforeLines="50" w:after="156" w:afterLines="50"/>
        <w:ind w:firstLine="420" w:firstLineChars="200"/>
        <w:rPr>
          <w:rFonts w:eastAsia="黑体"/>
        </w:rPr>
      </w:pPr>
      <w:r>
        <w:rPr>
          <w:rFonts w:hint="eastAsia" w:eastAsia="黑体"/>
        </w:rPr>
        <w:t>样本 sample</w:t>
      </w:r>
    </w:p>
    <w:p>
      <w:pPr>
        <w:spacing w:before="156" w:beforeLines="50" w:after="156" w:afterLines="50"/>
        <w:ind w:firstLine="420" w:firstLineChars="200"/>
        <w:rPr>
          <w:rFonts w:ascii="宋体" w:hAnsi="宋体"/>
        </w:rPr>
      </w:pPr>
      <w:r>
        <w:rPr>
          <w:rFonts w:ascii="宋体" w:hAnsi="宋体"/>
        </w:rPr>
        <w:t>从作为已经进行的实验测试程序的结果的总体中实际得到的数据</w:t>
      </w:r>
    </w:p>
    <w:p>
      <w:pPr>
        <w:pStyle w:val="42"/>
      </w:pPr>
      <w:bookmarkStart w:id="33" w:name="_Toc117244990"/>
      <w:bookmarkEnd w:id="33"/>
      <w:bookmarkStart w:id="34" w:name="_Toc124173116"/>
      <w:bookmarkEnd w:id="34"/>
      <w:bookmarkStart w:id="35" w:name="_Toc124173525"/>
      <w:bookmarkEnd w:id="35"/>
      <w:bookmarkStart w:id="36" w:name="_Toc124173661"/>
      <w:bookmarkEnd w:id="36"/>
      <w:bookmarkStart w:id="37" w:name="_Toc124173785"/>
      <w:bookmarkEnd w:id="37"/>
      <w:bookmarkStart w:id="38" w:name="_Toc124173897"/>
      <w:bookmarkEnd w:id="38"/>
    </w:p>
    <w:p>
      <w:pPr>
        <w:spacing w:before="156" w:beforeLines="50" w:after="156" w:afterLines="50"/>
        <w:ind w:firstLine="420" w:firstLineChars="200"/>
        <w:rPr>
          <w:rFonts w:eastAsia="黑体"/>
        </w:rPr>
      </w:pPr>
      <w:r>
        <w:rPr>
          <w:rFonts w:eastAsia="黑体"/>
        </w:rPr>
        <w:t>变异性 variability</w:t>
      </w:r>
    </w:p>
    <w:p>
      <w:pPr>
        <w:spacing w:before="156" w:beforeLines="50" w:after="156" w:afterLines="50"/>
        <w:ind w:firstLine="420" w:firstLineChars="200"/>
        <w:rPr>
          <w:rFonts w:ascii="宋体" w:hAnsi="宋体"/>
        </w:rPr>
      </w:pPr>
      <w:r>
        <w:rPr>
          <w:rFonts w:ascii="宋体" w:hAnsi="宋体"/>
        </w:rPr>
        <w:t>在标称相同试样上实施试验产生不同试验结果的趋势</w:t>
      </w:r>
    </w:p>
    <w:p>
      <w:pPr>
        <w:pStyle w:val="42"/>
      </w:pPr>
      <w:bookmarkStart w:id="39" w:name="_Toc117244991"/>
      <w:bookmarkEnd w:id="39"/>
      <w:bookmarkStart w:id="40" w:name="_Toc124173117"/>
      <w:bookmarkEnd w:id="40"/>
      <w:bookmarkStart w:id="41" w:name="_Toc124173526"/>
      <w:bookmarkEnd w:id="41"/>
      <w:bookmarkStart w:id="42" w:name="_Toc124173662"/>
      <w:bookmarkEnd w:id="42"/>
      <w:bookmarkStart w:id="43" w:name="_Toc124173898"/>
      <w:bookmarkEnd w:id="43"/>
      <w:bookmarkStart w:id="44" w:name="_Toc124173786"/>
      <w:bookmarkEnd w:id="44"/>
    </w:p>
    <w:p>
      <w:pPr>
        <w:spacing w:before="156" w:beforeLines="50" w:after="156" w:afterLines="50"/>
        <w:ind w:firstLine="420" w:firstLineChars="200"/>
        <w:rPr>
          <w:rFonts w:eastAsia="黑体"/>
        </w:rPr>
      </w:pPr>
      <w:r>
        <w:rPr>
          <w:rFonts w:hint="eastAsia" w:eastAsia="黑体"/>
        </w:rPr>
        <w:t>算术平均值 arithmetic mean</w:t>
      </w:r>
    </w:p>
    <w:p>
      <w:pPr>
        <w:spacing w:before="156" w:beforeLines="50" w:after="156" w:afterLines="50"/>
        <w:ind w:firstLine="420" w:firstLineChars="200"/>
        <w:rPr>
          <w:rFonts w:ascii="宋体" w:hAnsi="宋体"/>
        </w:rPr>
      </w:pPr>
      <w:r>
        <w:rPr>
          <w:rFonts w:hint="eastAsia" w:ascii="宋体" w:hAnsi="宋体"/>
        </w:rPr>
        <w:t>(</w:t>
      </w:r>
      <w:r>
        <w:rPr>
          <w:rFonts w:ascii="宋体" w:hAnsi="宋体"/>
        </w:rPr>
        <w:t>总体或样本</w:t>
      </w:r>
      <w:r>
        <w:rPr>
          <w:rFonts w:hint="eastAsia" w:ascii="宋体" w:hAnsi="宋体"/>
        </w:rPr>
        <w:t>)数据总和除以所使用值的个数</w:t>
      </w:r>
    </w:p>
    <w:p>
      <w:pPr>
        <w:pStyle w:val="64"/>
        <w:spacing w:before="120" w:after="120"/>
      </w:pPr>
      <w:r>
        <w:rPr>
          <w:rFonts w:hint="eastAsia"/>
        </w:rPr>
        <w:t>“</w:t>
      </w:r>
      <w:r>
        <w:t>平均</w:t>
      </w:r>
      <w:r>
        <w:rPr>
          <w:rFonts w:hint="eastAsia"/>
        </w:rPr>
        <w:t>(average</w:t>
      </w:r>
      <w:r>
        <w:t>)</w:t>
      </w:r>
      <w:r>
        <w:rPr>
          <w:rFonts w:hint="eastAsia"/>
        </w:rPr>
        <w:t>”</w:t>
      </w:r>
      <w:r>
        <w:t>是描述一组数据最常用的统计</w:t>
      </w:r>
      <w:r>
        <w:rPr>
          <w:rFonts w:hint="eastAsia"/>
        </w:rPr>
        <w:t>量</w:t>
      </w:r>
      <w:r>
        <w:t>。有几种平均</w:t>
      </w:r>
      <w:r>
        <w:rPr>
          <w:rFonts w:hint="eastAsia"/>
        </w:rPr>
        <w:t>(average</w:t>
      </w:r>
      <w:r>
        <w:t>)，它们通常用于普通说法中，但没有指定类型，这可能会造成混淆。平均分为两类：计算性的和位置性的。</w:t>
      </w:r>
      <w:r>
        <w:rPr>
          <w:b/>
        </w:rPr>
        <w:t>算术平均</w:t>
      </w:r>
      <w:r>
        <w:rPr>
          <w:rFonts w:hint="eastAsia"/>
          <w:b/>
        </w:rPr>
        <w:t>值</w:t>
      </w:r>
      <w:r>
        <w:t>是最常用的计算性的平均结果。其他数据见附</w:t>
      </w:r>
      <w:r>
        <w:rPr>
          <w:rFonts w:hint="eastAsia"/>
        </w:rPr>
        <w:t>录B</w:t>
      </w:r>
      <w:r>
        <w:t>。位置平均为</w:t>
      </w:r>
      <w:r>
        <w:rPr>
          <w:b/>
        </w:rPr>
        <w:t>中位数</w:t>
      </w:r>
      <w:r>
        <w:t>和</w:t>
      </w:r>
      <w:r>
        <w:rPr>
          <w:rFonts w:hint="eastAsia"/>
          <w:b/>
        </w:rPr>
        <w:t>众数</w:t>
      </w:r>
      <w:r>
        <w:t>。算术平均值的计算如6.2.2.2的式(1)和式(2)所示。</w:t>
      </w:r>
      <w:bookmarkStart w:id="45" w:name="_Toc117244992"/>
      <w:bookmarkEnd w:id="45"/>
      <w:bookmarkStart w:id="46" w:name="_Toc124173118"/>
      <w:bookmarkEnd w:id="46"/>
      <w:bookmarkStart w:id="47" w:name="_Toc124173527"/>
      <w:bookmarkEnd w:id="47"/>
      <w:bookmarkStart w:id="48" w:name="_Toc124173663"/>
      <w:bookmarkEnd w:id="48"/>
      <w:bookmarkStart w:id="49" w:name="_Toc124173787"/>
      <w:bookmarkEnd w:id="49"/>
      <w:bookmarkStart w:id="50" w:name="_Toc124173899"/>
      <w:bookmarkEnd w:id="50"/>
    </w:p>
    <w:p>
      <w:pPr>
        <w:spacing w:before="156" w:beforeLines="50" w:after="156" w:afterLines="50"/>
        <w:ind w:firstLine="420" w:firstLineChars="200"/>
        <w:rPr>
          <w:rFonts w:eastAsia="黑体"/>
        </w:rPr>
      </w:pPr>
      <w:r>
        <w:rPr>
          <w:rFonts w:eastAsia="黑体"/>
        </w:rPr>
        <w:t>中位数</w:t>
      </w:r>
      <w:r>
        <w:rPr>
          <w:rFonts w:hint="eastAsia" w:eastAsia="黑体"/>
        </w:rPr>
        <w:t xml:space="preserve"> median</w:t>
      </w:r>
    </w:p>
    <w:p>
      <w:pPr>
        <w:spacing w:before="156" w:beforeLines="50" w:after="156" w:afterLines="50"/>
        <w:ind w:firstLine="420" w:firstLineChars="200"/>
        <w:rPr>
          <w:rFonts w:ascii="Arial" w:hAnsi="Arial" w:cs="Arial"/>
          <w:color w:val="2E3033"/>
          <w:kern w:val="0"/>
          <w:szCs w:val="21"/>
          <w:shd w:val="clear" w:color="auto" w:fill="FFFFFF"/>
        </w:rPr>
      </w:pPr>
      <w:r>
        <w:rPr>
          <w:rFonts w:ascii="宋体" w:hAnsi="宋体"/>
        </w:rPr>
        <w:t>当样本中的数据以数字增序排列时的中间的值（或两个中间值的平均数值）</w:t>
      </w:r>
    </w:p>
    <w:p>
      <w:pPr>
        <w:pStyle w:val="42"/>
      </w:pPr>
      <w:bookmarkStart w:id="51" w:name="_Toc117244993"/>
      <w:bookmarkEnd w:id="51"/>
      <w:bookmarkStart w:id="52" w:name="_Toc124173119"/>
      <w:bookmarkEnd w:id="52"/>
      <w:bookmarkStart w:id="53" w:name="_Toc124173528"/>
      <w:bookmarkEnd w:id="53"/>
      <w:bookmarkStart w:id="54" w:name="_Toc124173664"/>
      <w:bookmarkEnd w:id="54"/>
      <w:bookmarkStart w:id="55" w:name="_Toc124173788"/>
      <w:bookmarkEnd w:id="55"/>
      <w:bookmarkStart w:id="56" w:name="_Toc124173900"/>
      <w:bookmarkEnd w:id="56"/>
    </w:p>
    <w:p>
      <w:pPr>
        <w:spacing w:before="156" w:beforeLines="50" w:after="156" w:afterLines="50"/>
        <w:ind w:firstLine="420" w:firstLineChars="200"/>
        <w:rPr>
          <w:rFonts w:eastAsia="黑体"/>
        </w:rPr>
      </w:pPr>
      <w:r>
        <w:rPr>
          <w:rFonts w:hint="eastAsia" w:eastAsia="黑体"/>
        </w:rPr>
        <w:t>众</w:t>
      </w:r>
      <w:r>
        <w:rPr>
          <w:rFonts w:eastAsia="黑体"/>
        </w:rPr>
        <w:t>数</w:t>
      </w:r>
      <w:r>
        <w:rPr>
          <w:rFonts w:hint="eastAsia" w:eastAsia="黑体"/>
        </w:rPr>
        <w:t xml:space="preserve"> mode</w:t>
      </w:r>
    </w:p>
    <w:p>
      <w:pPr>
        <w:spacing w:before="156" w:beforeLines="50" w:after="156" w:afterLines="50"/>
        <w:ind w:firstLine="420" w:firstLineChars="200"/>
        <w:rPr>
          <w:rFonts w:ascii="宋体" w:hAnsi="宋体"/>
        </w:rPr>
      </w:pPr>
      <w:r>
        <w:rPr>
          <w:rFonts w:ascii="宋体" w:hAnsi="宋体"/>
        </w:rPr>
        <w:t>以最大频率出现的</w:t>
      </w:r>
      <w:r>
        <w:rPr>
          <w:rFonts w:hint="eastAsia" w:ascii="宋体" w:hAnsi="宋体"/>
        </w:rPr>
        <w:t>正</w:t>
      </w:r>
      <w:r>
        <w:rPr>
          <w:rFonts w:ascii="宋体" w:hAnsi="宋体"/>
        </w:rPr>
        <w:t>在测量的性能值</w:t>
      </w:r>
    </w:p>
    <w:p>
      <w:pPr>
        <w:pStyle w:val="42"/>
      </w:pPr>
      <w:bookmarkStart w:id="57" w:name="_Toc124173120"/>
      <w:bookmarkEnd w:id="57"/>
      <w:bookmarkStart w:id="58" w:name="_Toc124173529"/>
      <w:bookmarkEnd w:id="58"/>
      <w:bookmarkStart w:id="59" w:name="_Toc124173901"/>
      <w:bookmarkEnd w:id="59"/>
      <w:bookmarkStart w:id="60" w:name="_Toc124173665"/>
      <w:bookmarkEnd w:id="60"/>
      <w:bookmarkStart w:id="61" w:name="_Toc124173789"/>
      <w:bookmarkEnd w:id="61"/>
      <w:bookmarkStart w:id="62" w:name="_Toc117244994"/>
      <w:bookmarkEnd w:id="62"/>
    </w:p>
    <w:p>
      <w:pPr>
        <w:spacing w:before="156" w:beforeLines="50" w:after="156" w:afterLines="50"/>
        <w:ind w:firstLine="420" w:firstLineChars="200"/>
        <w:rPr>
          <w:rFonts w:eastAsia="黑体"/>
        </w:rPr>
      </w:pPr>
      <w:r>
        <w:rPr>
          <w:rFonts w:eastAsia="黑体"/>
        </w:rPr>
        <w:t>残差</w:t>
      </w:r>
      <w:r>
        <w:rPr>
          <w:rFonts w:hint="eastAsia" w:eastAsia="黑体"/>
        </w:rPr>
        <w:t xml:space="preserve"> residual</w:t>
      </w:r>
    </w:p>
    <w:p>
      <w:pPr>
        <w:spacing w:before="156" w:beforeLines="50" w:after="156" w:afterLines="50"/>
        <w:ind w:firstLine="420" w:firstLineChars="200"/>
        <w:rPr>
          <w:rFonts w:ascii="宋体" w:hAnsi="宋体"/>
        </w:rPr>
      </w:pPr>
      <w:r>
        <w:rPr>
          <w:rFonts w:hint="eastAsia" w:ascii="宋体" w:hAnsi="宋体"/>
        </w:rPr>
        <w:t>每个值与平均值之间的差（+或-）</w:t>
      </w:r>
    </w:p>
    <w:p>
      <w:pPr>
        <w:pStyle w:val="64"/>
      </w:pPr>
      <w:r>
        <w:t>残差的和必须等于</w:t>
      </w:r>
      <w:r>
        <w:rPr>
          <w:rFonts w:hint="eastAsia"/>
        </w:rPr>
        <w:t>0。</w:t>
      </w:r>
    </w:p>
    <w:p>
      <w:pPr>
        <w:pStyle w:val="42"/>
      </w:pPr>
      <w:bookmarkStart w:id="63" w:name="_Toc117244995"/>
      <w:bookmarkEnd w:id="63"/>
      <w:bookmarkStart w:id="64" w:name="_Toc124173121"/>
      <w:bookmarkEnd w:id="64"/>
      <w:bookmarkStart w:id="65" w:name="_Toc124173530"/>
      <w:bookmarkEnd w:id="65"/>
      <w:bookmarkStart w:id="66" w:name="_Toc124173666"/>
      <w:bookmarkEnd w:id="66"/>
      <w:bookmarkStart w:id="67" w:name="_Toc124173790"/>
      <w:bookmarkEnd w:id="67"/>
      <w:bookmarkStart w:id="68" w:name="_Toc124173902"/>
      <w:bookmarkEnd w:id="68"/>
    </w:p>
    <w:p>
      <w:pPr>
        <w:spacing w:before="156" w:beforeLines="50" w:after="156" w:afterLines="50"/>
        <w:ind w:firstLine="420" w:firstLineChars="200"/>
        <w:rPr>
          <w:rFonts w:eastAsia="黑体"/>
        </w:rPr>
      </w:pPr>
      <w:r>
        <w:rPr>
          <w:rFonts w:eastAsia="黑体"/>
        </w:rPr>
        <w:t>方差variance</w:t>
      </w:r>
    </w:p>
    <w:p>
      <w:pPr>
        <w:spacing w:before="156" w:beforeLines="50" w:after="156" w:afterLines="50"/>
        <w:ind w:firstLine="420" w:firstLineChars="200"/>
        <w:rPr>
          <w:rFonts w:ascii="宋体" w:hAnsi="宋体"/>
        </w:rPr>
      </w:pPr>
      <w:r>
        <w:rPr>
          <w:rFonts w:ascii="宋体" w:hAnsi="宋体"/>
        </w:rPr>
        <w:t>残差平方的算术平均值</w:t>
      </w:r>
    </w:p>
    <w:p>
      <w:pPr>
        <w:pStyle w:val="42"/>
      </w:pPr>
      <w:bookmarkStart w:id="69" w:name="_Toc117244996"/>
      <w:bookmarkEnd w:id="69"/>
      <w:bookmarkStart w:id="70" w:name="_Toc124173122"/>
      <w:bookmarkEnd w:id="70"/>
      <w:bookmarkStart w:id="71" w:name="_Toc124173903"/>
      <w:bookmarkEnd w:id="71"/>
      <w:bookmarkStart w:id="72" w:name="_Toc124173667"/>
      <w:bookmarkEnd w:id="72"/>
      <w:bookmarkStart w:id="73" w:name="_Toc124173531"/>
      <w:bookmarkEnd w:id="73"/>
      <w:bookmarkStart w:id="74" w:name="_Toc124173791"/>
      <w:bookmarkEnd w:id="74"/>
    </w:p>
    <w:p>
      <w:pPr>
        <w:spacing w:before="156" w:beforeLines="50" w:after="156" w:afterLines="50"/>
        <w:ind w:firstLine="420" w:firstLineChars="200"/>
        <w:rPr>
          <w:rFonts w:eastAsia="黑体"/>
        </w:rPr>
      </w:pPr>
      <w:r>
        <w:rPr>
          <w:rFonts w:eastAsia="黑体"/>
        </w:rPr>
        <w:t xml:space="preserve">标准差standard </w:t>
      </w:r>
      <w:r>
        <w:rPr>
          <w:rFonts w:hint="eastAsia" w:eastAsia="黑体"/>
        </w:rPr>
        <w:t>deviation</w:t>
      </w:r>
    </w:p>
    <w:p>
      <w:pPr>
        <w:spacing w:before="156" w:beforeLines="50" w:after="156" w:afterLines="50"/>
        <w:ind w:firstLine="420" w:firstLineChars="200"/>
        <w:rPr>
          <w:rFonts w:ascii="宋体" w:hAnsi="宋体"/>
        </w:rPr>
      </w:pPr>
      <w:r>
        <w:rPr>
          <w:rFonts w:hint="eastAsia" w:ascii="宋体" w:hAnsi="宋体"/>
        </w:rPr>
        <w:t>方差的平方根</w:t>
      </w:r>
    </w:p>
    <w:p>
      <w:pPr>
        <w:pStyle w:val="42"/>
      </w:pPr>
      <w:bookmarkStart w:id="75" w:name="_Toc117244997"/>
      <w:bookmarkEnd w:id="75"/>
      <w:bookmarkStart w:id="76" w:name="_Toc124173123"/>
      <w:bookmarkEnd w:id="76"/>
      <w:bookmarkStart w:id="77" w:name="_Toc124173532"/>
      <w:bookmarkEnd w:id="77"/>
      <w:bookmarkStart w:id="78" w:name="_Toc124173792"/>
      <w:bookmarkEnd w:id="78"/>
      <w:bookmarkStart w:id="79" w:name="_Toc124173904"/>
      <w:bookmarkEnd w:id="79"/>
      <w:bookmarkStart w:id="80" w:name="_Toc124173668"/>
      <w:bookmarkEnd w:id="80"/>
    </w:p>
    <w:p>
      <w:pPr>
        <w:spacing w:before="156" w:beforeLines="50" w:after="156" w:afterLines="50"/>
        <w:ind w:firstLine="420" w:firstLineChars="200"/>
        <w:rPr>
          <w:rFonts w:eastAsia="黑体"/>
        </w:rPr>
      </w:pPr>
      <w:r>
        <w:rPr>
          <w:rFonts w:eastAsia="黑体"/>
        </w:rPr>
        <w:t>变异系数</w:t>
      </w:r>
      <w:r>
        <w:rPr>
          <w:rFonts w:hint="eastAsia" w:eastAsia="黑体"/>
        </w:rPr>
        <w:t xml:space="preserve"> coefficient of variation </w:t>
      </w:r>
    </w:p>
    <w:p>
      <w:pPr>
        <w:spacing w:before="156" w:beforeLines="50" w:after="156" w:afterLines="50"/>
        <w:ind w:firstLine="420" w:firstLineChars="200"/>
        <w:rPr>
          <w:rFonts w:ascii="宋体" w:hAnsi="宋体"/>
        </w:rPr>
      </w:pPr>
      <w:r>
        <w:rPr>
          <w:rFonts w:ascii="宋体" w:hAnsi="宋体"/>
        </w:rPr>
        <w:t>标准差与平均值的比，通常以百分数表示</w:t>
      </w:r>
    </w:p>
    <w:p>
      <w:pPr>
        <w:pStyle w:val="64"/>
      </w:pPr>
      <w:r>
        <w:t>变异系数的计算在</w:t>
      </w:r>
      <w:r>
        <w:rPr>
          <w:rFonts w:hint="eastAsia"/>
        </w:rPr>
        <w:t>6.2.3.2.3中以公式（8）给出。</w:t>
      </w:r>
    </w:p>
    <w:p>
      <w:pPr>
        <w:pStyle w:val="42"/>
      </w:pPr>
      <w:bookmarkStart w:id="81" w:name="_Toc117244998"/>
      <w:bookmarkEnd w:id="81"/>
      <w:bookmarkStart w:id="82" w:name="_Toc124173124"/>
      <w:bookmarkEnd w:id="82"/>
      <w:bookmarkStart w:id="83" w:name="_Toc124173669"/>
      <w:bookmarkEnd w:id="83"/>
      <w:bookmarkStart w:id="84" w:name="_Toc124173533"/>
      <w:bookmarkEnd w:id="84"/>
      <w:bookmarkStart w:id="85" w:name="_Toc124173905"/>
      <w:bookmarkEnd w:id="85"/>
      <w:bookmarkStart w:id="86" w:name="_Toc124173793"/>
      <w:bookmarkEnd w:id="86"/>
    </w:p>
    <w:p>
      <w:pPr>
        <w:spacing w:before="156" w:beforeLines="50" w:after="156" w:afterLines="50"/>
        <w:ind w:firstLine="420" w:firstLineChars="200"/>
        <w:rPr>
          <w:rFonts w:eastAsia="黑体"/>
        </w:rPr>
      </w:pPr>
      <w:r>
        <w:rPr>
          <w:rFonts w:eastAsia="黑体"/>
        </w:rPr>
        <w:t>极差</w:t>
      </w:r>
      <w:r>
        <w:rPr>
          <w:rFonts w:hint="eastAsia" w:eastAsia="黑体"/>
        </w:rPr>
        <w:t xml:space="preserve"> range</w:t>
      </w:r>
    </w:p>
    <w:p>
      <w:pPr>
        <w:spacing w:before="156" w:beforeLines="50" w:after="156" w:afterLines="50"/>
        <w:ind w:firstLine="420" w:firstLineChars="200"/>
        <w:rPr>
          <w:rFonts w:ascii="宋体" w:hAnsi="宋体"/>
        </w:rPr>
      </w:pPr>
      <w:r>
        <w:rPr>
          <w:rFonts w:ascii="宋体" w:hAnsi="宋体"/>
        </w:rPr>
        <w:t>最大值减去最小值</w:t>
      </w:r>
    </w:p>
    <w:p>
      <w:pPr>
        <w:pStyle w:val="42"/>
      </w:pPr>
      <w:bookmarkStart w:id="87" w:name="_Toc117244999"/>
      <w:bookmarkEnd w:id="87"/>
      <w:bookmarkStart w:id="88" w:name="_Toc124173534"/>
      <w:bookmarkEnd w:id="88"/>
      <w:bookmarkStart w:id="89" w:name="_Toc124173125"/>
      <w:bookmarkEnd w:id="89"/>
      <w:bookmarkStart w:id="90" w:name="_Toc124173670"/>
      <w:bookmarkEnd w:id="90"/>
      <w:bookmarkStart w:id="91" w:name="_Toc124173906"/>
      <w:bookmarkEnd w:id="91"/>
      <w:bookmarkStart w:id="92" w:name="_Toc124173794"/>
      <w:bookmarkEnd w:id="92"/>
    </w:p>
    <w:p>
      <w:pPr>
        <w:spacing w:before="156" w:beforeLines="50" w:after="156" w:afterLines="50"/>
        <w:ind w:firstLine="420" w:firstLineChars="200"/>
        <w:rPr>
          <w:rFonts w:eastAsia="黑体"/>
        </w:rPr>
      </w:pPr>
      <w:r>
        <w:rPr>
          <w:rFonts w:hint="eastAsia" w:eastAsia="黑体"/>
        </w:rPr>
        <w:t>标准误差 standard error</w:t>
      </w:r>
    </w:p>
    <w:p>
      <w:pPr>
        <w:spacing w:before="156" w:beforeLines="50" w:after="156" w:afterLines="50"/>
        <w:ind w:firstLine="420" w:firstLineChars="200"/>
        <w:rPr>
          <w:rFonts w:ascii="宋体" w:hAnsi="宋体"/>
        </w:rPr>
      </w:pPr>
      <w:r>
        <w:rPr>
          <w:rFonts w:ascii="宋体" w:hAnsi="宋体"/>
        </w:rPr>
        <w:t>总体均值估计值的标准差</w:t>
      </w:r>
    </w:p>
    <w:p>
      <w:pPr>
        <w:pStyle w:val="64"/>
      </w:pPr>
      <w:r>
        <w:t>标准误差的计算在</w:t>
      </w:r>
      <w:r>
        <w:rPr>
          <w:rFonts w:hint="eastAsia"/>
        </w:rPr>
        <w:t>6.2</w:t>
      </w:r>
      <w:r>
        <w:t>.</w:t>
      </w:r>
      <w:r>
        <w:rPr>
          <w:rFonts w:hint="eastAsia"/>
        </w:rPr>
        <w:t>3.2.3中以公式（</w:t>
      </w:r>
      <w:r>
        <w:t>7</w:t>
      </w:r>
      <w:r>
        <w:rPr>
          <w:rFonts w:hint="eastAsia"/>
        </w:rPr>
        <w:t>）给出。</w:t>
      </w:r>
    </w:p>
    <w:p>
      <w:pPr>
        <w:pStyle w:val="42"/>
      </w:pPr>
      <w:bookmarkStart w:id="93" w:name="_Toc117245000"/>
      <w:bookmarkEnd w:id="93"/>
      <w:bookmarkStart w:id="94" w:name="_Toc124173126"/>
      <w:bookmarkEnd w:id="94"/>
      <w:bookmarkStart w:id="95" w:name="_Toc124173535"/>
      <w:bookmarkEnd w:id="95"/>
      <w:bookmarkStart w:id="96" w:name="_Toc124173795"/>
      <w:bookmarkEnd w:id="96"/>
      <w:bookmarkStart w:id="97" w:name="_Toc124173671"/>
      <w:bookmarkEnd w:id="97"/>
      <w:bookmarkStart w:id="98" w:name="_Toc124173907"/>
      <w:bookmarkEnd w:id="98"/>
    </w:p>
    <w:p>
      <w:pPr>
        <w:spacing w:before="156" w:beforeLines="50" w:after="156" w:afterLines="50"/>
        <w:ind w:firstLine="420" w:firstLineChars="200"/>
        <w:rPr>
          <w:rFonts w:eastAsia="黑体"/>
        </w:rPr>
      </w:pPr>
      <w:r>
        <w:rPr>
          <w:rFonts w:eastAsia="黑体"/>
        </w:rPr>
        <w:t>偏倚bias</w:t>
      </w:r>
    </w:p>
    <w:p>
      <w:pPr>
        <w:spacing w:before="156" w:beforeLines="50" w:after="156" w:afterLines="50"/>
        <w:ind w:firstLine="420" w:firstLineChars="200"/>
        <w:rPr>
          <w:rFonts w:ascii="宋体" w:hAnsi="宋体"/>
        </w:rPr>
      </w:pPr>
      <w:r>
        <w:rPr>
          <w:rFonts w:ascii="宋体" w:hAnsi="宋体"/>
        </w:rPr>
        <w:t>所估计参数的平均统计值与真值的差，产生于一个或多个系统误差</w:t>
      </w:r>
    </w:p>
    <w:p>
      <w:pPr>
        <w:pStyle w:val="42"/>
      </w:pPr>
      <w:bookmarkStart w:id="99" w:name="_Toc124173796"/>
      <w:bookmarkEnd w:id="99"/>
      <w:bookmarkStart w:id="100" w:name="_Toc117245001"/>
      <w:bookmarkEnd w:id="100"/>
      <w:bookmarkStart w:id="101" w:name="_Toc124173127"/>
      <w:bookmarkEnd w:id="101"/>
      <w:bookmarkStart w:id="102" w:name="_Toc124173536"/>
      <w:bookmarkEnd w:id="102"/>
      <w:bookmarkStart w:id="103" w:name="_Toc124173672"/>
      <w:bookmarkEnd w:id="103"/>
      <w:bookmarkStart w:id="104" w:name="_Toc124173908"/>
      <w:bookmarkEnd w:id="104"/>
    </w:p>
    <w:p>
      <w:pPr>
        <w:spacing w:before="156" w:beforeLines="50" w:after="156" w:afterLines="50"/>
        <w:ind w:firstLine="420" w:firstLineChars="200"/>
        <w:rPr>
          <w:rFonts w:eastAsia="黑体"/>
        </w:rPr>
      </w:pPr>
      <w:r>
        <w:rPr>
          <w:rFonts w:eastAsia="黑体"/>
        </w:rPr>
        <w:t>准确度</w:t>
      </w:r>
      <w:r>
        <w:rPr>
          <w:rFonts w:hint="eastAsia" w:eastAsia="黑体"/>
        </w:rPr>
        <w:t xml:space="preserve"> accuracy</w:t>
      </w:r>
    </w:p>
    <w:p>
      <w:pPr>
        <w:spacing w:before="156" w:beforeLines="50" w:after="156" w:afterLines="50"/>
        <w:ind w:firstLine="420" w:firstLineChars="200"/>
        <w:rPr>
          <w:rFonts w:ascii="宋体" w:hAnsi="宋体"/>
        </w:rPr>
      </w:pPr>
      <w:r>
        <w:rPr>
          <w:rFonts w:hint="eastAsia" w:ascii="宋体" w:hAnsi="宋体"/>
        </w:rPr>
        <w:t>试验结果与可接受的参照值之间的一致程度</w:t>
      </w:r>
    </w:p>
    <w:p>
      <w:pPr>
        <w:pStyle w:val="42"/>
      </w:pPr>
      <w:bookmarkStart w:id="105" w:name="_Toc117245002"/>
      <w:bookmarkEnd w:id="105"/>
      <w:bookmarkStart w:id="106" w:name="_Toc124173128"/>
      <w:bookmarkEnd w:id="106"/>
      <w:bookmarkStart w:id="107" w:name="_Toc124173537"/>
      <w:bookmarkEnd w:id="107"/>
      <w:bookmarkStart w:id="108" w:name="_Toc124173673"/>
      <w:bookmarkEnd w:id="108"/>
      <w:bookmarkStart w:id="109" w:name="_Toc124173797"/>
      <w:bookmarkEnd w:id="109"/>
      <w:bookmarkStart w:id="110" w:name="_Toc124173909"/>
      <w:bookmarkEnd w:id="110"/>
    </w:p>
    <w:p>
      <w:pPr>
        <w:spacing w:before="156" w:beforeLines="50" w:after="156" w:afterLines="50"/>
        <w:ind w:firstLine="420" w:firstLineChars="200"/>
        <w:rPr>
          <w:rFonts w:eastAsia="黑体"/>
        </w:rPr>
      </w:pPr>
      <w:r>
        <w:rPr>
          <w:rFonts w:hint="eastAsia" w:eastAsia="黑体"/>
        </w:rPr>
        <w:t>正确</w:t>
      </w:r>
      <w:r>
        <w:rPr>
          <w:rFonts w:eastAsia="黑体"/>
        </w:rPr>
        <w:t>度</w:t>
      </w:r>
      <w:r>
        <w:rPr>
          <w:rFonts w:hint="eastAsia" w:eastAsia="黑体"/>
        </w:rPr>
        <w:t xml:space="preserve"> trueness</w:t>
      </w:r>
    </w:p>
    <w:p>
      <w:pPr>
        <w:spacing w:before="156" w:beforeLines="50" w:after="156" w:afterLines="50"/>
        <w:ind w:firstLine="420" w:firstLineChars="200"/>
        <w:rPr>
          <w:rFonts w:ascii="宋体" w:hAnsi="宋体"/>
        </w:rPr>
      </w:pPr>
      <w:r>
        <w:rPr>
          <w:rFonts w:hint="eastAsia" w:ascii="宋体" w:hAnsi="宋体"/>
        </w:rPr>
        <w:t>大量试验结果平均值与真值或可接受的参照值之间的一致程度</w:t>
      </w:r>
    </w:p>
    <w:p>
      <w:pPr>
        <w:pStyle w:val="64"/>
        <w:rPr>
          <w:rFonts w:ascii="Times New Roman" w:eastAsia="黑体"/>
        </w:rPr>
      </w:pPr>
      <w:r>
        <w:t>通常用术语偏倚（</w:t>
      </w:r>
      <w:r>
        <w:rPr>
          <w:rFonts w:hint="eastAsia"/>
        </w:rPr>
        <w:t>bias</w:t>
      </w:r>
      <w:r>
        <w:t>）表示。</w:t>
      </w:r>
    </w:p>
    <w:p>
      <w:pPr>
        <w:pStyle w:val="42"/>
      </w:pPr>
      <w:bookmarkStart w:id="111" w:name="_Toc117245003"/>
      <w:bookmarkEnd w:id="111"/>
      <w:bookmarkStart w:id="112" w:name="_Toc124173129"/>
      <w:bookmarkEnd w:id="112"/>
      <w:bookmarkStart w:id="113" w:name="_Toc124173538"/>
      <w:bookmarkEnd w:id="113"/>
      <w:bookmarkStart w:id="114" w:name="_Toc124173674"/>
      <w:bookmarkEnd w:id="114"/>
      <w:bookmarkStart w:id="115" w:name="_Toc124173798"/>
      <w:bookmarkEnd w:id="115"/>
      <w:bookmarkStart w:id="116" w:name="_Toc124173910"/>
      <w:bookmarkEnd w:id="116"/>
    </w:p>
    <w:p>
      <w:pPr>
        <w:spacing w:before="156" w:beforeLines="50" w:after="156" w:afterLines="50"/>
        <w:ind w:firstLine="420" w:firstLineChars="200"/>
        <w:rPr>
          <w:rFonts w:eastAsia="黑体"/>
        </w:rPr>
      </w:pPr>
      <w:r>
        <w:rPr>
          <w:rFonts w:eastAsia="黑体"/>
        </w:rPr>
        <w:t>精密度</w:t>
      </w:r>
      <w:r>
        <w:rPr>
          <w:rFonts w:hint="eastAsia" w:eastAsia="黑体"/>
        </w:rPr>
        <w:t xml:space="preserve"> precision</w:t>
      </w:r>
    </w:p>
    <w:p>
      <w:pPr>
        <w:spacing w:before="156" w:beforeLines="50" w:after="156" w:afterLines="50"/>
        <w:ind w:firstLine="420" w:firstLineChars="200"/>
        <w:rPr>
          <w:rFonts w:ascii="宋体" w:hAnsi="宋体"/>
        </w:rPr>
      </w:pPr>
      <w:r>
        <w:rPr>
          <w:rFonts w:ascii="宋体" w:hAnsi="宋体"/>
        </w:rPr>
        <w:t>试验结果间的一致程度</w:t>
      </w:r>
    </w:p>
    <w:p>
      <w:pPr>
        <w:pStyle w:val="42"/>
      </w:pPr>
      <w:bookmarkStart w:id="117" w:name="_Toc117245004"/>
      <w:bookmarkEnd w:id="117"/>
      <w:bookmarkStart w:id="118" w:name="_Toc124173675"/>
      <w:bookmarkEnd w:id="118"/>
      <w:bookmarkStart w:id="119" w:name="_Toc124173799"/>
      <w:bookmarkEnd w:id="119"/>
      <w:bookmarkStart w:id="120" w:name="_Toc124173130"/>
      <w:bookmarkEnd w:id="120"/>
      <w:bookmarkStart w:id="121" w:name="_Toc124173911"/>
      <w:bookmarkEnd w:id="121"/>
      <w:bookmarkStart w:id="122" w:name="_Toc124173539"/>
      <w:bookmarkEnd w:id="122"/>
    </w:p>
    <w:p>
      <w:pPr>
        <w:spacing w:before="156" w:beforeLines="50" w:after="156" w:afterLines="50"/>
        <w:ind w:firstLine="420" w:firstLineChars="200"/>
        <w:rPr>
          <w:rFonts w:eastAsia="黑体"/>
        </w:rPr>
      </w:pPr>
      <w:r>
        <w:rPr>
          <w:rFonts w:eastAsia="黑体"/>
        </w:rPr>
        <w:t>重复性</w:t>
      </w:r>
      <w:r>
        <w:rPr>
          <w:rFonts w:hint="eastAsia" w:eastAsia="黑体"/>
        </w:rPr>
        <w:t xml:space="preserve"> repeatability</w:t>
      </w:r>
    </w:p>
    <w:p>
      <w:pPr>
        <w:spacing w:before="156" w:beforeLines="50" w:after="156" w:afterLines="50"/>
        <w:ind w:firstLine="420" w:firstLineChars="200"/>
        <w:rPr>
          <w:rFonts w:ascii="宋体" w:hAnsi="宋体"/>
        </w:rPr>
      </w:pPr>
      <w:r>
        <w:rPr>
          <w:rFonts w:ascii="宋体" w:hAnsi="宋体"/>
        </w:rPr>
        <w:t>在短期内使用</w:t>
      </w:r>
      <w:r>
        <w:rPr>
          <w:rFonts w:hint="eastAsia" w:ascii="宋体" w:hAnsi="宋体"/>
        </w:rPr>
        <w:t>同一</w:t>
      </w:r>
      <w:r>
        <w:rPr>
          <w:rFonts w:ascii="宋体" w:hAnsi="宋体"/>
        </w:rPr>
        <w:t>设备由同一操作者在同一实验室内在同</w:t>
      </w:r>
      <w:r>
        <w:rPr>
          <w:rFonts w:hint="eastAsia" w:ascii="宋体" w:hAnsi="宋体"/>
        </w:rPr>
        <w:t>一</w:t>
      </w:r>
      <w:r>
        <w:rPr>
          <w:rFonts w:ascii="宋体" w:hAnsi="宋体"/>
        </w:rPr>
        <w:t>试验材料上用同一方法获得独立试验结果的条件下获得的精密度</w:t>
      </w:r>
    </w:p>
    <w:p>
      <w:pPr>
        <w:pStyle w:val="42"/>
      </w:pPr>
      <w:bookmarkStart w:id="123" w:name="_Toc124173912"/>
      <w:bookmarkEnd w:id="123"/>
      <w:bookmarkStart w:id="124" w:name="_Toc117245005"/>
      <w:bookmarkEnd w:id="124"/>
      <w:bookmarkStart w:id="125" w:name="_Toc124173676"/>
      <w:bookmarkEnd w:id="125"/>
      <w:bookmarkStart w:id="126" w:name="_Toc124173131"/>
      <w:bookmarkEnd w:id="126"/>
      <w:bookmarkStart w:id="127" w:name="_Toc124173540"/>
      <w:bookmarkEnd w:id="127"/>
      <w:bookmarkStart w:id="128" w:name="_Toc124173800"/>
      <w:bookmarkEnd w:id="128"/>
    </w:p>
    <w:p>
      <w:pPr>
        <w:spacing w:before="156" w:beforeLines="50" w:after="156" w:afterLines="50"/>
        <w:ind w:firstLine="420" w:firstLineChars="200"/>
        <w:rPr>
          <w:rFonts w:eastAsia="黑体"/>
        </w:rPr>
      </w:pPr>
      <w:r>
        <w:rPr>
          <w:rFonts w:eastAsia="黑体"/>
        </w:rPr>
        <w:t>重现性</w:t>
      </w:r>
      <w:r>
        <w:rPr>
          <w:rFonts w:hint="eastAsia" w:eastAsia="黑体"/>
        </w:rPr>
        <w:t xml:space="preserve"> reproducibility</w:t>
      </w:r>
    </w:p>
    <w:p>
      <w:pPr>
        <w:spacing w:before="156" w:beforeLines="50" w:after="156" w:afterLines="50"/>
        <w:ind w:firstLine="420" w:firstLineChars="200"/>
        <w:rPr>
          <w:rFonts w:ascii="宋体" w:hAnsi="宋体"/>
        </w:rPr>
      </w:pPr>
      <w:r>
        <w:rPr>
          <w:rFonts w:ascii="宋体" w:hAnsi="宋体"/>
        </w:rPr>
        <w:t>使用不同的设备由不同的操作者在不同的实验室用同一方法在同一材料上获得独立试验结果的条件下</w:t>
      </w:r>
      <w:r>
        <w:rPr>
          <w:rFonts w:hint="eastAsia" w:ascii="宋体" w:hAnsi="宋体"/>
        </w:rPr>
        <w:t>获得</w:t>
      </w:r>
      <w:r>
        <w:rPr>
          <w:rFonts w:ascii="宋体" w:hAnsi="宋体"/>
        </w:rPr>
        <w:t>的精密度</w:t>
      </w:r>
    </w:p>
    <w:p>
      <w:pPr>
        <w:pStyle w:val="42"/>
      </w:pPr>
      <w:bookmarkStart w:id="129" w:name="_Toc124173677"/>
      <w:bookmarkEnd w:id="129"/>
      <w:bookmarkStart w:id="130" w:name="_Toc117245006"/>
      <w:bookmarkEnd w:id="130"/>
      <w:bookmarkStart w:id="131" w:name="_Toc124173541"/>
      <w:bookmarkEnd w:id="131"/>
      <w:bookmarkStart w:id="132" w:name="_Toc124173801"/>
      <w:bookmarkEnd w:id="132"/>
      <w:bookmarkStart w:id="133" w:name="_Toc124173132"/>
      <w:bookmarkEnd w:id="133"/>
      <w:bookmarkStart w:id="134" w:name="_Toc124173913"/>
      <w:bookmarkEnd w:id="134"/>
    </w:p>
    <w:p>
      <w:pPr>
        <w:spacing w:before="156" w:beforeLines="50" w:after="156" w:afterLines="50"/>
        <w:ind w:firstLine="420" w:firstLineChars="200"/>
        <w:rPr>
          <w:rFonts w:eastAsia="黑体"/>
        </w:rPr>
      </w:pPr>
      <w:r>
        <w:rPr>
          <w:rFonts w:eastAsia="黑体"/>
        </w:rPr>
        <w:t>置信水平</w:t>
      </w:r>
      <w:r>
        <w:rPr>
          <w:rFonts w:hint="eastAsia" w:eastAsia="黑体"/>
        </w:rPr>
        <w:t xml:space="preserve"> level of</w:t>
      </w:r>
      <w:r>
        <w:rPr>
          <w:rFonts w:eastAsia="黑体"/>
        </w:rPr>
        <w:t xml:space="preserve"> confidence</w:t>
      </w:r>
    </w:p>
    <w:p>
      <w:pPr>
        <w:spacing w:before="156" w:beforeLines="50" w:after="156" w:afterLines="50"/>
        <w:ind w:firstLine="420" w:firstLineChars="200"/>
        <w:rPr>
          <w:rFonts w:eastAsia="黑体"/>
        </w:rPr>
      </w:pPr>
      <w:r>
        <w:rPr>
          <w:rFonts w:ascii="Arial" w:hAnsi="Arial" w:cs="Arial"/>
          <w:color w:val="2E3033"/>
          <w:szCs w:val="21"/>
          <w:shd w:val="clear" w:color="auto" w:fill="FFFFFF"/>
        </w:rPr>
        <w:t>与显著性</w:t>
      </w:r>
      <w:r>
        <w:rPr>
          <w:rFonts w:hint="eastAsia" w:ascii="Arial" w:hAnsi="Arial" w:cs="Arial"/>
          <w:color w:val="2E3033"/>
          <w:szCs w:val="21"/>
          <w:shd w:val="clear" w:color="auto" w:fill="FFFFFF"/>
        </w:rPr>
        <w:t>试验</w:t>
      </w:r>
      <w:r>
        <w:rPr>
          <w:rFonts w:ascii="Arial" w:hAnsi="Arial" w:cs="Arial"/>
          <w:color w:val="2E3033"/>
          <w:szCs w:val="21"/>
          <w:shd w:val="clear" w:color="auto" w:fill="FFFFFF"/>
        </w:rPr>
        <w:t>相关的误差概率</w:t>
      </w:r>
    </w:p>
    <w:p>
      <w:pPr>
        <w:pStyle w:val="42"/>
      </w:pPr>
      <w:bookmarkStart w:id="135" w:name="_Toc124173914"/>
      <w:bookmarkEnd w:id="135"/>
      <w:bookmarkStart w:id="136" w:name="_Toc124173542"/>
      <w:bookmarkEnd w:id="136"/>
      <w:bookmarkStart w:id="137" w:name="_Toc117245007"/>
      <w:bookmarkEnd w:id="137"/>
      <w:bookmarkStart w:id="138" w:name="_Toc124173133"/>
      <w:bookmarkEnd w:id="138"/>
      <w:bookmarkStart w:id="139" w:name="_Toc124173802"/>
      <w:bookmarkEnd w:id="139"/>
      <w:bookmarkStart w:id="140" w:name="_Toc124173678"/>
      <w:bookmarkEnd w:id="140"/>
    </w:p>
    <w:p>
      <w:pPr>
        <w:spacing w:before="156" w:beforeLines="50" w:after="156" w:afterLines="50"/>
        <w:ind w:firstLine="420" w:firstLineChars="200"/>
        <w:rPr>
          <w:rFonts w:eastAsia="黑体"/>
        </w:rPr>
      </w:pPr>
      <w:r>
        <w:rPr>
          <w:rFonts w:eastAsia="黑体"/>
        </w:rPr>
        <w:t>分布函数</w:t>
      </w:r>
      <w:r>
        <w:rPr>
          <w:rFonts w:hint="eastAsia" w:eastAsia="黑体"/>
        </w:rPr>
        <w:t xml:space="preserve"> distribution function</w:t>
      </w:r>
    </w:p>
    <w:p>
      <w:pPr>
        <w:spacing w:before="156" w:beforeLines="50" w:after="156" w:afterLines="50"/>
        <w:ind w:firstLine="420" w:firstLineChars="200"/>
        <w:rPr>
          <w:rFonts w:ascii="宋体" w:hAnsi="宋体"/>
        </w:rPr>
      </w:pPr>
      <w:r>
        <w:rPr>
          <w:rFonts w:ascii="宋体" w:hAnsi="宋体"/>
        </w:rPr>
        <w:t>描述随机变量取值小于或等于数</w:t>
      </w:r>
      <w:r>
        <w:rPr>
          <w:i/>
        </w:rPr>
        <w:t>x</w:t>
      </w:r>
      <w:r>
        <w:rPr>
          <w:rFonts w:hint="eastAsia" w:ascii="宋体" w:hAnsi="宋体"/>
        </w:rPr>
        <w:t>的概率的函数</w:t>
      </w:r>
    </w:p>
    <w:p>
      <w:pPr>
        <w:pStyle w:val="42"/>
      </w:pPr>
      <w:bookmarkStart w:id="141" w:name="_Toc117245008"/>
      <w:bookmarkEnd w:id="141"/>
      <w:bookmarkStart w:id="142" w:name="_Toc124173134"/>
      <w:bookmarkEnd w:id="142"/>
      <w:bookmarkStart w:id="143" w:name="_Toc124173679"/>
      <w:bookmarkEnd w:id="143"/>
      <w:bookmarkStart w:id="144" w:name="_Toc124173915"/>
      <w:bookmarkEnd w:id="144"/>
      <w:bookmarkStart w:id="145" w:name="_Toc124173543"/>
      <w:bookmarkEnd w:id="145"/>
      <w:bookmarkStart w:id="146" w:name="_Toc124173803"/>
      <w:bookmarkEnd w:id="146"/>
    </w:p>
    <w:p>
      <w:pPr>
        <w:spacing w:before="156" w:beforeLines="50" w:after="156" w:afterLines="50"/>
        <w:ind w:firstLine="420" w:firstLineChars="200"/>
        <w:rPr>
          <w:rFonts w:eastAsia="黑体"/>
        </w:rPr>
      </w:pPr>
      <w:r>
        <w:rPr>
          <w:rFonts w:eastAsia="黑体"/>
        </w:rPr>
        <w:t>密度分布</w:t>
      </w:r>
      <w:r>
        <w:rPr>
          <w:rFonts w:hint="eastAsia" w:eastAsia="黑体"/>
        </w:rPr>
        <w:t xml:space="preserve"> density distribution</w:t>
      </w:r>
    </w:p>
    <w:p>
      <w:pPr>
        <w:spacing w:before="156" w:beforeLines="50" w:after="156" w:afterLines="50"/>
        <w:ind w:firstLine="420" w:firstLineChars="200"/>
        <w:rPr>
          <w:rFonts w:eastAsia="黑体"/>
        </w:rPr>
      </w:pPr>
      <w:r>
        <w:rPr>
          <w:rFonts w:ascii="Arial" w:hAnsi="Arial" w:cs="Arial"/>
          <w:color w:val="2E3033"/>
          <w:szCs w:val="21"/>
          <w:shd w:val="clear" w:color="auto" w:fill="FFFFFF"/>
        </w:rPr>
        <w:t>分布函数在每个值处的斜率，即分布函数的一阶导数</w:t>
      </w:r>
    </w:p>
    <w:p>
      <w:pPr>
        <w:pStyle w:val="42"/>
      </w:pPr>
      <w:bookmarkStart w:id="147" w:name="_Toc124173135"/>
      <w:bookmarkEnd w:id="147"/>
      <w:bookmarkStart w:id="148" w:name="_Toc124173544"/>
      <w:bookmarkEnd w:id="148"/>
      <w:bookmarkStart w:id="149" w:name="_Toc124173680"/>
      <w:bookmarkEnd w:id="149"/>
      <w:bookmarkStart w:id="150" w:name="_Toc124173804"/>
      <w:bookmarkEnd w:id="150"/>
      <w:bookmarkStart w:id="151" w:name="_Toc124173916"/>
      <w:bookmarkEnd w:id="151"/>
      <w:bookmarkStart w:id="152" w:name="_Toc117245009"/>
      <w:bookmarkEnd w:id="152"/>
    </w:p>
    <w:p>
      <w:pPr>
        <w:spacing w:before="156" w:beforeLines="50" w:after="156" w:afterLines="50"/>
        <w:ind w:firstLine="420" w:firstLineChars="200"/>
        <w:rPr>
          <w:rFonts w:eastAsia="黑体"/>
        </w:rPr>
      </w:pPr>
      <w:r>
        <w:rPr>
          <w:rFonts w:eastAsia="黑体"/>
        </w:rPr>
        <w:t>正态分布</w:t>
      </w:r>
      <w:r>
        <w:rPr>
          <w:rFonts w:hint="eastAsia" w:eastAsia="黑体"/>
        </w:rPr>
        <w:t xml:space="preserve"> normal distribution</w:t>
      </w:r>
    </w:p>
    <w:p>
      <w:pPr>
        <w:spacing w:before="156" w:beforeLines="50" w:after="156" w:afterLines="50"/>
        <w:ind w:firstLine="420" w:firstLineChars="200"/>
        <w:rPr>
          <w:rFonts w:ascii="Arial" w:hAnsi="Arial" w:cs="Arial"/>
          <w:color w:val="2E3033"/>
          <w:szCs w:val="21"/>
          <w:shd w:val="clear" w:color="auto" w:fill="FFFFFF"/>
        </w:rPr>
      </w:pPr>
      <w:r>
        <w:rPr>
          <w:rFonts w:ascii="Arial" w:hAnsi="Arial" w:cs="Arial"/>
          <w:color w:val="2E3033"/>
          <w:szCs w:val="21"/>
          <w:shd w:val="clear" w:color="auto" w:fill="FFFFFF"/>
        </w:rPr>
        <w:t>对称的“钟形”密度分布，完全由其均值和标准差来定义</w:t>
      </w:r>
    </w:p>
    <w:p>
      <w:pPr>
        <w:pStyle w:val="64"/>
        <w:rPr>
          <w:rFonts w:ascii="Times New Roman" w:eastAsia="黑体"/>
        </w:rPr>
      </w:pPr>
      <w:r>
        <w:rPr>
          <w:color w:val="2E3033"/>
          <w:szCs w:val="21"/>
          <w:shd w:val="clear" w:color="auto" w:fill="FFFFFF"/>
        </w:rPr>
        <w:t>它也被称为拉普拉斯高斯（</w:t>
      </w:r>
      <w:r>
        <w:t>Laplace Gauss）</w:t>
      </w:r>
      <w:r>
        <w:rPr>
          <w:color w:val="2E3033"/>
          <w:szCs w:val="21"/>
          <w:shd w:val="clear" w:color="auto" w:fill="FFFFFF"/>
        </w:rPr>
        <w:t>或高斯</w:t>
      </w:r>
      <w:r>
        <w:t>（Gaussian</w:t>
      </w:r>
      <w:r>
        <w:rPr>
          <w:color w:val="2E3033"/>
          <w:szCs w:val="21"/>
          <w:shd w:val="clear" w:color="auto" w:fill="FFFFFF"/>
        </w:rPr>
        <w:t>）分布。</w:t>
      </w:r>
    </w:p>
    <w:p>
      <w:pPr>
        <w:pStyle w:val="42"/>
      </w:pPr>
      <w:bookmarkStart w:id="153" w:name="_Toc117245010"/>
      <w:bookmarkEnd w:id="153"/>
      <w:bookmarkStart w:id="154" w:name="_Toc124173917"/>
      <w:bookmarkEnd w:id="154"/>
      <w:bookmarkStart w:id="155" w:name="_Toc124173805"/>
      <w:bookmarkEnd w:id="155"/>
      <w:bookmarkStart w:id="156" w:name="_Toc124173136"/>
      <w:bookmarkEnd w:id="156"/>
      <w:bookmarkStart w:id="157" w:name="_Toc124173545"/>
      <w:bookmarkEnd w:id="157"/>
      <w:bookmarkStart w:id="158" w:name="_Toc124173681"/>
      <w:bookmarkEnd w:id="158"/>
    </w:p>
    <w:p>
      <w:pPr>
        <w:spacing w:before="156" w:beforeLines="50" w:after="156" w:afterLines="50"/>
        <w:ind w:firstLine="420" w:firstLineChars="200"/>
        <w:rPr>
          <w:rFonts w:eastAsia="黑体"/>
        </w:rPr>
      </w:pPr>
      <w:r>
        <w:rPr>
          <w:rFonts w:eastAsia="黑体"/>
        </w:rPr>
        <w:t>双指数分布</w:t>
      </w:r>
      <w:r>
        <w:rPr>
          <w:rFonts w:hint="eastAsia" w:eastAsia="黑体"/>
        </w:rPr>
        <w:t xml:space="preserve"> double expone</w:t>
      </w:r>
      <w:r>
        <w:rPr>
          <w:rFonts w:eastAsia="黑体"/>
        </w:rPr>
        <w:t>ntial distribution</w:t>
      </w:r>
    </w:p>
    <w:p>
      <w:pPr>
        <w:spacing w:before="156" w:beforeLines="50" w:after="156" w:afterLines="50"/>
        <w:ind w:firstLine="420" w:firstLineChars="200"/>
        <w:rPr>
          <w:rFonts w:ascii="宋体" w:hAnsi="宋体"/>
        </w:rPr>
      </w:pPr>
      <w:r>
        <w:rPr>
          <w:rFonts w:hint="eastAsia" w:ascii="宋体" w:hAnsi="宋体"/>
        </w:rPr>
        <w:t>完全由单一“形状”参数定义的用于表征橡胶混炼胶拉伸强度分布的非对称分布</w:t>
      </w:r>
    </w:p>
    <w:p>
      <w:pPr>
        <w:pStyle w:val="42"/>
      </w:pPr>
      <w:bookmarkStart w:id="159" w:name="_Toc117245011"/>
      <w:bookmarkEnd w:id="159"/>
      <w:bookmarkStart w:id="160" w:name="_Toc124173546"/>
      <w:bookmarkEnd w:id="160"/>
      <w:bookmarkStart w:id="161" w:name="_Toc124173137"/>
      <w:bookmarkEnd w:id="161"/>
      <w:bookmarkStart w:id="162" w:name="_Toc124173806"/>
      <w:bookmarkEnd w:id="162"/>
      <w:bookmarkStart w:id="163" w:name="_Toc124173682"/>
      <w:bookmarkEnd w:id="163"/>
      <w:bookmarkStart w:id="164" w:name="_Toc124173918"/>
      <w:bookmarkEnd w:id="164"/>
    </w:p>
    <w:p>
      <w:pPr>
        <w:spacing w:before="156" w:beforeLines="50" w:after="156" w:afterLines="50"/>
        <w:ind w:firstLine="420" w:firstLineChars="200"/>
        <w:rPr>
          <w:rFonts w:eastAsia="黑体"/>
        </w:rPr>
      </w:pPr>
      <w:r>
        <w:rPr>
          <w:rFonts w:eastAsia="黑体"/>
        </w:rPr>
        <w:t>威布尔分布</w:t>
      </w:r>
      <w:r>
        <w:rPr>
          <w:rFonts w:hint="eastAsia" w:eastAsia="黑体"/>
        </w:rPr>
        <w:t xml:space="preserve"> Wei</w:t>
      </w:r>
      <w:r>
        <w:rPr>
          <w:rFonts w:eastAsia="黑体"/>
        </w:rPr>
        <w:t>bull distribution</w:t>
      </w:r>
    </w:p>
    <w:p>
      <w:pPr>
        <w:spacing w:before="156" w:beforeLines="50" w:after="156" w:afterLines="50"/>
        <w:ind w:firstLine="420" w:firstLineChars="200"/>
        <w:rPr>
          <w:rFonts w:ascii="宋体" w:hAnsi="宋体"/>
        </w:rPr>
      </w:pPr>
      <w:r>
        <w:rPr>
          <w:rFonts w:hint="eastAsia" w:ascii="宋体" w:hAnsi="宋体"/>
        </w:rPr>
        <w:t>由三个参数完全定义的对称分布，在表征疲劳等寿命试验中非常有用</w:t>
      </w:r>
    </w:p>
    <w:p>
      <w:pPr>
        <w:pStyle w:val="42"/>
      </w:pPr>
      <w:bookmarkStart w:id="165" w:name="_Toc124173919"/>
      <w:bookmarkEnd w:id="165"/>
      <w:bookmarkStart w:id="166" w:name="_Toc117245012"/>
      <w:bookmarkEnd w:id="166"/>
      <w:bookmarkStart w:id="167" w:name="_Toc124173547"/>
      <w:bookmarkEnd w:id="167"/>
      <w:bookmarkStart w:id="168" w:name="_Toc124173683"/>
      <w:bookmarkEnd w:id="168"/>
      <w:bookmarkStart w:id="169" w:name="_Toc124173138"/>
      <w:bookmarkEnd w:id="169"/>
      <w:bookmarkStart w:id="170" w:name="_Toc124173807"/>
      <w:bookmarkEnd w:id="170"/>
    </w:p>
    <w:p>
      <w:pPr>
        <w:spacing w:before="156" w:beforeLines="50" w:after="156" w:afterLines="50"/>
        <w:ind w:firstLine="420" w:firstLineChars="200"/>
        <w:rPr>
          <w:rFonts w:eastAsia="黑体"/>
        </w:rPr>
      </w:pPr>
      <w:r>
        <w:rPr>
          <w:rFonts w:eastAsia="黑体"/>
        </w:rPr>
        <w:t>自由度</w:t>
      </w:r>
      <w:r>
        <w:rPr>
          <w:rFonts w:hint="eastAsia" w:eastAsia="黑体"/>
        </w:rPr>
        <w:t xml:space="preserve"> degrees of freedom</w:t>
      </w:r>
    </w:p>
    <w:p>
      <w:pPr>
        <w:spacing w:before="156" w:beforeLines="50" w:after="156" w:afterLines="50"/>
        <w:ind w:firstLine="420" w:firstLineChars="200"/>
        <w:rPr>
          <w:rFonts w:ascii="宋体" w:hAnsi="宋体"/>
        </w:rPr>
      </w:pPr>
      <w:r>
        <w:rPr>
          <w:rFonts w:ascii="宋体" w:hAnsi="宋体"/>
        </w:rPr>
        <w:t>可用于估计标准差的读数之间独立的差的个数</w:t>
      </w:r>
    </w:p>
    <w:p>
      <w:pPr>
        <w:pStyle w:val="42"/>
      </w:pPr>
      <w:bookmarkStart w:id="171" w:name="_Toc117245013"/>
      <w:bookmarkEnd w:id="171"/>
      <w:bookmarkStart w:id="172" w:name="_Toc124173139"/>
      <w:bookmarkEnd w:id="172"/>
      <w:bookmarkStart w:id="173" w:name="_Toc124173548"/>
      <w:bookmarkEnd w:id="173"/>
      <w:bookmarkStart w:id="174" w:name="_Toc124173684"/>
      <w:bookmarkEnd w:id="174"/>
      <w:bookmarkStart w:id="175" w:name="_Toc124173808"/>
      <w:bookmarkEnd w:id="175"/>
      <w:bookmarkStart w:id="176" w:name="_Toc124173920"/>
      <w:bookmarkEnd w:id="176"/>
    </w:p>
    <w:p>
      <w:pPr>
        <w:spacing w:before="156" w:beforeLines="50" w:after="156" w:afterLines="50"/>
        <w:ind w:firstLine="420" w:firstLineChars="200"/>
        <w:rPr>
          <w:rFonts w:eastAsia="黑体"/>
        </w:rPr>
      </w:pPr>
      <w:r>
        <w:rPr>
          <w:rFonts w:eastAsia="黑体"/>
        </w:rPr>
        <w:t>置信区间</w:t>
      </w:r>
      <w:r>
        <w:rPr>
          <w:rFonts w:hint="eastAsia" w:eastAsia="黑体"/>
        </w:rPr>
        <w:t xml:space="preserve"> confidence </w:t>
      </w:r>
      <w:r>
        <w:rPr>
          <w:rFonts w:eastAsia="黑体"/>
        </w:rPr>
        <w:t>interval</w:t>
      </w:r>
    </w:p>
    <w:p>
      <w:pPr>
        <w:spacing w:before="156" w:beforeLines="50" w:after="156" w:afterLines="50"/>
        <w:ind w:firstLine="420" w:firstLineChars="200"/>
        <w:rPr>
          <w:rFonts w:ascii="宋体" w:hAnsi="宋体"/>
        </w:rPr>
      </w:pPr>
      <w:r>
        <w:rPr>
          <w:rFonts w:ascii="宋体" w:hAnsi="宋体"/>
        </w:rPr>
        <w:t>一个值或参数被预期以给定概率落在其中的范围</w:t>
      </w:r>
    </w:p>
    <w:p>
      <w:pPr>
        <w:pStyle w:val="42"/>
      </w:pPr>
      <w:bookmarkStart w:id="177" w:name="_Toc124173140"/>
      <w:bookmarkEnd w:id="177"/>
      <w:bookmarkStart w:id="178" w:name="_Toc124173921"/>
      <w:bookmarkEnd w:id="178"/>
      <w:bookmarkStart w:id="179" w:name="_Toc124173685"/>
      <w:bookmarkEnd w:id="179"/>
      <w:bookmarkStart w:id="180" w:name="_Toc124173809"/>
      <w:bookmarkEnd w:id="180"/>
      <w:bookmarkStart w:id="181" w:name="_Toc117245014"/>
      <w:bookmarkEnd w:id="181"/>
      <w:bookmarkStart w:id="182" w:name="_Toc124173549"/>
      <w:bookmarkEnd w:id="182"/>
    </w:p>
    <w:p>
      <w:pPr>
        <w:spacing w:before="156" w:beforeLines="50" w:after="156" w:afterLines="50"/>
        <w:ind w:firstLine="420" w:firstLineChars="200"/>
        <w:rPr>
          <w:rFonts w:eastAsia="黑体"/>
        </w:rPr>
      </w:pPr>
      <w:r>
        <w:rPr>
          <w:rFonts w:eastAsia="黑体"/>
        </w:rPr>
        <w:t>置信限</w:t>
      </w:r>
      <w:r>
        <w:rPr>
          <w:rFonts w:hint="eastAsia" w:eastAsia="黑体"/>
        </w:rPr>
        <w:t xml:space="preserve"> confidence limits</w:t>
      </w:r>
    </w:p>
    <w:p>
      <w:pPr>
        <w:spacing w:before="156" w:beforeLines="50" w:after="156" w:afterLines="50"/>
        <w:ind w:firstLine="420" w:firstLineChars="200"/>
        <w:rPr>
          <w:rFonts w:ascii="宋体" w:hAnsi="宋体"/>
        </w:rPr>
      </w:pPr>
      <w:r>
        <w:rPr>
          <w:rFonts w:hint="eastAsia" w:ascii="宋体" w:hAnsi="宋体"/>
        </w:rPr>
        <w:t>置信区间的极值</w:t>
      </w:r>
    </w:p>
    <w:p>
      <w:pPr>
        <w:pStyle w:val="45"/>
      </w:pPr>
      <w:bookmarkStart w:id="183" w:name="_Toc124173922"/>
      <w:r>
        <w:rPr>
          <w:rFonts w:hint="eastAsia"/>
        </w:rPr>
        <w:t>符号</w:t>
      </w:r>
      <w:bookmarkEnd w:id="183"/>
    </w:p>
    <w:tbl>
      <w:tblPr>
        <w:tblStyle w:val="33"/>
        <w:tblW w:w="0" w:type="auto"/>
        <w:tblInd w:w="0" w:type="dxa"/>
        <w:tblLayout w:type="autofit"/>
        <w:tblCellMar>
          <w:top w:w="0" w:type="dxa"/>
          <w:left w:w="108" w:type="dxa"/>
          <w:bottom w:w="0" w:type="dxa"/>
          <w:right w:w="108" w:type="dxa"/>
        </w:tblCellMar>
      </w:tblPr>
      <w:tblGrid>
        <w:gridCol w:w="562"/>
        <w:gridCol w:w="1276"/>
        <w:gridCol w:w="6458"/>
      </w:tblGrid>
      <w:tr>
        <w:tblPrEx>
          <w:tblCellMar>
            <w:top w:w="0" w:type="dxa"/>
            <w:left w:w="108" w:type="dxa"/>
            <w:bottom w:w="0" w:type="dxa"/>
            <w:right w:w="108" w:type="dxa"/>
          </w:tblCellMar>
        </w:tblPrEx>
        <w:tc>
          <w:tcPr>
            <w:tcW w:w="562" w:type="dxa"/>
          </w:tcPr>
          <w:p/>
        </w:tc>
        <w:tc>
          <w:tcPr>
            <w:tcW w:w="1276" w:type="dxa"/>
          </w:tcPr>
          <w:p>
            <w:pPr>
              <w:rPr>
                <w:i/>
              </w:rPr>
            </w:pPr>
            <w:r>
              <w:rPr>
                <w:i/>
              </w:rPr>
              <w:t>A，b，c</w:t>
            </w:r>
            <w:r>
              <w:t xml:space="preserve">…  </w:t>
            </w:r>
          </w:p>
        </w:tc>
        <w:tc>
          <w:tcPr>
            <w:tcW w:w="6458" w:type="dxa"/>
          </w:tcPr>
          <w:p>
            <w:pPr>
              <w:rPr>
                <w:i/>
              </w:rPr>
            </w:pPr>
            <w:r>
              <w:t>回归线上的常系数</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C</w:t>
            </w:r>
          </w:p>
        </w:tc>
        <w:tc>
          <w:tcPr>
            <w:tcW w:w="6458" w:type="dxa"/>
          </w:tcPr>
          <w:p>
            <w:pPr>
              <w:rPr>
                <w:i/>
              </w:rPr>
            </w:pPr>
            <w:r>
              <w:t>弗里德曼（</w:t>
            </w:r>
            <w:r>
              <w:rPr>
                <w:kern w:val="0"/>
                <w:sz w:val="20"/>
                <w:szCs w:val="20"/>
              </w:rPr>
              <w:t>Friedman’s</w:t>
            </w:r>
            <w:r>
              <w:t>）检验中的一致性系数，或检验离群值存在性的方差时的柯克伦商数</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i/>
              </w:rPr>
              <w:t>C</w:t>
            </w:r>
            <w:r>
              <w:rPr>
                <w:i/>
                <w:vertAlign w:val="subscript"/>
              </w:rPr>
              <w:t>i</w:t>
            </w:r>
          </w:p>
        </w:tc>
        <w:tc>
          <w:tcPr>
            <w:tcW w:w="6458" w:type="dxa"/>
          </w:tcPr>
          <w:p>
            <w:pPr>
              <w:rPr>
                <w:i/>
              </w:rPr>
            </w:pPr>
            <w:r>
              <w:t>第</w:t>
            </w:r>
            <w:r>
              <w:rPr>
                <w:i/>
              </w:rPr>
              <w:t>i</w:t>
            </w:r>
            <w:r>
              <w:t>个累积和值</w:t>
            </w:r>
          </w:p>
        </w:tc>
      </w:tr>
      <w:tr>
        <w:tblPrEx>
          <w:tblCellMar>
            <w:top w:w="0" w:type="dxa"/>
            <w:left w:w="108" w:type="dxa"/>
            <w:bottom w:w="0" w:type="dxa"/>
            <w:right w:w="108" w:type="dxa"/>
          </w:tblCellMar>
        </w:tblPrEx>
        <w:tc>
          <w:tcPr>
            <w:tcW w:w="562" w:type="dxa"/>
          </w:tcPr>
          <w:p>
            <w:pPr>
              <w:rPr>
                <w:i/>
              </w:rPr>
            </w:pPr>
          </w:p>
        </w:tc>
        <w:tc>
          <w:tcPr>
            <w:tcW w:w="1276" w:type="dxa"/>
          </w:tcPr>
          <w:p>
            <w:r>
              <w:rPr>
                <w:rFonts w:hint="eastAsia"/>
                <w:i/>
              </w:rPr>
              <w:t>C</w:t>
            </w:r>
            <w:r>
              <w:rPr>
                <w:vertAlign w:val="subscript"/>
              </w:rPr>
              <w:t>pq</w:t>
            </w:r>
          </w:p>
        </w:tc>
        <w:tc>
          <w:tcPr>
            <w:tcW w:w="6458" w:type="dxa"/>
          </w:tcPr>
          <w:p>
            <w:r>
              <w:t>用于推导回归系数的因子</w:t>
            </w:r>
          </w:p>
        </w:tc>
      </w:tr>
      <w:tr>
        <w:tblPrEx>
          <w:tblCellMar>
            <w:top w:w="0" w:type="dxa"/>
            <w:left w:w="108" w:type="dxa"/>
            <w:bottom w:w="0" w:type="dxa"/>
            <w:right w:w="108" w:type="dxa"/>
          </w:tblCellMar>
        </w:tblPrEx>
        <w:tc>
          <w:tcPr>
            <w:tcW w:w="562" w:type="dxa"/>
          </w:tcPr>
          <w:p>
            <w:pPr>
              <w:rPr>
                <w:i/>
              </w:rPr>
            </w:pPr>
          </w:p>
        </w:tc>
        <w:tc>
          <w:tcPr>
            <w:tcW w:w="1276" w:type="dxa"/>
          </w:tcPr>
          <w:p>
            <w:r>
              <w:rPr>
                <w:rFonts w:hint="eastAsia"/>
                <w:i/>
              </w:rPr>
              <w:t>C</w:t>
            </w:r>
            <w:r>
              <w:rPr>
                <w:vertAlign w:val="subscript"/>
              </w:rPr>
              <w:t>v</w:t>
            </w:r>
          </w:p>
        </w:tc>
        <w:tc>
          <w:tcPr>
            <w:tcW w:w="6458" w:type="dxa"/>
          </w:tcPr>
          <w:p>
            <w:pPr>
              <w:rPr>
                <w:szCs w:val="21"/>
                <w:shd w:val="clear" w:color="auto" w:fill="FFFFFF"/>
              </w:rPr>
            </w:pPr>
            <w:r>
              <w:rPr>
                <w:szCs w:val="21"/>
                <w:shd w:val="clear" w:color="auto" w:fill="FFFFFF"/>
              </w:rPr>
              <w:t>变异系数</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i/>
              </w:rPr>
              <w:t>f</w:t>
            </w:r>
            <w:r>
              <w:rPr>
                <w:rFonts w:hint="eastAsia"/>
                <w:i/>
              </w:rPr>
              <w:t>(</w:t>
            </w:r>
            <w:r>
              <w:rPr>
                <w:i/>
              </w:rPr>
              <w:t>x)</w:t>
            </w:r>
          </w:p>
        </w:tc>
        <w:tc>
          <w:tcPr>
            <w:tcW w:w="6458" w:type="dxa"/>
          </w:tcPr>
          <w:p>
            <w:pPr>
              <w:rPr>
                <w:szCs w:val="21"/>
                <w:shd w:val="clear" w:color="auto" w:fill="FFFFFF"/>
              </w:rPr>
            </w:pPr>
            <w:r>
              <w:rPr>
                <w:szCs w:val="21"/>
                <w:shd w:val="clear" w:color="auto" w:fill="FFFFFF"/>
              </w:rPr>
              <w:t>性能或参数，是</w:t>
            </w:r>
            <w:r>
              <w:rPr>
                <w:i/>
                <w:szCs w:val="21"/>
                <w:shd w:val="clear" w:color="auto" w:fill="FFFFFF"/>
              </w:rPr>
              <w:t>x</w:t>
            </w:r>
            <w:r>
              <w:rPr>
                <w:szCs w:val="21"/>
                <w:shd w:val="clear" w:color="auto" w:fill="FFFFFF"/>
              </w:rPr>
              <w:t>的函数或密度分布函数</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i/>
              </w:rPr>
              <w:t>F</w:t>
            </w:r>
          </w:p>
        </w:tc>
        <w:tc>
          <w:tcPr>
            <w:tcW w:w="6458" w:type="dxa"/>
          </w:tcPr>
          <w:p>
            <w:pPr>
              <w:rPr>
                <w:szCs w:val="21"/>
                <w:shd w:val="clear" w:color="auto" w:fill="F7F8FA"/>
              </w:rPr>
            </w:pPr>
            <w:r>
              <w:rPr>
                <w:szCs w:val="21"/>
                <w:shd w:val="clear" w:color="auto" w:fill="FFFFFF"/>
              </w:rPr>
              <w:t>在给定情况下，斯奈迪克</w:t>
            </w:r>
            <w:r>
              <w:rPr>
                <w:i/>
                <w:szCs w:val="21"/>
                <w:shd w:val="clear" w:color="auto" w:fill="FFFFFF"/>
              </w:rPr>
              <w:t>F</w:t>
            </w:r>
            <w:r>
              <w:rPr>
                <w:szCs w:val="21"/>
                <w:shd w:val="clear" w:color="auto" w:fill="FFFFFF"/>
              </w:rPr>
              <w:t>-比（</w:t>
            </w:r>
            <w:r>
              <w:rPr>
                <w:kern w:val="0"/>
                <w:sz w:val="20"/>
                <w:szCs w:val="20"/>
              </w:rPr>
              <w:t xml:space="preserve">Snedecor’s </w:t>
            </w:r>
            <w:r>
              <w:rPr>
                <w:i/>
                <w:iCs/>
                <w:kern w:val="0"/>
                <w:sz w:val="20"/>
                <w:szCs w:val="20"/>
              </w:rPr>
              <w:t>F</w:t>
            </w:r>
            <w:r>
              <w:rPr>
                <w:kern w:val="0"/>
                <w:sz w:val="20"/>
                <w:szCs w:val="20"/>
              </w:rPr>
              <w:t>-ratio</w:t>
            </w:r>
            <w:r>
              <w:rPr>
                <w:szCs w:val="21"/>
                <w:shd w:val="clear" w:color="auto" w:fill="FFFFFF"/>
              </w:rPr>
              <w:t>）的观察值</w:t>
            </w:r>
          </w:p>
        </w:tc>
      </w:tr>
      <w:tr>
        <w:tblPrEx>
          <w:tblCellMar>
            <w:top w:w="0" w:type="dxa"/>
            <w:left w:w="108" w:type="dxa"/>
            <w:bottom w:w="0" w:type="dxa"/>
            <w:right w:w="108" w:type="dxa"/>
          </w:tblCellMar>
        </w:tblPrEx>
        <w:tc>
          <w:tcPr>
            <w:tcW w:w="562" w:type="dxa"/>
          </w:tcPr>
          <w:p>
            <w:pPr>
              <w:rPr>
                <w:i/>
              </w:rPr>
            </w:pPr>
          </w:p>
        </w:tc>
        <w:tc>
          <w:tcPr>
            <w:tcW w:w="1276" w:type="dxa"/>
          </w:tcPr>
          <w:p>
            <w:r>
              <w:rPr>
                <w:i/>
              </w:rPr>
              <w:t>F</w:t>
            </w:r>
            <w:r>
              <w:rPr>
                <w:vertAlign w:val="subscript"/>
              </w:rPr>
              <w:t>cr</w:t>
            </w:r>
          </w:p>
        </w:tc>
        <w:tc>
          <w:tcPr>
            <w:tcW w:w="6458" w:type="dxa"/>
          </w:tcPr>
          <w:p>
            <w:pPr>
              <w:rPr>
                <w:szCs w:val="21"/>
                <w:shd w:val="clear" w:color="auto" w:fill="FFFFFF"/>
              </w:rPr>
            </w:pPr>
            <w:r>
              <w:rPr>
                <w:i/>
                <w:szCs w:val="21"/>
                <w:shd w:val="clear" w:color="auto" w:fill="FFFFFF"/>
              </w:rPr>
              <w:t>F</w:t>
            </w:r>
            <w:r>
              <w:rPr>
                <w:szCs w:val="21"/>
                <w:shd w:val="clear" w:color="auto" w:fill="FFFFFF"/>
              </w:rPr>
              <w:t>在给定置信水平上的统计临界值，以及对于较小和较大均方的给定自由度的统计临界值</w:t>
            </w:r>
          </w:p>
        </w:tc>
      </w:tr>
      <w:tr>
        <w:tblPrEx>
          <w:tblCellMar>
            <w:top w:w="0" w:type="dxa"/>
            <w:left w:w="108" w:type="dxa"/>
            <w:bottom w:w="0" w:type="dxa"/>
            <w:right w:w="108" w:type="dxa"/>
          </w:tblCellMar>
        </w:tblPrEx>
        <w:tc>
          <w:tcPr>
            <w:tcW w:w="562" w:type="dxa"/>
          </w:tcPr>
          <w:p>
            <w:pPr>
              <w:rPr>
                <w:i/>
              </w:rPr>
            </w:pPr>
          </w:p>
        </w:tc>
        <w:tc>
          <w:tcPr>
            <w:tcW w:w="1276" w:type="dxa"/>
          </w:tcPr>
          <w:p>
            <w:pPr>
              <w:rPr>
                <w:vertAlign w:val="subscript"/>
              </w:rPr>
            </w:pPr>
            <w:r>
              <w:rPr>
                <w:rFonts w:hint="eastAsia"/>
                <w:i/>
              </w:rPr>
              <w:t>F</w:t>
            </w:r>
            <w:r>
              <w:rPr>
                <w:rFonts w:hint="eastAsia"/>
                <w:vertAlign w:val="subscript"/>
              </w:rPr>
              <w:t>r</w:t>
            </w:r>
          </w:p>
        </w:tc>
        <w:tc>
          <w:tcPr>
            <w:tcW w:w="6458" w:type="dxa"/>
          </w:tcPr>
          <w:p>
            <w:pPr>
              <w:rPr>
                <w:szCs w:val="21"/>
                <w:shd w:val="clear" w:color="auto" w:fill="FFFFFF"/>
              </w:rPr>
            </w:pPr>
            <w:r>
              <w:rPr>
                <w:szCs w:val="21"/>
                <w:shd w:val="clear" w:color="auto" w:fill="FFFFFF"/>
              </w:rPr>
              <w:t>回归线的</w:t>
            </w:r>
            <w:r>
              <w:rPr>
                <w:i/>
                <w:szCs w:val="21"/>
                <w:shd w:val="clear" w:color="auto" w:fill="FFFFFF"/>
              </w:rPr>
              <w:t>F</w:t>
            </w:r>
            <w:r>
              <w:rPr>
                <w:szCs w:val="21"/>
                <w:shd w:val="clear" w:color="auto" w:fill="FFFFFF"/>
              </w:rPr>
              <w:t>值</w:t>
            </w:r>
          </w:p>
        </w:tc>
      </w:tr>
      <w:tr>
        <w:tblPrEx>
          <w:tblCellMar>
            <w:top w:w="0" w:type="dxa"/>
            <w:left w:w="108" w:type="dxa"/>
            <w:bottom w:w="0" w:type="dxa"/>
            <w:right w:w="108" w:type="dxa"/>
          </w:tblCellMar>
        </w:tblPrEx>
        <w:tc>
          <w:tcPr>
            <w:tcW w:w="562" w:type="dxa"/>
          </w:tcPr>
          <w:p>
            <w:pPr>
              <w:rPr>
                <w:i/>
              </w:rPr>
            </w:pPr>
          </w:p>
        </w:tc>
        <w:tc>
          <w:tcPr>
            <w:tcW w:w="1276" w:type="dxa"/>
          </w:tcPr>
          <w:p>
            <w:r>
              <w:rPr>
                <w:rFonts w:hint="eastAsia"/>
                <w:i/>
              </w:rPr>
              <w:t>H</w:t>
            </w:r>
            <w:r>
              <w:rPr>
                <w:vertAlign w:val="subscript"/>
              </w:rPr>
              <w:t>0</w:t>
            </w:r>
            <w:r>
              <w:t>/</w:t>
            </w:r>
            <w:r>
              <w:rPr>
                <w:i/>
              </w:rPr>
              <w:t>H</w:t>
            </w:r>
            <w:r>
              <w:rPr>
                <w:vertAlign w:val="subscript"/>
              </w:rPr>
              <w:t>a</w:t>
            </w:r>
          </w:p>
        </w:tc>
        <w:tc>
          <w:tcPr>
            <w:tcW w:w="6458" w:type="dxa"/>
          </w:tcPr>
          <w:p>
            <w:pPr>
              <w:rPr>
                <w:szCs w:val="21"/>
                <w:shd w:val="clear" w:color="auto" w:fill="FFFFFF"/>
              </w:rPr>
            </w:pPr>
            <w:r>
              <w:rPr>
                <w:szCs w:val="21"/>
                <w:shd w:val="clear" w:color="auto" w:fill="FFFFFF"/>
              </w:rPr>
              <w:t>原假设/备择假设参数</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K</w:t>
            </w:r>
          </w:p>
        </w:tc>
        <w:tc>
          <w:tcPr>
            <w:tcW w:w="6458" w:type="dxa"/>
          </w:tcPr>
          <w:p>
            <w:pPr>
              <w:rPr>
                <w:szCs w:val="21"/>
                <w:shd w:val="clear" w:color="auto" w:fill="FFFFFF"/>
              </w:rPr>
            </w:pPr>
            <w:r>
              <w:rPr>
                <w:szCs w:val="21"/>
                <w:shd w:val="clear" w:color="auto" w:fill="FFFFFF"/>
              </w:rPr>
              <w:t>顺序相关检验的弗里德曼（Friedman’s）统计量</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M</w:t>
            </w:r>
            <w:r>
              <w:rPr>
                <w:vertAlign w:val="subscript"/>
              </w:rPr>
              <w:t>z</w:t>
            </w:r>
          </w:p>
        </w:tc>
        <w:tc>
          <w:tcPr>
            <w:tcW w:w="6458" w:type="dxa"/>
          </w:tcPr>
          <w:p>
            <w:pPr>
              <w:rPr>
                <w:szCs w:val="21"/>
                <w:shd w:val="clear" w:color="auto" w:fill="F7F8FA"/>
              </w:rPr>
            </w:pPr>
            <w:r>
              <w:rPr>
                <w:szCs w:val="21"/>
                <w:shd w:val="clear" w:color="auto" w:fill="FFFFFF"/>
              </w:rPr>
              <w:t>因子z的均方</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n</w:t>
            </w:r>
          </w:p>
        </w:tc>
        <w:tc>
          <w:tcPr>
            <w:tcW w:w="6458" w:type="dxa"/>
          </w:tcPr>
          <w:p>
            <w:pPr>
              <w:rPr>
                <w:rFonts w:ascii="Arial" w:hAnsi="Arial" w:cs="Arial"/>
                <w:szCs w:val="21"/>
                <w:shd w:val="clear" w:color="auto" w:fill="F7F8FA"/>
              </w:rPr>
            </w:pPr>
            <w:r>
              <w:rPr>
                <w:szCs w:val="21"/>
                <w:shd w:val="clear" w:color="auto" w:fill="FFFFFF"/>
              </w:rPr>
              <w:t>一个系列值的个数</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i/>
              </w:rPr>
              <w:t>p</w:t>
            </w:r>
            <w:r>
              <w:rPr>
                <w:rFonts w:hint="eastAsia"/>
              </w:rPr>
              <w:t>(</w:t>
            </w:r>
            <w:r>
              <w:rPr>
                <w:i/>
              </w:rPr>
              <w:t>x</w:t>
            </w:r>
            <w:r>
              <w:t>)</w:t>
            </w:r>
          </w:p>
        </w:tc>
        <w:tc>
          <w:tcPr>
            <w:tcW w:w="6458" w:type="dxa"/>
          </w:tcPr>
          <w:p>
            <w:pPr>
              <w:rPr>
                <w:szCs w:val="21"/>
                <w:shd w:val="clear" w:color="auto" w:fill="FFFFFF"/>
              </w:rPr>
            </w:pPr>
            <w:r>
              <w:rPr>
                <w:rFonts w:hint="eastAsia"/>
                <w:szCs w:val="21"/>
                <w:shd w:val="clear" w:color="auto" w:fill="FFFFFF"/>
              </w:rPr>
              <w:t>概率分布函数</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i/>
              </w:rPr>
              <w:t>P</w:t>
            </w:r>
            <w:r>
              <w:rPr>
                <w:i/>
                <w:vertAlign w:val="subscript"/>
              </w:rPr>
              <w:t>m</w:t>
            </w:r>
          </w:p>
        </w:tc>
        <w:tc>
          <w:tcPr>
            <w:tcW w:w="6458" w:type="dxa"/>
          </w:tcPr>
          <w:p>
            <w:pPr>
              <w:rPr>
                <w:szCs w:val="21"/>
                <w:shd w:val="clear" w:color="auto" w:fill="FFFFFF"/>
              </w:rPr>
            </w:pPr>
            <w:r>
              <w:rPr>
                <w:rFonts w:hint="eastAsia"/>
                <w:szCs w:val="21"/>
                <w:shd w:val="clear" w:color="auto" w:fill="FFFFFF"/>
              </w:rPr>
              <w:t>用于图形表示的一系列值的标绘位置</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i/>
              </w:rPr>
              <w:t>Q</w:t>
            </w:r>
          </w:p>
        </w:tc>
        <w:tc>
          <w:tcPr>
            <w:tcW w:w="6458" w:type="dxa"/>
          </w:tcPr>
          <w:p>
            <w:pPr>
              <w:rPr>
                <w:szCs w:val="21"/>
                <w:shd w:val="clear" w:color="auto" w:fill="FFFFFF"/>
              </w:rPr>
            </w:pPr>
            <w:r>
              <w:rPr>
                <w:rFonts w:hint="eastAsia"/>
                <w:szCs w:val="21"/>
                <w:shd w:val="clear" w:color="auto" w:fill="FFFFFF"/>
              </w:rPr>
              <w:t>检验离群值或平均值时的狄克逊（</w:t>
            </w:r>
            <w:r>
              <w:rPr>
                <w:rFonts w:ascii="Arial" w:hAnsi="Arial" w:cs="Arial"/>
                <w:kern w:val="0"/>
                <w:sz w:val="20"/>
                <w:szCs w:val="20"/>
              </w:rPr>
              <w:t>Dixon’s</w:t>
            </w:r>
            <w:r>
              <w:rPr>
                <w:rFonts w:hint="eastAsia"/>
                <w:szCs w:val="21"/>
                <w:shd w:val="clear" w:color="auto" w:fill="FFFFFF"/>
              </w:rPr>
              <w:t>）商</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i/>
              </w:rPr>
              <w:t>r</w:t>
            </w:r>
          </w:p>
        </w:tc>
        <w:tc>
          <w:tcPr>
            <w:tcW w:w="6458" w:type="dxa"/>
          </w:tcPr>
          <w:p>
            <w:pPr>
              <w:rPr>
                <w:szCs w:val="21"/>
                <w:shd w:val="clear" w:color="auto" w:fill="FFFFFF"/>
              </w:rPr>
            </w:pPr>
            <w:r>
              <w:rPr>
                <w:rFonts w:hint="eastAsia"/>
                <w:szCs w:val="21"/>
                <w:shd w:val="clear" w:color="auto" w:fill="FFFFFF"/>
              </w:rPr>
              <w:t>用</w:t>
            </w:r>
            <w:r>
              <w:rPr>
                <w:szCs w:val="21"/>
                <w:shd w:val="clear" w:color="auto" w:fill="FFFFFF"/>
              </w:rPr>
              <w:t>于特定</w:t>
            </w:r>
            <w:r>
              <w:rPr>
                <w:rFonts w:hint="eastAsia"/>
                <w:szCs w:val="21"/>
                <w:shd w:val="clear" w:color="auto" w:fill="FFFFFF"/>
              </w:rPr>
              <w:t>试验</w:t>
            </w:r>
            <w:r>
              <w:rPr>
                <w:szCs w:val="21"/>
                <w:shd w:val="clear" w:color="auto" w:fill="FFFFFF"/>
              </w:rPr>
              <w:t>或系列试验的一个试验方法的重复性</w:t>
            </w:r>
          </w:p>
        </w:tc>
      </w:tr>
      <w:tr>
        <w:tc>
          <w:tcPr>
            <w:tcW w:w="562" w:type="dxa"/>
          </w:tcPr>
          <w:p>
            <w:pPr>
              <w:rPr>
                <w:i/>
              </w:rPr>
            </w:pPr>
          </w:p>
        </w:tc>
        <w:tc>
          <w:tcPr>
            <w:tcW w:w="1276" w:type="dxa"/>
          </w:tcPr>
          <w:p>
            <w:r>
              <w:rPr>
                <w:rFonts w:hint="eastAsia"/>
              </w:rPr>
              <w:t>(</w:t>
            </w:r>
            <w:r>
              <w:rPr>
                <w:i/>
              </w:rPr>
              <w:t>r</w:t>
            </w:r>
            <w:r>
              <w:t>)</w:t>
            </w:r>
          </w:p>
        </w:tc>
        <w:tc>
          <w:tcPr>
            <w:tcW w:w="6458" w:type="dxa"/>
          </w:tcPr>
          <w:p>
            <w:pPr>
              <w:rPr>
                <w:szCs w:val="21"/>
                <w:shd w:val="clear" w:color="auto" w:fill="FFFFFF"/>
              </w:rPr>
            </w:pPr>
            <w:r>
              <w:rPr>
                <w:szCs w:val="21"/>
                <w:shd w:val="clear" w:color="auto" w:fill="FFFFFF"/>
              </w:rPr>
              <w:t>以平均</w:t>
            </w:r>
            <w:r>
              <w:rPr>
                <w:rFonts w:hint="eastAsia"/>
                <w:szCs w:val="21"/>
                <w:shd w:val="clear" w:color="auto" w:fill="FFFFFF"/>
              </w:rPr>
              <w:t>值</w:t>
            </w:r>
            <w:r>
              <w:rPr>
                <w:szCs w:val="21"/>
                <w:shd w:val="clear" w:color="auto" w:fill="FFFFFF"/>
              </w:rPr>
              <w:t>百分数表示的一个试验或系列试验的重复性</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R</w:t>
            </w:r>
          </w:p>
        </w:tc>
        <w:tc>
          <w:tcPr>
            <w:tcW w:w="6458" w:type="dxa"/>
          </w:tcPr>
          <w:p>
            <w:pPr>
              <w:rPr>
                <w:szCs w:val="21"/>
                <w:shd w:val="clear" w:color="auto" w:fill="FFFFFF"/>
              </w:rPr>
            </w:pPr>
            <w:r>
              <w:rPr>
                <w:rFonts w:hint="eastAsia"/>
                <w:szCs w:val="21"/>
                <w:shd w:val="clear" w:color="auto" w:fill="FFFFFF"/>
              </w:rPr>
              <w:t>用于特定试验或系列试验的一个试验方法的重现性</w:t>
            </w:r>
          </w:p>
        </w:tc>
      </w:tr>
      <w:tr>
        <w:tblPrEx>
          <w:tblCellMar>
            <w:top w:w="0" w:type="dxa"/>
            <w:left w:w="108" w:type="dxa"/>
            <w:bottom w:w="0" w:type="dxa"/>
            <w:right w:w="108" w:type="dxa"/>
          </w:tblCellMar>
        </w:tblPrEx>
        <w:tc>
          <w:tcPr>
            <w:tcW w:w="562" w:type="dxa"/>
          </w:tcPr>
          <w:p>
            <w:pPr>
              <w:rPr>
                <w:i/>
              </w:rPr>
            </w:pPr>
          </w:p>
        </w:tc>
        <w:tc>
          <w:tcPr>
            <w:tcW w:w="1276" w:type="dxa"/>
          </w:tcPr>
          <w:p>
            <w:r>
              <w:rPr>
                <w:rFonts w:hint="eastAsia"/>
              </w:rPr>
              <w:t>(</w:t>
            </w:r>
            <w:r>
              <w:rPr>
                <w:i/>
              </w:rPr>
              <w:t>R</w:t>
            </w:r>
            <w:r>
              <w:rPr>
                <w:rFonts w:hint="eastAsia"/>
              </w:rPr>
              <w:t>)</w:t>
            </w:r>
          </w:p>
        </w:tc>
        <w:tc>
          <w:tcPr>
            <w:tcW w:w="6458" w:type="dxa"/>
          </w:tcPr>
          <w:p>
            <w:pPr>
              <w:rPr>
                <w:szCs w:val="21"/>
                <w:shd w:val="clear" w:color="auto" w:fill="FFFFFF"/>
              </w:rPr>
            </w:pPr>
            <w:r>
              <w:rPr>
                <w:szCs w:val="21"/>
                <w:shd w:val="clear" w:color="auto" w:fill="FFFFFF"/>
              </w:rPr>
              <w:t>以平均</w:t>
            </w:r>
            <w:r>
              <w:rPr>
                <w:rFonts w:hint="eastAsia"/>
                <w:szCs w:val="21"/>
                <w:shd w:val="clear" w:color="auto" w:fill="FFFFFF"/>
              </w:rPr>
              <w:t>值</w:t>
            </w:r>
            <w:r>
              <w:rPr>
                <w:szCs w:val="21"/>
                <w:shd w:val="clear" w:color="auto" w:fill="FFFFFF"/>
              </w:rPr>
              <w:t>百分数表示的一个试验或系列试验的重现性</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s</w:t>
            </w:r>
          </w:p>
        </w:tc>
        <w:tc>
          <w:tcPr>
            <w:tcW w:w="6458" w:type="dxa"/>
          </w:tcPr>
          <w:p>
            <w:pPr>
              <w:rPr>
                <w:szCs w:val="21"/>
                <w:shd w:val="clear" w:color="auto" w:fill="FFFFFF"/>
              </w:rPr>
            </w:pPr>
            <w:r>
              <w:rPr>
                <w:rFonts w:hint="eastAsia"/>
                <w:szCs w:val="21"/>
                <w:shd w:val="clear" w:color="auto" w:fill="FFFFFF"/>
              </w:rPr>
              <w:t>对可用样本的总体标准差的估计</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s</w:t>
            </w:r>
            <w:r>
              <w:rPr>
                <w:i/>
              </w:rPr>
              <w:t>’</w:t>
            </w:r>
          </w:p>
        </w:tc>
        <w:tc>
          <w:tcPr>
            <w:tcW w:w="6458" w:type="dxa"/>
          </w:tcPr>
          <w:p>
            <w:pPr>
              <w:rPr>
                <w:szCs w:val="21"/>
                <w:shd w:val="clear" w:color="auto" w:fill="FFFFFF"/>
              </w:rPr>
            </w:pPr>
            <w:r>
              <w:rPr>
                <w:szCs w:val="21"/>
                <w:shd w:val="clear" w:color="auto" w:fill="FFFFFF"/>
              </w:rPr>
              <w:t>一系列数的标准差</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S</w:t>
            </w:r>
          </w:p>
        </w:tc>
        <w:tc>
          <w:tcPr>
            <w:tcW w:w="6458" w:type="dxa"/>
          </w:tcPr>
          <w:p>
            <w:pPr>
              <w:rPr>
                <w:szCs w:val="21"/>
                <w:shd w:val="clear" w:color="auto" w:fill="FFFFFF"/>
              </w:rPr>
            </w:pPr>
            <w:r>
              <w:rPr>
                <w:rFonts w:hint="eastAsia"/>
                <w:szCs w:val="21"/>
                <w:shd w:val="clear" w:color="auto" w:fill="FFFFFF"/>
              </w:rPr>
              <w:t>两个系列值组合的加权标准误差或弗里德曼检验中样本的秩和</w:t>
            </w:r>
          </w:p>
        </w:tc>
      </w:tr>
      <w:tr>
        <w:tblPrEx>
          <w:tblCellMar>
            <w:top w:w="0" w:type="dxa"/>
            <w:left w:w="108" w:type="dxa"/>
            <w:bottom w:w="0" w:type="dxa"/>
            <w:right w:w="108" w:type="dxa"/>
          </w:tblCellMar>
        </w:tblPrEx>
        <w:tc>
          <w:tcPr>
            <w:tcW w:w="562" w:type="dxa"/>
          </w:tcPr>
          <w:p>
            <w:pPr>
              <w:rPr>
                <w:i/>
              </w:rPr>
            </w:pPr>
          </w:p>
        </w:tc>
        <w:tc>
          <w:tcPr>
            <w:tcW w:w="1276" w:type="dxa"/>
          </w:tcPr>
          <w:p>
            <w:r>
              <w:rPr>
                <w:rFonts w:hint="eastAsia"/>
                <w:i/>
              </w:rPr>
              <w:t>S</w:t>
            </w:r>
            <w:r>
              <w:rPr>
                <w:vertAlign w:val="subscript"/>
              </w:rPr>
              <w:t>t</w:t>
            </w:r>
          </w:p>
        </w:tc>
        <w:tc>
          <w:tcPr>
            <w:tcW w:w="6458" w:type="dxa"/>
          </w:tcPr>
          <w:p>
            <w:pPr>
              <w:rPr>
                <w:szCs w:val="21"/>
                <w:shd w:val="clear" w:color="auto" w:fill="FFFFFF"/>
              </w:rPr>
            </w:pPr>
            <w:r>
              <w:rPr>
                <w:rFonts w:hint="eastAsia"/>
                <w:szCs w:val="21"/>
                <w:shd w:val="clear" w:color="auto" w:fill="FFFFFF"/>
              </w:rPr>
              <w:t>个体值与其均值之差的平方和</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S</w:t>
            </w:r>
            <w:r>
              <w:rPr>
                <w:rFonts w:hint="eastAsia"/>
                <w:vertAlign w:val="subscript"/>
              </w:rPr>
              <w:t>z</w:t>
            </w:r>
          </w:p>
        </w:tc>
        <w:tc>
          <w:tcPr>
            <w:tcW w:w="6458" w:type="dxa"/>
          </w:tcPr>
          <w:p>
            <w:pPr>
              <w:rPr>
                <w:szCs w:val="21"/>
                <w:shd w:val="clear" w:color="auto" w:fill="FFFFFF"/>
              </w:rPr>
            </w:pPr>
            <w:r>
              <w:rPr>
                <w:rFonts w:hint="eastAsia"/>
                <w:szCs w:val="21"/>
                <w:shd w:val="clear" w:color="auto" w:fill="FFFFFF"/>
              </w:rPr>
              <w:t>因子Z</w:t>
            </w:r>
            <w:r>
              <w:rPr>
                <w:szCs w:val="21"/>
                <w:shd w:val="clear" w:color="auto" w:fill="FFFFFF"/>
              </w:rPr>
              <w:t>的平方和</w:t>
            </w:r>
          </w:p>
        </w:tc>
      </w:tr>
      <w:tr>
        <w:tblPrEx>
          <w:tblCellMar>
            <w:top w:w="0" w:type="dxa"/>
            <w:left w:w="108" w:type="dxa"/>
            <w:bottom w:w="0" w:type="dxa"/>
            <w:right w:w="108" w:type="dxa"/>
          </w:tblCellMar>
        </w:tblPrEx>
        <w:tc>
          <w:tcPr>
            <w:tcW w:w="562" w:type="dxa"/>
          </w:tcPr>
          <w:p>
            <w:pPr>
              <w:rPr>
                <w:i/>
              </w:rPr>
            </w:pPr>
          </w:p>
        </w:tc>
        <w:tc>
          <w:tcPr>
            <w:tcW w:w="1276" w:type="dxa"/>
          </w:tcPr>
          <w:p>
            <w:r>
              <w:rPr>
                <w:rFonts w:hint="eastAsia"/>
                <w:i/>
              </w:rPr>
              <w:t>t</w:t>
            </w:r>
            <w:r>
              <w:rPr>
                <w:i/>
                <w:vertAlign w:val="subscript"/>
              </w:rPr>
              <w:t>α</w:t>
            </w:r>
          </w:p>
        </w:tc>
        <w:tc>
          <w:tcPr>
            <w:tcW w:w="6458" w:type="dxa"/>
          </w:tcPr>
          <w:p>
            <w:pPr>
              <w:rPr>
                <w:szCs w:val="21"/>
                <w:shd w:val="clear" w:color="auto" w:fill="FFFFFF"/>
              </w:rPr>
            </w:pPr>
            <w:r>
              <w:rPr>
                <w:szCs w:val="21"/>
                <w:shd w:val="clear" w:color="auto" w:fill="FFFFFF"/>
              </w:rPr>
              <w:t>给定概率（或置信水平）</w:t>
            </w:r>
            <w:r>
              <w:rPr>
                <w:rFonts w:hint="eastAsia"/>
                <w:i/>
                <w:szCs w:val="21"/>
                <w:shd w:val="clear" w:color="auto" w:fill="FFFFFF"/>
              </w:rPr>
              <w:t>α</w:t>
            </w:r>
            <w:r>
              <w:rPr>
                <w:rFonts w:hint="eastAsia"/>
                <w:szCs w:val="21"/>
                <w:shd w:val="clear" w:color="auto" w:fill="FFFFFF"/>
              </w:rPr>
              <w:t>的学生检验t值（</w:t>
            </w:r>
            <w:r>
              <w:rPr>
                <w:rFonts w:ascii="Arial" w:hAnsi="Arial" w:cs="Arial"/>
                <w:kern w:val="0"/>
                <w:sz w:val="20"/>
                <w:szCs w:val="20"/>
              </w:rPr>
              <w:t xml:space="preserve">Student’s </w:t>
            </w:r>
            <w:r>
              <w:rPr>
                <w:rFonts w:ascii="TimesNewRoman,Italic" w:hAnsi="TimesNewRoman,Italic" w:cs="TimesNewRoman,Italic"/>
                <w:i/>
                <w:iCs/>
                <w:kern w:val="0"/>
                <w:sz w:val="20"/>
                <w:szCs w:val="20"/>
              </w:rPr>
              <w:t>t</w:t>
            </w:r>
            <w:r>
              <w:rPr>
                <w:rFonts w:ascii="Arial" w:hAnsi="Arial" w:cs="Arial"/>
                <w:kern w:val="0"/>
                <w:sz w:val="20"/>
                <w:szCs w:val="20"/>
              </w:rPr>
              <w:t>-value</w:t>
            </w:r>
            <w:r>
              <w:rPr>
                <w:rFonts w:hint="eastAsia"/>
                <w:szCs w:val="21"/>
                <w:shd w:val="clear" w:color="auto" w:fill="FFFFFF"/>
              </w:rPr>
              <w:t>）</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U</w:t>
            </w:r>
            <w:r>
              <w:rPr>
                <w:rFonts w:hint="eastAsia"/>
                <w:vertAlign w:val="subscript"/>
              </w:rPr>
              <w:t>r</w:t>
            </w:r>
          </w:p>
        </w:tc>
        <w:tc>
          <w:tcPr>
            <w:tcW w:w="6458" w:type="dxa"/>
          </w:tcPr>
          <w:p>
            <w:pPr>
              <w:rPr>
                <w:szCs w:val="21"/>
                <w:shd w:val="clear" w:color="auto" w:fill="FFFFFF"/>
              </w:rPr>
            </w:pPr>
            <w:r>
              <w:rPr>
                <w:rFonts w:hint="eastAsia"/>
                <w:szCs w:val="21"/>
                <w:shd w:val="clear" w:color="auto" w:fill="FFFFFF"/>
              </w:rPr>
              <w:t>测量的随机不确定度</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U</w:t>
            </w:r>
            <w:r>
              <w:rPr>
                <w:rFonts w:hint="eastAsia"/>
                <w:vertAlign w:val="subscript"/>
              </w:rPr>
              <w:t>s</w:t>
            </w:r>
          </w:p>
        </w:tc>
        <w:tc>
          <w:tcPr>
            <w:tcW w:w="6458" w:type="dxa"/>
          </w:tcPr>
          <w:p>
            <w:pPr>
              <w:rPr>
                <w:szCs w:val="21"/>
                <w:shd w:val="clear" w:color="auto" w:fill="FFFFFF"/>
              </w:rPr>
            </w:pPr>
            <w:r>
              <w:rPr>
                <w:rFonts w:hint="eastAsia"/>
                <w:szCs w:val="21"/>
                <w:shd w:val="clear" w:color="auto" w:fill="FFFFFF"/>
              </w:rPr>
              <w:t>测量的系统不确定度</w:t>
            </w:r>
          </w:p>
        </w:tc>
      </w:tr>
      <w:tr>
        <w:tc>
          <w:tcPr>
            <w:tcW w:w="562" w:type="dxa"/>
          </w:tcPr>
          <w:p>
            <w:pPr>
              <w:rPr>
                <w:i/>
              </w:rPr>
            </w:pPr>
          </w:p>
        </w:tc>
        <w:tc>
          <w:tcPr>
            <w:tcW w:w="1276" w:type="dxa"/>
          </w:tcPr>
          <w:p>
            <w:pPr>
              <w:rPr>
                <w:i/>
              </w:rPr>
            </w:pPr>
            <w:r>
              <w:rPr>
                <w:rFonts w:hint="eastAsia"/>
                <w:i/>
              </w:rPr>
              <w:t>v</w:t>
            </w:r>
            <w:r>
              <w:rPr>
                <w:rFonts w:hint="eastAsia"/>
                <w:vertAlign w:val="subscript"/>
              </w:rPr>
              <w:t>z</w:t>
            </w:r>
          </w:p>
        </w:tc>
        <w:tc>
          <w:tcPr>
            <w:tcW w:w="6458" w:type="dxa"/>
          </w:tcPr>
          <w:p>
            <w:pPr>
              <w:rPr>
                <w:szCs w:val="21"/>
                <w:shd w:val="clear" w:color="auto" w:fill="FFFFFF"/>
              </w:rPr>
            </w:pPr>
            <w:r>
              <w:rPr>
                <w:rFonts w:hint="eastAsia"/>
                <w:szCs w:val="21"/>
                <w:shd w:val="clear" w:color="auto" w:fill="FFFFFF"/>
              </w:rPr>
              <w:t>因子Z</w:t>
            </w:r>
            <w:r>
              <w:rPr>
                <w:szCs w:val="21"/>
                <w:shd w:val="clear" w:color="auto" w:fill="FFFFFF"/>
              </w:rPr>
              <w:t>的自由度数</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x</w:t>
            </w:r>
          </w:p>
        </w:tc>
        <w:tc>
          <w:tcPr>
            <w:tcW w:w="6458" w:type="dxa"/>
          </w:tcPr>
          <w:p>
            <w:pPr>
              <w:rPr>
                <w:szCs w:val="21"/>
                <w:shd w:val="clear" w:color="auto" w:fill="FFFFFF"/>
              </w:rPr>
            </w:pPr>
            <w:r>
              <w:rPr>
                <w:szCs w:val="21"/>
                <w:shd w:val="clear" w:color="auto" w:fill="FFFFFF"/>
              </w:rPr>
              <w:t>一个</w:t>
            </w:r>
            <w:r>
              <w:rPr>
                <w:rFonts w:hint="eastAsia"/>
                <w:szCs w:val="21"/>
                <w:shd w:val="clear" w:color="auto" w:fill="FFFFFF"/>
              </w:rPr>
              <w:t>独立的</w:t>
            </w:r>
            <w:r>
              <w:rPr>
                <w:szCs w:val="21"/>
                <w:shd w:val="clear" w:color="auto" w:fill="FFFFFF"/>
              </w:rPr>
              <w:t>数值，譬如单个</w:t>
            </w:r>
            <w:r>
              <w:rPr>
                <w:rFonts w:hint="eastAsia"/>
                <w:szCs w:val="21"/>
                <w:shd w:val="clear" w:color="auto" w:fill="FFFFFF"/>
              </w:rPr>
              <w:t>试样的拉伸强度</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x</w:t>
            </w:r>
            <w:r>
              <w:rPr>
                <w:rFonts w:hint="eastAsia"/>
                <w:i/>
                <w:vertAlign w:val="subscript"/>
              </w:rPr>
              <w:t>i</w:t>
            </w:r>
          </w:p>
        </w:tc>
        <w:tc>
          <w:tcPr>
            <w:tcW w:w="6458" w:type="dxa"/>
          </w:tcPr>
          <w:p>
            <w:pPr>
              <w:rPr>
                <w:szCs w:val="21"/>
                <w:shd w:val="clear" w:color="auto" w:fill="FFFFFF"/>
              </w:rPr>
            </w:pPr>
            <w:r>
              <w:rPr>
                <w:szCs w:val="21"/>
                <w:shd w:val="clear" w:color="auto" w:fill="FFFFFF"/>
              </w:rPr>
              <w:t>一系列值中的单个值，譬如拉伸强度，一组五个重复试验值中的一个</w:t>
            </w:r>
          </w:p>
        </w:tc>
      </w:tr>
      <w:tr>
        <w:tc>
          <w:tcPr>
            <w:tcW w:w="562" w:type="dxa"/>
          </w:tcPr>
          <w:p>
            <w:pPr>
              <w:rPr>
                <w:i/>
              </w:rPr>
            </w:pPr>
          </w:p>
        </w:tc>
        <w:tc>
          <w:tcPr>
            <w:tcW w:w="1276" w:type="dxa"/>
          </w:tcPr>
          <w:p>
            <w:pPr>
              <w:rPr>
                <w:i/>
              </w:rPr>
            </w:pPr>
            <w:r>
              <w:rPr>
                <w:rFonts w:hint="eastAsia"/>
                <w:i/>
              </w:rPr>
              <w:t>x</w:t>
            </w:r>
            <w:r>
              <w:rPr>
                <w:rFonts w:hint="eastAsia"/>
                <w:i/>
                <w:vertAlign w:val="subscript"/>
              </w:rPr>
              <w:t>ij</w:t>
            </w:r>
          </w:p>
        </w:tc>
        <w:tc>
          <w:tcPr>
            <w:tcW w:w="6458" w:type="dxa"/>
          </w:tcPr>
          <w:p>
            <w:pPr>
              <w:rPr>
                <w:szCs w:val="21"/>
                <w:shd w:val="clear" w:color="auto" w:fill="FFFFFF"/>
              </w:rPr>
            </w:pPr>
            <w:r>
              <w:rPr>
                <w:szCs w:val="21"/>
                <w:shd w:val="clear" w:color="auto" w:fill="FFFFFF"/>
              </w:rPr>
              <w:t>具有</w:t>
            </w:r>
            <w:r>
              <w:rPr>
                <w:rFonts w:hint="eastAsia"/>
                <w:szCs w:val="21"/>
                <w:shd w:val="clear" w:color="auto" w:fill="FFFFFF"/>
              </w:rPr>
              <w:t>两</w:t>
            </w:r>
            <w:r>
              <w:rPr>
                <w:szCs w:val="21"/>
                <w:shd w:val="clear" w:color="auto" w:fill="FFFFFF"/>
              </w:rPr>
              <w:t>因子的一系列值中的单个值，譬如拉伸强度，在不同温度下得到的若干组</w:t>
            </w:r>
            <w:r>
              <w:rPr>
                <w:rFonts w:hint="eastAsia"/>
                <w:szCs w:val="21"/>
                <w:shd w:val="clear" w:color="auto" w:fill="FFFFFF"/>
              </w:rPr>
              <w:t>平行</w:t>
            </w:r>
            <w:r>
              <w:rPr>
                <w:szCs w:val="21"/>
                <w:shd w:val="clear" w:color="auto" w:fill="FFFFFF"/>
              </w:rPr>
              <w:t>试验值中的一个</w:t>
            </w:r>
          </w:p>
        </w:tc>
      </w:tr>
      <w:tr>
        <w:tblPrEx>
          <w:tblCellMar>
            <w:top w:w="0" w:type="dxa"/>
            <w:left w:w="108" w:type="dxa"/>
            <w:bottom w:w="0" w:type="dxa"/>
            <w:right w:w="108" w:type="dxa"/>
          </w:tblCellMar>
        </w:tblPrEx>
        <w:tc>
          <w:tcPr>
            <w:tcW w:w="562" w:type="dxa"/>
          </w:tcPr>
          <w:p>
            <w:pPr>
              <w:rPr>
                <w:i/>
              </w:rPr>
            </w:pPr>
          </w:p>
        </w:tc>
        <w:tc>
          <w:tcPr>
            <w:tcW w:w="1276" w:type="dxa"/>
          </w:tcPr>
          <w:p>
            <w:r>
              <w:rPr>
                <w:rFonts w:ascii="Symbol" w:hAnsi="Symbol"/>
              </w:rPr>
              <w:t></w:t>
            </w:r>
            <w:r>
              <w:rPr>
                <w:rFonts w:hint="eastAsia"/>
                <w:i/>
              </w:rPr>
              <w:t>x</w:t>
            </w:r>
          </w:p>
        </w:tc>
        <w:tc>
          <w:tcPr>
            <w:tcW w:w="6458" w:type="dxa"/>
          </w:tcPr>
          <w:p>
            <w:pPr>
              <w:rPr>
                <w:szCs w:val="21"/>
                <w:shd w:val="clear" w:color="auto" w:fill="FFFFFF"/>
              </w:rPr>
            </w:pPr>
            <w:r>
              <w:rPr>
                <w:rFonts w:ascii="Symbol" w:hAnsi="Symbol"/>
                <w:szCs w:val="21"/>
                <w:shd w:val="clear" w:color="auto" w:fill="FFFFFF"/>
              </w:rPr>
              <w:t>一系列数字</w:t>
            </w:r>
            <w:r>
              <w:rPr>
                <w:rFonts w:hint="cs"/>
                <w:i/>
                <w:szCs w:val="21"/>
                <w:shd w:val="clear" w:color="auto" w:fill="FFFFFF"/>
              </w:rPr>
              <w:t>x</w:t>
            </w:r>
            <w:r>
              <w:rPr>
                <w:rFonts w:hint="cs"/>
                <w:i/>
                <w:szCs w:val="21"/>
                <w:shd w:val="clear" w:color="auto" w:fill="FFFFFF"/>
                <w:vertAlign w:val="subscript"/>
              </w:rPr>
              <w:t>i</w:t>
            </w:r>
            <w:r>
              <w:rPr>
                <w:rFonts w:hint="cs"/>
                <w:szCs w:val="21"/>
                <w:shd w:val="clear" w:color="auto" w:fill="FFFFFF"/>
              </w:rPr>
              <w:t>的算术平均值</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Z</w:t>
            </w:r>
          </w:p>
        </w:tc>
        <w:tc>
          <w:tcPr>
            <w:tcW w:w="6458" w:type="dxa"/>
          </w:tcPr>
          <w:p>
            <w:pPr>
              <w:rPr>
                <w:szCs w:val="21"/>
                <w:shd w:val="clear" w:color="auto" w:fill="FFFFFF"/>
              </w:rPr>
            </w:pPr>
            <w:r>
              <w:rPr>
                <w:rFonts w:hint="cs"/>
                <w:szCs w:val="21"/>
                <w:shd w:val="clear" w:color="auto" w:fill="FFFFFF"/>
              </w:rPr>
              <w:t>假设检验中的Z</w:t>
            </w:r>
            <w:r>
              <w:rPr>
                <w:szCs w:val="21"/>
                <w:shd w:val="clear" w:color="auto" w:fill="FFFFFF"/>
              </w:rPr>
              <w:t>分数</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α</w:t>
            </w:r>
            <w:r>
              <w:rPr>
                <w:rFonts w:hint="eastAsia"/>
              </w:rPr>
              <w:t>,</w:t>
            </w:r>
            <w:r>
              <w:rPr>
                <w:rFonts w:hint="eastAsia"/>
                <w:i/>
              </w:rPr>
              <w:t>β</w:t>
            </w:r>
          </w:p>
        </w:tc>
        <w:tc>
          <w:tcPr>
            <w:tcW w:w="6458" w:type="dxa"/>
          </w:tcPr>
          <w:p>
            <w:pPr>
              <w:rPr>
                <w:szCs w:val="21"/>
                <w:shd w:val="clear" w:color="auto" w:fill="FFFFFF"/>
              </w:rPr>
            </w:pPr>
            <w:r>
              <w:rPr>
                <w:rFonts w:hint="cs"/>
                <w:szCs w:val="21"/>
                <w:shd w:val="clear" w:color="auto" w:fill="FFFFFF"/>
              </w:rPr>
              <w:t>事件发生的概率</w:t>
            </w:r>
          </w:p>
        </w:tc>
      </w:tr>
      <w:tr>
        <w:tblPrEx>
          <w:tblCellMar>
            <w:top w:w="0" w:type="dxa"/>
            <w:left w:w="108" w:type="dxa"/>
            <w:bottom w:w="0" w:type="dxa"/>
            <w:right w:w="108" w:type="dxa"/>
          </w:tblCellMar>
        </w:tblPrEx>
        <w:tc>
          <w:tcPr>
            <w:tcW w:w="562" w:type="dxa"/>
          </w:tcPr>
          <w:p>
            <w:pPr>
              <w:rPr>
                <w:i/>
              </w:rPr>
            </w:pPr>
          </w:p>
        </w:tc>
        <w:tc>
          <w:tcPr>
            <w:tcW w:w="1276" w:type="dxa"/>
          </w:tcPr>
          <w:p>
            <w:pPr>
              <w:rPr>
                <w:i/>
              </w:rPr>
            </w:pPr>
            <w:r>
              <w:rPr>
                <w:rFonts w:hint="eastAsia"/>
                <w:i/>
              </w:rPr>
              <w:t>μ</w:t>
            </w:r>
          </w:p>
        </w:tc>
        <w:tc>
          <w:tcPr>
            <w:tcW w:w="6458" w:type="dxa"/>
          </w:tcPr>
          <w:p>
            <w:pPr>
              <w:rPr>
                <w:szCs w:val="21"/>
                <w:shd w:val="clear" w:color="auto" w:fill="FFFFFF"/>
              </w:rPr>
            </w:pPr>
            <w:r>
              <w:rPr>
                <w:szCs w:val="21"/>
                <w:shd w:val="clear" w:color="auto" w:fill="FFFFFF"/>
              </w:rPr>
              <w:t>分布的总体平均</w:t>
            </w:r>
          </w:p>
        </w:tc>
      </w:tr>
      <w:tr>
        <w:tblPrEx>
          <w:tblCellMar>
            <w:top w:w="0" w:type="dxa"/>
            <w:left w:w="108" w:type="dxa"/>
            <w:bottom w:w="0" w:type="dxa"/>
            <w:right w:w="108" w:type="dxa"/>
          </w:tblCellMar>
        </w:tblPrEx>
        <w:trPr>
          <w:trHeight w:val="157" w:hRule="atLeast"/>
        </w:trPr>
        <w:tc>
          <w:tcPr>
            <w:tcW w:w="562" w:type="dxa"/>
          </w:tcPr>
          <w:p>
            <w:pPr>
              <w:rPr>
                <w:i/>
              </w:rPr>
            </w:pPr>
          </w:p>
        </w:tc>
        <w:tc>
          <w:tcPr>
            <w:tcW w:w="1276" w:type="dxa"/>
          </w:tcPr>
          <w:p>
            <w:pPr>
              <w:spacing w:line="0" w:lineRule="atLeast"/>
              <w:rPr>
                <w:i/>
              </w:rPr>
            </w:pPr>
            <w:r>
              <w:rPr>
                <w:rFonts w:hint="eastAsia"/>
                <w:i/>
              </w:rPr>
              <w:sym w:font="Symbol" w:char="F020"/>
            </w:r>
            <w:r>
              <w:rPr>
                <w:i/>
                <w:position w:val="-10"/>
              </w:rPr>
              <w:object>
                <v:shape id="_x0000_i1025" o:spt="75" type="#_x0000_t75" style="height:21.75pt;width:14.2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tc>
        <w:tc>
          <w:tcPr>
            <w:tcW w:w="6458" w:type="dxa"/>
          </w:tcPr>
          <w:p>
            <w:pPr>
              <w:rPr>
                <w:szCs w:val="21"/>
                <w:shd w:val="clear" w:color="auto" w:fill="FFFFFF"/>
              </w:rPr>
            </w:pPr>
            <w:r>
              <w:rPr>
                <w:szCs w:val="21"/>
                <w:shd w:val="clear" w:color="auto" w:fill="FFFFFF"/>
              </w:rPr>
              <w:t>现有样</w:t>
            </w:r>
            <w:r>
              <w:rPr>
                <w:rFonts w:hint="eastAsia"/>
                <w:szCs w:val="21"/>
                <w:shd w:val="clear" w:color="auto" w:fill="FFFFFF"/>
              </w:rPr>
              <w:t>本</w:t>
            </w:r>
            <w:r>
              <w:rPr>
                <w:szCs w:val="21"/>
                <w:shd w:val="clear" w:color="auto" w:fill="FFFFFF"/>
              </w:rPr>
              <w:t>总体平均值的估计</w:t>
            </w:r>
          </w:p>
        </w:tc>
      </w:tr>
      <w:tr>
        <w:tblPrEx>
          <w:tblCellMar>
            <w:top w:w="0" w:type="dxa"/>
            <w:left w:w="108" w:type="dxa"/>
            <w:bottom w:w="0" w:type="dxa"/>
            <w:right w:w="108" w:type="dxa"/>
          </w:tblCellMar>
        </w:tblPrEx>
        <w:trPr>
          <w:trHeight w:val="277" w:hRule="atLeast"/>
        </w:trPr>
        <w:tc>
          <w:tcPr>
            <w:tcW w:w="562" w:type="dxa"/>
          </w:tcPr>
          <w:p>
            <w:pPr>
              <w:rPr>
                <w:i/>
              </w:rPr>
            </w:pPr>
          </w:p>
        </w:tc>
        <w:tc>
          <w:tcPr>
            <w:tcW w:w="1276" w:type="dxa"/>
          </w:tcPr>
          <w:p>
            <w:pPr>
              <w:rPr>
                <w:i/>
              </w:rPr>
            </w:pPr>
            <w:r>
              <w:rPr>
                <w:rFonts w:hint="eastAsia"/>
                <w:i/>
              </w:rPr>
              <w:sym w:font="Symbol" w:char="F073"/>
            </w:r>
          </w:p>
        </w:tc>
        <w:tc>
          <w:tcPr>
            <w:tcW w:w="6458" w:type="dxa"/>
          </w:tcPr>
          <w:p>
            <w:pPr>
              <w:rPr>
                <w:szCs w:val="21"/>
                <w:shd w:val="clear" w:color="auto" w:fill="FFFFFF"/>
              </w:rPr>
            </w:pPr>
            <w:r>
              <w:rPr>
                <w:szCs w:val="21"/>
                <w:shd w:val="clear" w:color="auto" w:fill="FFFFFF"/>
              </w:rPr>
              <w:t>分布的总体标准差</w:t>
            </w:r>
          </w:p>
        </w:tc>
      </w:tr>
    </w:tbl>
    <w:p>
      <w:pPr>
        <w:pStyle w:val="23"/>
      </w:pPr>
    </w:p>
    <w:p>
      <w:pPr>
        <w:pStyle w:val="45"/>
        <w:rPr>
          <w:rFonts w:hAnsi="黑体"/>
        </w:rPr>
      </w:pPr>
      <w:bookmarkStart w:id="184" w:name="_Toc124173923"/>
      <w:r>
        <w:rPr>
          <w:rFonts w:hAnsi="黑体"/>
        </w:rPr>
        <w:t>试验结果的</w:t>
      </w:r>
      <w:r>
        <w:rPr>
          <w:rFonts w:hint="eastAsia" w:hAnsi="黑体"/>
        </w:rPr>
        <w:t>限制</w:t>
      </w:r>
      <w:bookmarkEnd w:id="184"/>
    </w:p>
    <w:p>
      <w:pPr>
        <w:pStyle w:val="42"/>
      </w:pPr>
      <w:bookmarkStart w:id="185" w:name="_Toc117245017"/>
      <w:bookmarkStart w:id="186" w:name="_Toc124173924"/>
      <w:r>
        <w:t>变异性</w:t>
      </w:r>
      <w:bookmarkEnd w:id="185"/>
      <w:bookmarkEnd w:id="186"/>
    </w:p>
    <w:p>
      <w:pPr>
        <w:pStyle w:val="63"/>
        <w:outlineLvl w:val="9"/>
      </w:pPr>
      <w:r>
        <w:t>所有测量都可能受变异影响。</w:t>
      </w:r>
      <w:r>
        <w:rPr>
          <w:rFonts w:hint="eastAsia"/>
        </w:rPr>
        <w:t>有必要知道变异的来源，并对其大小做出可靠的估计。根据这种信息，应该可以判断结果的可靠性，从而判断其不确定度和显著性</w:t>
      </w:r>
      <w:r>
        <w:t>。</w:t>
      </w:r>
    </w:p>
    <w:p>
      <w:pPr>
        <w:pStyle w:val="63"/>
        <w:outlineLvl w:val="9"/>
      </w:pPr>
      <w:r>
        <w:rPr>
          <w:rFonts w:hint="eastAsia"/>
        </w:rPr>
        <w:t>“总体”一词简单地表示为一个大组中对象的总数（见3.1）。例如，在试验术语中，总体可以是拉伸强度结果的总数，这些结果能从特定的橡胶混炼胶上得到，如果对每一个制备的材料试样都进行试验的话。</w:t>
      </w:r>
    </w:p>
    <w:p>
      <w:pPr>
        <w:pStyle w:val="63"/>
        <w:outlineLvl w:val="9"/>
      </w:pPr>
      <w:r>
        <w:t>样</w:t>
      </w:r>
      <w:r>
        <w:rPr>
          <w:rFonts w:hint="eastAsia"/>
        </w:rPr>
        <w:t>本</w:t>
      </w:r>
      <w:r>
        <w:t>是一</w:t>
      </w:r>
      <w:r>
        <w:rPr>
          <w:rFonts w:hint="eastAsia"/>
        </w:rPr>
        <w:t>批取自于总体的</w:t>
      </w:r>
      <w:r>
        <w:t>选定的数，如</w:t>
      </w:r>
      <w:r>
        <w:rPr>
          <w:rFonts w:hint="eastAsia"/>
        </w:rPr>
        <w:t>部</w:t>
      </w:r>
      <w:r>
        <w:t>件或拉伸结果数。</w:t>
      </w:r>
    </w:p>
    <w:p>
      <w:pPr>
        <w:pStyle w:val="65"/>
      </w:pPr>
      <w:r>
        <w:t>为避免混淆，“样</w:t>
      </w:r>
      <w:r>
        <w:rPr>
          <w:rFonts w:hint="eastAsia"/>
        </w:rPr>
        <w:t>本</w:t>
      </w:r>
      <w:r>
        <w:t>”（</w:t>
      </w:r>
      <w:r>
        <w:rPr>
          <w:rFonts w:hint="eastAsia"/>
        </w:rPr>
        <w:t>sample</w:t>
      </w:r>
      <w:r>
        <w:t>）不宜用于表</w:t>
      </w:r>
      <w:r>
        <w:rPr>
          <w:rFonts w:hint="eastAsia"/>
        </w:rPr>
        <w:t>示</w:t>
      </w:r>
      <w:r>
        <w:t>“试样”（</w:t>
      </w:r>
      <w:r>
        <w:rPr>
          <w:rFonts w:hint="eastAsia"/>
        </w:rPr>
        <w:t>test piece</w:t>
      </w:r>
      <w:r>
        <w:t>）</w:t>
      </w:r>
      <w:r>
        <w:rPr>
          <w:rFonts w:hint="eastAsia"/>
        </w:rPr>
        <w:t>。</w:t>
      </w:r>
    </w:p>
    <w:p>
      <w:pPr>
        <w:pStyle w:val="65"/>
      </w:pPr>
      <w:r>
        <w:rPr>
          <w:rFonts w:hint="eastAsia"/>
        </w:rPr>
        <w:t>样本有两个含义：</w:t>
      </w:r>
    </w:p>
    <w:p>
      <w:pPr>
        <w:pStyle w:val="65"/>
        <w:numPr>
          <w:ilvl w:val="0"/>
          <w:numId w:val="0"/>
        </w:numPr>
        <w:ind w:left="811"/>
      </w:pPr>
      <w:r>
        <w:rPr>
          <w:rFonts w:hint="eastAsia"/>
        </w:rPr>
        <w:t>a) 物理意义，就像从一个满箱中取出五个部件；</w:t>
      </w:r>
    </w:p>
    <w:p>
      <w:pPr>
        <w:pStyle w:val="65"/>
        <w:numPr>
          <w:ilvl w:val="0"/>
          <w:numId w:val="0"/>
        </w:numPr>
        <w:ind w:left="811"/>
      </w:pPr>
      <w:r>
        <w:rPr>
          <w:rFonts w:hint="eastAsia"/>
        </w:rPr>
        <w:t>b) 统计学意义，就是取五个试验结果。</w:t>
      </w:r>
    </w:p>
    <w:p>
      <w:pPr>
        <w:pStyle w:val="63"/>
        <w:outlineLvl w:val="9"/>
      </w:pPr>
      <w:r>
        <w:t>如果用同一批橡胶制备的一张试片进行了五次拉伸强度测量，可能会得到如表</w:t>
      </w:r>
      <w:r>
        <w:rPr>
          <w:rFonts w:hint="eastAsia"/>
        </w:rPr>
        <w:t>1所示的试验结果。</w:t>
      </w:r>
    </w:p>
    <w:p>
      <w:pPr>
        <w:pStyle w:val="127"/>
        <w:ind w:left="0"/>
      </w:pPr>
      <w:r>
        <w:rPr>
          <w:rFonts w:hint="eastAsia" w:hAnsi="黑体"/>
        </w:rPr>
        <w:t>同一批橡胶的五次拉伸强度测量</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85"/>
        <w:gridCol w:w="4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5" w:type="dxa"/>
          </w:tcPr>
          <w:p>
            <w:pPr>
              <w:tabs>
                <w:tab w:val="center" w:pos="4201"/>
                <w:tab w:val="right" w:leader="dot" w:pos="9298"/>
              </w:tabs>
              <w:autoSpaceDE w:val="0"/>
              <w:autoSpaceDN w:val="0"/>
              <w:spacing w:line="0" w:lineRule="atLeast"/>
              <w:ind w:firstLine="360" w:firstLineChars="200"/>
              <w:jc w:val="center"/>
              <w:rPr>
                <w:rFonts w:ascii="宋体" w:hAnsi="宋体"/>
                <w:szCs w:val="22"/>
              </w:rPr>
            </w:pPr>
            <w:bookmarkStart w:id="187" w:name="_Toc124173144"/>
            <w:bookmarkStart w:id="188" w:name="_Toc117245018"/>
            <w:r>
              <w:rPr>
                <w:rFonts w:hint="eastAsia" w:ascii="宋体" w:hAnsi="宋体"/>
                <w:sz w:val="18"/>
              </w:rPr>
              <w:t>测量次序</w:t>
            </w:r>
            <w:bookmarkEnd w:id="187"/>
            <w:bookmarkEnd w:id="188"/>
          </w:p>
        </w:tc>
        <w:tc>
          <w:tcPr>
            <w:tcW w:w="4785" w:type="dxa"/>
          </w:tcPr>
          <w:p>
            <w:pPr>
              <w:tabs>
                <w:tab w:val="center" w:pos="4201"/>
                <w:tab w:val="right" w:leader="dot" w:pos="9298"/>
              </w:tabs>
              <w:autoSpaceDE w:val="0"/>
              <w:autoSpaceDN w:val="0"/>
              <w:spacing w:line="0" w:lineRule="atLeast"/>
              <w:ind w:firstLine="360" w:firstLineChars="200"/>
              <w:jc w:val="center"/>
              <w:rPr>
                <w:rFonts w:ascii="宋体" w:hAnsi="宋体"/>
                <w:sz w:val="18"/>
              </w:rPr>
            </w:pPr>
            <w:bookmarkStart w:id="189" w:name="_Toc117245019"/>
            <w:bookmarkStart w:id="190" w:name="_Toc124173145"/>
            <w:r>
              <w:rPr>
                <w:rFonts w:hint="eastAsia" w:ascii="宋体" w:hAnsi="宋体"/>
                <w:sz w:val="18"/>
              </w:rPr>
              <w:t>拉伸强度</w:t>
            </w:r>
            <w:bookmarkEnd w:id="189"/>
            <w:bookmarkEnd w:id="190"/>
          </w:p>
          <w:p>
            <w:pPr>
              <w:tabs>
                <w:tab w:val="center" w:pos="4201"/>
                <w:tab w:val="right" w:leader="dot" w:pos="9298"/>
              </w:tabs>
              <w:autoSpaceDE w:val="0"/>
              <w:autoSpaceDN w:val="0"/>
              <w:spacing w:line="0" w:lineRule="atLeast"/>
              <w:ind w:firstLine="360" w:firstLineChars="200"/>
              <w:jc w:val="center"/>
              <w:rPr>
                <w:rFonts w:ascii="宋体" w:hAnsi="宋体"/>
                <w:szCs w:val="22"/>
              </w:rPr>
            </w:pPr>
            <w:bookmarkStart w:id="191" w:name="_Toc124173146"/>
            <w:bookmarkStart w:id="192" w:name="_Toc117245020"/>
            <w:r>
              <w:rPr>
                <w:rFonts w:hint="eastAsia" w:ascii="宋体" w:hAnsi="宋体"/>
                <w:sz w:val="18"/>
              </w:rPr>
              <w:t>MPa</w:t>
            </w:r>
            <w:bookmarkEnd w:id="191"/>
            <w:bookmarkEnd w:id="19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5" w:type="dxa"/>
          </w:tcPr>
          <w:p>
            <w:pPr>
              <w:tabs>
                <w:tab w:val="center" w:pos="4201"/>
                <w:tab w:val="right" w:leader="dot" w:pos="9298"/>
              </w:tabs>
              <w:autoSpaceDE w:val="0"/>
              <w:autoSpaceDN w:val="0"/>
              <w:spacing w:line="0" w:lineRule="atLeast"/>
              <w:ind w:firstLine="360" w:firstLineChars="200"/>
              <w:jc w:val="center"/>
              <w:rPr>
                <w:rFonts w:ascii="宋体" w:hAnsi="宋体"/>
                <w:szCs w:val="22"/>
              </w:rPr>
            </w:pPr>
            <w:bookmarkStart w:id="193" w:name="_Toc117245021"/>
            <w:bookmarkStart w:id="194" w:name="_Toc124173147"/>
            <w:r>
              <w:rPr>
                <w:rFonts w:hint="eastAsia" w:ascii="宋体" w:hAnsi="宋体"/>
                <w:sz w:val="18"/>
              </w:rPr>
              <w:t>1</w:t>
            </w:r>
            <w:bookmarkEnd w:id="193"/>
            <w:bookmarkEnd w:id="194"/>
          </w:p>
        </w:tc>
        <w:tc>
          <w:tcPr>
            <w:tcW w:w="4785" w:type="dxa"/>
          </w:tcPr>
          <w:p>
            <w:pPr>
              <w:tabs>
                <w:tab w:val="center" w:pos="4201"/>
                <w:tab w:val="right" w:leader="dot" w:pos="9298"/>
              </w:tabs>
              <w:autoSpaceDE w:val="0"/>
              <w:autoSpaceDN w:val="0"/>
              <w:spacing w:line="0" w:lineRule="atLeast"/>
              <w:ind w:firstLine="360" w:firstLineChars="200"/>
              <w:jc w:val="center"/>
              <w:rPr>
                <w:rFonts w:ascii="宋体" w:hAnsi="宋体"/>
                <w:szCs w:val="22"/>
              </w:rPr>
            </w:pPr>
            <w:bookmarkStart w:id="195" w:name="_Toc117245022"/>
            <w:bookmarkStart w:id="196" w:name="_Toc124173148"/>
            <w:r>
              <w:rPr>
                <w:rFonts w:hint="eastAsia" w:ascii="宋体" w:hAnsi="宋体"/>
                <w:sz w:val="18"/>
              </w:rPr>
              <w:t>16.8</w:t>
            </w:r>
            <w:bookmarkEnd w:id="195"/>
            <w:bookmarkEnd w:id="19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5" w:type="dxa"/>
          </w:tcPr>
          <w:p>
            <w:pPr>
              <w:tabs>
                <w:tab w:val="center" w:pos="4201"/>
                <w:tab w:val="right" w:leader="dot" w:pos="9298"/>
              </w:tabs>
              <w:autoSpaceDE w:val="0"/>
              <w:autoSpaceDN w:val="0"/>
              <w:spacing w:line="0" w:lineRule="atLeast"/>
              <w:ind w:firstLine="360" w:firstLineChars="200"/>
              <w:jc w:val="center"/>
              <w:rPr>
                <w:rFonts w:ascii="宋体" w:hAnsi="宋体"/>
                <w:szCs w:val="22"/>
              </w:rPr>
            </w:pPr>
            <w:bookmarkStart w:id="197" w:name="_Toc117245023"/>
            <w:bookmarkStart w:id="198" w:name="_Toc124173149"/>
            <w:r>
              <w:rPr>
                <w:rFonts w:hint="eastAsia" w:ascii="宋体" w:hAnsi="宋体"/>
                <w:sz w:val="18"/>
              </w:rPr>
              <w:t>2</w:t>
            </w:r>
            <w:bookmarkEnd w:id="197"/>
            <w:bookmarkEnd w:id="198"/>
          </w:p>
        </w:tc>
        <w:tc>
          <w:tcPr>
            <w:tcW w:w="4785" w:type="dxa"/>
          </w:tcPr>
          <w:p>
            <w:pPr>
              <w:tabs>
                <w:tab w:val="center" w:pos="4201"/>
                <w:tab w:val="right" w:leader="dot" w:pos="9298"/>
              </w:tabs>
              <w:autoSpaceDE w:val="0"/>
              <w:autoSpaceDN w:val="0"/>
              <w:spacing w:line="0" w:lineRule="atLeast"/>
              <w:ind w:firstLine="360" w:firstLineChars="200"/>
              <w:jc w:val="center"/>
              <w:rPr>
                <w:rFonts w:ascii="宋体" w:hAnsi="宋体"/>
                <w:szCs w:val="22"/>
              </w:rPr>
            </w:pPr>
            <w:bookmarkStart w:id="199" w:name="_Toc117245024"/>
            <w:bookmarkStart w:id="200" w:name="_Toc124173150"/>
            <w:r>
              <w:rPr>
                <w:rFonts w:hint="eastAsia" w:ascii="宋体" w:hAnsi="宋体"/>
                <w:sz w:val="18"/>
              </w:rPr>
              <w:t>15.4</w:t>
            </w:r>
            <w:bookmarkEnd w:id="199"/>
            <w:bookmarkEnd w:id="20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5" w:type="dxa"/>
          </w:tcPr>
          <w:p>
            <w:pPr>
              <w:tabs>
                <w:tab w:val="center" w:pos="4201"/>
                <w:tab w:val="right" w:leader="dot" w:pos="9298"/>
              </w:tabs>
              <w:autoSpaceDE w:val="0"/>
              <w:autoSpaceDN w:val="0"/>
              <w:spacing w:line="0" w:lineRule="atLeast"/>
              <w:ind w:firstLine="360" w:firstLineChars="200"/>
              <w:jc w:val="center"/>
              <w:rPr>
                <w:rFonts w:ascii="宋体" w:hAnsi="宋体"/>
                <w:szCs w:val="22"/>
              </w:rPr>
            </w:pPr>
            <w:bookmarkStart w:id="201" w:name="_Toc117245025"/>
            <w:bookmarkStart w:id="202" w:name="_Toc124173151"/>
            <w:r>
              <w:rPr>
                <w:rFonts w:hint="eastAsia" w:ascii="宋体" w:hAnsi="宋体"/>
                <w:sz w:val="18"/>
              </w:rPr>
              <w:t>3</w:t>
            </w:r>
            <w:bookmarkEnd w:id="201"/>
            <w:bookmarkEnd w:id="202"/>
          </w:p>
        </w:tc>
        <w:tc>
          <w:tcPr>
            <w:tcW w:w="4785" w:type="dxa"/>
          </w:tcPr>
          <w:p>
            <w:pPr>
              <w:tabs>
                <w:tab w:val="center" w:pos="4201"/>
                <w:tab w:val="right" w:leader="dot" w:pos="9298"/>
              </w:tabs>
              <w:autoSpaceDE w:val="0"/>
              <w:autoSpaceDN w:val="0"/>
              <w:spacing w:line="0" w:lineRule="atLeast"/>
              <w:ind w:firstLine="360" w:firstLineChars="200"/>
              <w:jc w:val="center"/>
              <w:rPr>
                <w:rFonts w:ascii="宋体" w:hAnsi="宋体"/>
                <w:szCs w:val="22"/>
              </w:rPr>
            </w:pPr>
            <w:bookmarkStart w:id="203" w:name="_Toc117245026"/>
            <w:bookmarkStart w:id="204" w:name="_Toc124173152"/>
            <w:r>
              <w:rPr>
                <w:rFonts w:hint="eastAsia" w:ascii="宋体" w:hAnsi="宋体"/>
                <w:sz w:val="18"/>
              </w:rPr>
              <w:t>16.3</w:t>
            </w:r>
            <w:bookmarkEnd w:id="203"/>
            <w:bookmarkEnd w:id="20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5" w:type="dxa"/>
          </w:tcPr>
          <w:p>
            <w:pPr>
              <w:tabs>
                <w:tab w:val="center" w:pos="4201"/>
                <w:tab w:val="right" w:leader="dot" w:pos="9298"/>
              </w:tabs>
              <w:autoSpaceDE w:val="0"/>
              <w:autoSpaceDN w:val="0"/>
              <w:spacing w:line="0" w:lineRule="atLeast"/>
              <w:ind w:firstLine="360" w:firstLineChars="200"/>
              <w:jc w:val="center"/>
              <w:rPr>
                <w:rFonts w:ascii="宋体" w:hAnsi="宋体"/>
                <w:szCs w:val="22"/>
              </w:rPr>
            </w:pPr>
            <w:bookmarkStart w:id="205" w:name="_Toc124173153"/>
            <w:bookmarkStart w:id="206" w:name="_Toc117245027"/>
            <w:r>
              <w:rPr>
                <w:rFonts w:hint="eastAsia" w:ascii="宋体" w:hAnsi="宋体"/>
                <w:sz w:val="18"/>
              </w:rPr>
              <w:t>4</w:t>
            </w:r>
            <w:bookmarkEnd w:id="205"/>
            <w:bookmarkEnd w:id="206"/>
          </w:p>
        </w:tc>
        <w:tc>
          <w:tcPr>
            <w:tcW w:w="4785" w:type="dxa"/>
          </w:tcPr>
          <w:p>
            <w:pPr>
              <w:tabs>
                <w:tab w:val="center" w:pos="4201"/>
                <w:tab w:val="right" w:leader="dot" w:pos="9298"/>
              </w:tabs>
              <w:autoSpaceDE w:val="0"/>
              <w:autoSpaceDN w:val="0"/>
              <w:spacing w:line="0" w:lineRule="atLeast"/>
              <w:ind w:firstLine="360" w:firstLineChars="200"/>
              <w:jc w:val="center"/>
              <w:rPr>
                <w:rFonts w:ascii="宋体" w:hAnsi="宋体"/>
                <w:szCs w:val="22"/>
              </w:rPr>
            </w:pPr>
            <w:bookmarkStart w:id="207" w:name="_Toc124173154"/>
            <w:bookmarkStart w:id="208" w:name="_Toc117245028"/>
            <w:r>
              <w:rPr>
                <w:rFonts w:hint="eastAsia" w:ascii="宋体" w:hAnsi="宋体"/>
                <w:sz w:val="18"/>
              </w:rPr>
              <w:t>17.7</w:t>
            </w:r>
            <w:bookmarkEnd w:id="207"/>
            <w:bookmarkEnd w:id="20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5" w:type="dxa"/>
          </w:tcPr>
          <w:p>
            <w:pPr>
              <w:tabs>
                <w:tab w:val="center" w:pos="4201"/>
                <w:tab w:val="right" w:leader="dot" w:pos="9298"/>
              </w:tabs>
              <w:autoSpaceDE w:val="0"/>
              <w:autoSpaceDN w:val="0"/>
              <w:spacing w:line="0" w:lineRule="atLeast"/>
              <w:ind w:firstLine="360" w:firstLineChars="200"/>
              <w:jc w:val="center"/>
              <w:rPr>
                <w:rFonts w:ascii="宋体" w:hAnsi="宋体"/>
                <w:szCs w:val="22"/>
              </w:rPr>
            </w:pPr>
            <w:bookmarkStart w:id="209" w:name="_Toc117245029"/>
            <w:bookmarkStart w:id="210" w:name="_Toc124173155"/>
            <w:r>
              <w:rPr>
                <w:rFonts w:hint="eastAsia" w:ascii="宋体" w:hAnsi="宋体"/>
                <w:sz w:val="18"/>
              </w:rPr>
              <w:t>5</w:t>
            </w:r>
            <w:bookmarkEnd w:id="209"/>
            <w:bookmarkEnd w:id="210"/>
          </w:p>
        </w:tc>
        <w:tc>
          <w:tcPr>
            <w:tcW w:w="4785" w:type="dxa"/>
          </w:tcPr>
          <w:p>
            <w:pPr>
              <w:tabs>
                <w:tab w:val="center" w:pos="4201"/>
                <w:tab w:val="right" w:leader="dot" w:pos="9298"/>
              </w:tabs>
              <w:autoSpaceDE w:val="0"/>
              <w:autoSpaceDN w:val="0"/>
              <w:spacing w:line="0" w:lineRule="atLeast"/>
              <w:ind w:firstLine="360" w:firstLineChars="200"/>
              <w:jc w:val="center"/>
              <w:rPr>
                <w:rFonts w:ascii="宋体" w:hAnsi="宋体"/>
                <w:szCs w:val="22"/>
              </w:rPr>
            </w:pPr>
            <w:bookmarkStart w:id="211" w:name="_Toc117245030"/>
            <w:bookmarkStart w:id="212" w:name="_Toc124173156"/>
            <w:r>
              <w:rPr>
                <w:rFonts w:hint="eastAsia" w:ascii="宋体" w:hAnsi="宋体"/>
                <w:sz w:val="18"/>
              </w:rPr>
              <w:t>17.6</w:t>
            </w:r>
            <w:bookmarkEnd w:id="211"/>
            <w:bookmarkEnd w:id="212"/>
          </w:p>
        </w:tc>
      </w:tr>
    </w:tbl>
    <w:p>
      <w:pPr>
        <w:pStyle w:val="23"/>
        <w:spacing w:before="312" w:beforeLines="100" w:after="156" w:afterLines="50"/>
      </w:pPr>
      <w:r>
        <w:rPr>
          <w:rFonts w:hint="eastAsia"/>
        </w:rPr>
        <w:t>变异的源是：</w:t>
      </w:r>
    </w:p>
    <w:p>
      <w:pPr>
        <w:pStyle w:val="23"/>
      </w:pPr>
      <w:r>
        <w:rPr>
          <w:rFonts w:hint="eastAsia"/>
        </w:rPr>
        <w:t>a) 由于橡胶片不是完全均匀的这一事实而产生的橡胶片固有的变异性；</w:t>
      </w:r>
    </w:p>
    <w:p>
      <w:pPr>
        <w:pStyle w:val="23"/>
      </w:pPr>
      <w:r>
        <w:rPr>
          <w:rFonts w:hint="eastAsia"/>
        </w:rPr>
        <w:t>b) 由试验程序引起的变异性，包括试样的制备、机器的准确度和操作误差。</w:t>
      </w:r>
    </w:p>
    <w:p>
      <w:pPr>
        <w:pStyle w:val="23"/>
        <w:spacing w:before="156" w:beforeLines="50"/>
      </w:pPr>
      <w:r>
        <w:rPr>
          <w:rFonts w:hint="eastAsia"/>
        </w:rPr>
        <w:t>如果试验了若干试片，则还要增加模制操作引起的变异源。</w:t>
      </w:r>
    </w:p>
    <w:p>
      <w:pPr>
        <w:pStyle w:val="23"/>
        <w:spacing w:before="156" w:beforeLines="50"/>
      </w:pPr>
      <w:r>
        <w:rPr>
          <w:rFonts w:hint="eastAsia"/>
        </w:rPr>
        <w:t>如果使用的若干批混炼胶，那么要增加两个变异源：</w:t>
      </w:r>
    </w:p>
    <w:p>
      <w:pPr>
        <w:pStyle w:val="23"/>
        <w:spacing w:before="156" w:beforeLines="50"/>
      </w:pPr>
      <w:r>
        <w:rPr>
          <w:rFonts w:hint="eastAsia"/>
        </w:rPr>
        <w:t>1）混炼程序；</w:t>
      </w:r>
    </w:p>
    <w:p>
      <w:pPr>
        <w:pStyle w:val="23"/>
        <w:spacing w:before="156" w:beforeLines="50"/>
      </w:pPr>
      <w:r>
        <w:rPr>
          <w:rFonts w:hint="eastAsia"/>
        </w:rPr>
        <w:t>2）配合剂中的任何变异。</w:t>
      </w:r>
    </w:p>
    <w:p>
      <w:pPr>
        <w:pStyle w:val="23"/>
        <w:spacing w:before="156" w:beforeLines="50"/>
      </w:pPr>
      <w:r>
        <w:rPr>
          <w:rFonts w:hint="eastAsia"/>
        </w:rPr>
        <w:t>如果名义上相同的试片分发给不同的操作者，就会产生由操作都引起的变异。</w:t>
      </w:r>
    </w:p>
    <w:p>
      <w:pPr>
        <w:pStyle w:val="23"/>
        <w:spacing w:before="156" w:beforeLines="50"/>
      </w:pPr>
      <w:r>
        <w:rPr>
          <w:rFonts w:hint="eastAsia"/>
        </w:rPr>
        <w:t>同样，如果使用了不同的试验仪器，则会引入仪器引起的变异。进而，试片在不同的实验室进行试验，就会引入实验室间变异。</w:t>
      </w:r>
    </w:p>
    <w:p>
      <w:pPr>
        <w:pStyle w:val="63"/>
        <w:spacing w:before="156" w:beforeLines="50" w:after="156" w:afterLines="50"/>
        <w:outlineLvl w:val="9"/>
      </w:pPr>
      <w:r>
        <w:rPr>
          <w:rFonts w:hint="eastAsia"/>
        </w:rPr>
        <w:t>在实践中，变异的幅度通过仔细的控制过程操作、试验仪器和程序而最小化。它从来没有完全消除，实验室间的比对表明，对许多橡胶试验来说，它可能比以前认为的要大得多。</w:t>
      </w:r>
    </w:p>
    <w:p>
      <w:pPr>
        <w:pStyle w:val="23"/>
      </w:pPr>
      <w:r>
        <w:rPr>
          <w:rFonts w:hint="eastAsia"/>
        </w:rPr>
        <w:t>无论进行什么测试，都有由材料引起的真正的变异，也有不可控的试验误差引起的变异。通常很难把两者分开。例如，试验误差可产生于：</w:t>
      </w:r>
    </w:p>
    <w:p>
      <w:pPr>
        <w:pStyle w:val="23"/>
      </w:pPr>
      <w:r>
        <w:rPr>
          <w:rFonts w:hint="eastAsia"/>
        </w:rPr>
        <w:t>a) 由于裁切精度限制引起的试样几何形状的随机变化；</w:t>
      </w:r>
    </w:p>
    <w:p>
      <w:pPr>
        <w:pStyle w:val="23"/>
      </w:pPr>
      <w:r>
        <w:rPr>
          <w:rFonts w:hint="eastAsia"/>
        </w:rPr>
        <w:t>b) 试验仪器响应的变异；</w:t>
      </w:r>
    </w:p>
    <w:p>
      <w:pPr>
        <w:pStyle w:val="23"/>
      </w:pPr>
      <w:r>
        <w:rPr>
          <w:rFonts w:hint="eastAsia"/>
        </w:rPr>
        <w:t>c) 操作者状态的波动。</w:t>
      </w:r>
    </w:p>
    <w:p>
      <w:pPr>
        <w:pStyle w:val="23"/>
      </w:pPr>
      <w:r>
        <w:rPr>
          <w:rFonts w:hint="eastAsia"/>
        </w:rPr>
        <w:t>这些误差可能很大，也可能很小，而且方向不确定，所以最终它们往往会抵消掉。更严重的是单向的系统误差或偏倚，例如由于机器被错误校准或操作员一直误读刻度而引起的误差。</w:t>
      </w:r>
    </w:p>
    <w:p>
      <w:pPr>
        <w:pStyle w:val="63"/>
        <w:spacing w:before="156" w:beforeLines="50" w:after="156" w:afterLines="50"/>
        <w:outlineLvl w:val="9"/>
      </w:pPr>
      <w:r>
        <w:rPr>
          <w:rFonts w:hint="eastAsia"/>
        </w:rPr>
        <w:t>除试验误差外，如果物理样本不具有代表性，则试验结果的样本不能代表整个总体。由于所用组分的数量和质量、混合效率和硫化时间等方面的差异，可以预期重复混炼之间和重复模制之间的差异。如果产生了明显的误差，就会记录一些很反常的结果。除非确定一个小样本具有代表性，否则过分依赖于它是危险的。</w:t>
      </w:r>
    </w:p>
    <w:p>
      <w:pPr>
        <w:pStyle w:val="23"/>
      </w:pPr>
      <w:r>
        <w:rPr>
          <w:rFonts w:hint="eastAsia"/>
        </w:rPr>
        <w:t>可以考虑通过与标准配方的比较来评价一种替代组分。胶料是均匀的，试验者正确地遵循程序，并使用统计学方法得出结论，这新的组分是一个改进。很容易忘记的是，这个结论假定每种混炼胶的样本都能真正代表总体。如果重复混合产生的变异性远大于试验误差(这是经常发生的情况)，那么对一系列重复胶料的试验可能不会显示出组分之间的差异，甚至新组分更差。</w:t>
      </w:r>
    </w:p>
    <w:p>
      <w:pPr>
        <w:pStyle w:val="23"/>
      </w:pPr>
    </w:p>
    <w:p>
      <w:pPr>
        <w:pStyle w:val="42"/>
        <w:rPr>
          <w:rFonts w:hAnsi="黑体"/>
        </w:rPr>
      </w:pPr>
      <w:bookmarkStart w:id="213" w:name="_Toc117245031"/>
      <w:bookmarkStart w:id="214" w:name="_Toc124173925"/>
      <w:r>
        <w:rPr>
          <w:rFonts w:hint="eastAsia" w:hAnsi="黑体"/>
        </w:rPr>
        <w:t>准确度、正确度和精密度</w:t>
      </w:r>
      <w:bookmarkEnd w:id="213"/>
      <w:bookmarkEnd w:id="214"/>
    </w:p>
    <w:p>
      <w:pPr>
        <w:pStyle w:val="23"/>
      </w:pPr>
      <w:r>
        <w:rPr>
          <w:rFonts w:hint="eastAsia"/>
        </w:rPr>
        <w:t>准确度是试验结果与可接受的参照值之间的一致性（见</w:t>
      </w:r>
      <w:r>
        <w:t>3.14</w:t>
      </w:r>
      <w:r>
        <w:rPr>
          <w:rFonts w:hint="eastAsia"/>
        </w:rPr>
        <w:t>），而正确度是大量试验结果平均值与真值或可接受的参照值之间的一致性（见</w:t>
      </w:r>
      <w:r>
        <w:t>3.15</w:t>
      </w:r>
      <w:r>
        <w:rPr>
          <w:rFonts w:hint="eastAsia"/>
        </w:rPr>
        <w:t>）。另一方面，精密度是试验结果之间的一致性</w:t>
      </w:r>
      <w:r>
        <w:t>(</w:t>
      </w:r>
      <w:r>
        <w:rPr>
          <w:rFonts w:hint="eastAsia"/>
        </w:rPr>
        <w:t>见</w:t>
      </w:r>
      <w:r>
        <w:t>3.16)</w:t>
      </w:r>
      <w:r>
        <w:rPr>
          <w:rFonts w:hint="eastAsia"/>
        </w:rPr>
        <w:t>，与可能存在的任何参照值无关。为了将变异性保持在最低限度，试验方法应尽可能地可重现，即应具有良好的精密度。然而，如果试验有较大的偏倚，导致准确度较差，那么高精密度可能没有什么价值。这两者都是需要的，而且它们确实是相关的，因为较差的精度</w:t>
      </w:r>
      <w:r>
        <w:t>(</w:t>
      </w:r>
      <w:r>
        <w:rPr>
          <w:rFonts w:hint="eastAsia"/>
        </w:rPr>
        <w:t>较差的重现性</w:t>
      </w:r>
      <w:r>
        <w:t>)</w:t>
      </w:r>
      <w:r>
        <w:rPr>
          <w:rFonts w:hint="eastAsia"/>
        </w:rPr>
        <w:t>将会降低准确度。</w:t>
      </w:r>
    </w:p>
    <w:p>
      <w:pPr>
        <w:pStyle w:val="23"/>
        <w:spacing w:before="156" w:beforeLines="50"/>
      </w:pPr>
      <w:r>
        <w:rPr>
          <w:rFonts w:hint="eastAsia"/>
        </w:rPr>
        <w:t>重现性</w:t>
      </w:r>
      <w:r>
        <w:t>(</w:t>
      </w:r>
      <w:r>
        <w:rPr>
          <w:rFonts w:hint="eastAsia"/>
        </w:rPr>
        <w:t>见</w:t>
      </w:r>
      <w:r>
        <w:t>3.18)</w:t>
      </w:r>
      <w:r>
        <w:rPr>
          <w:rFonts w:hint="eastAsia"/>
        </w:rPr>
        <w:t>这个术语通常用于描述不同实验室之间发现的差异，也可能是在不同的时间发现的差异。重复性</w:t>
      </w:r>
      <w:r>
        <w:t>(</w:t>
      </w:r>
      <w:r>
        <w:rPr>
          <w:rFonts w:hint="eastAsia"/>
        </w:rPr>
        <w:t>见</w:t>
      </w:r>
      <w:r>
        <w:t>3.17)</w:t>
      </w:r>
      <w:r>
        <w:rPr>
          <w:rFonts w:hint="eastAsia"/>
        </w:rPr>
        <w:t>主要用于描述同一实验室中基本上同一时间的重复之间的差异。因此，实验室可能表现出很好的重复性，但由于偏倚，实验室之间的重现性较差。</w:t>
      </w:r>
    </w:p>
    <w:p>
      <w:pPr>
        <w:pStyle w:val="42"/>
      </w:pPr>
      <w:bookmarkStart w:id="215" w:name="_Toc124173926"/>
      <w:bookmarkStart w:id="216" w:name="_Toc117245032"/>
      <w:r>
        <w:rPr>
          <w:rFonts w:hint="eastAsia"/>
        </w:rPr>
        <w:t>相关性和显著性</w:t>
      </w:r>
      <w:bookmarkEnd w:id="215"/>
      <w:bookmarkEnd w:id="216"/>
    </w:p>
    <w:p>
      <w:pPr>
        <w:pStyle w:val="63"/>
        <w:outlineLvl w:val="9"/>
      </w:pPr>
      <w:r>
        <w:rPr>
          <w:rFonts w:hint="eastAsia"/>
        </w:rPr>
        <w:t>如果只关心准确度或重复性，那么试验宜限定于最准确或最精密的方法。然而，试验应该是相关的，因为试验结果在材料或产品性能方面具有有用的意义。并非所有的试验都是相等的:在产品性能、材料一致性或作为设计数据的值方面，有些试验比另外一些试验更具相关性。“显著性”一词有时用来表示相关性，并适用于实际试验或所测量的性质，但在本文件中，显著性用于统计意义上，例如，一种材料的强度显著高于另一种材料。</w:t>
      </w:r>
    </w:p>
    <w:p>
      <w:pPr>
        <w:spacing w:before="156" w:beforeLines="50" w:after="156" w:afterLines="50"/>
        <w:ind w:firstLine="420" w:firstLineChars="200"/>
        <w:rPr>
          <w:rFonts w:ascii="宋体" w:hAnsi="宋体"/>
          <w:szCs w:val="22"/>
        </w:rPr>
      </w:pPr>
      <w:r>
        <w:rPr>
          <w:rFonts w:hint="eastAsia" w:ascii="宋体" w:hAnsi="宋体"/>
        </w:rPr>
        <w:t>在这个意义上，显著性是指观察到的结果上的差异是否可能是真实的，或者是否可以合理地归因于偶然。如果通过纯偶然得到观测差异的概率很小，例如小于1/20，那么这种差异就被称为是显著的。</w:t>
      </w:r>
    </w:p>
    <w:p>
      <w:pPr>
        <w:pStyle w:val="63"/>
        <w:outlineLvl w:val="9"/>
      </w:pPr>
      <w:r>
        <w:rPr>
          <w:rFonts w:hint="eastAsia"/>
        </w:rPr>
        <w:t>5.1中给出的一组拉伸强度结果可以与用不同材料在同一场合下得到的其他几组结果进行比较，如表2中给出的三组结果。</w:t>
      </w:r>
    </w:p>
    <w:p>
      <w:pPr>
        <w:pStyle w:val="23"/>
      </w:pPr>
    </w:p>
    <w:p>
      <w:pPr>
        <w:pStyle w:val="127"/>
        <w:ind w:left="0"/>
        <w:rPr>
          <w:rFonts w:ascii="宋体" w:hAnsi="宋体"/>
        </w:rPr>
      </w:pPr>
      <w:r>
        <w:rPr>
          <w:rFonts w:hint="eastAsia" w:ascii="宋体" w:hAnsi="宋体"/>
        </w:rPr>
        <w:t>三种材料拉伸强度的测量值</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92"/>
        <w:gridCol w:w="2392"/>
        <w:gridCol w:w="2393"/>
        <w:gridCol w:w="2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vMerge w:val="restar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测量次序</w:t>
            </w:r>
          </w:p>
        </w:tc>
        <w:tc>
          <w:tcPr>
            <w:tcW w:w="3750" w:type="pct"/>
            <w:gridSpan w:val="3"/>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拉伸强度</w:t>
            </w:r>
          </w:p>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1250" w:type="pct"/>
            <w:vMerge w:val="continue"/>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left"/>
              <w:rPr>
                <w:rFonts w:ascii="宋体" w:hAnsi="宋体"/>
                <w:sz w:val="18"/>
                <w:szCs w:val="18"/>
              </w:rPr>
            </w:pP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材料A</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材料B</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材料C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16.8</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15.6</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2</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15.4</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16.4</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3</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16.3</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14.5</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4</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17.7</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15.8</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17.6</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16.0</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14.4</w:t>
            </w:r>
          </w:p>
        </w:tc>
      </w:tr>
    </w:tbl>
    <w:p>
      <w:pPr>
        <w:pStyle w:val="23"/>
      </w:pPr>
    </w:p>
    <w:p>
      <w:pPr>
        <w:pStyle w:val="23"/>
      </w:pPr>
      <w:r>
        <w:rPr>
          <w:rFonts w:hint="eastAsia"/>
        </w:rPr>
        <w:t>材料A和材料B的平均结果高于材料C的平均结果，但最好评估它们是否显著地高于材料C。如果不使用统计工具，就很难做出这种评估。事实上，利用一个7.2.2中讨论的显著性试验就能证明A显著大于C，具有95%的置信度，但A与B没有显著差异，同样有95%的置信度。这是一个有用的结论，但应该认识到它的局限性。统计试验证明（1/20的犯错机会）结果A显著地大于C。它们不证明材料A比材料C强度更高。众所周知，从一种胶料制备的一张试片上得到的结果可能不能代表一个配方，这些从一个非常小的试验计划中得到的结果要小心对待。</w:t>
      </w:r>
    </w:p>
    <w:p>
      <w:pPr>
        <w:pStyle w:val="63"/>
        <w:spacing w:before="156" w:beforeLines="50"/>
        <w:outlineLvl w:val="9"/>
      </w:pPr>
      <w:r>
        <w:rPr>
          <w:rFonts w:hint="eastAsia"/>
        </w:rPr>
        <w:t>在以上示例中，除拉伸强度能被准确测量且变异性相当小外，平均结果的差也是相对小的，这样10%的差能够证明显著不足为奇。对其他再现性低的试验，可能需要更大百分比的差来证明差异是显著的。譬如，在电阻率试验中，一种材料的平均值是另一种材料的几倍，但不能证明这种差别是显著的。能够做出这样的推断，显著性不仅取决于均值之差，还取决于一种试验本身固有的变异量。</w:t>
      </w:r>
    </w:p>
    <w:p>
      <w:pPr>
        <w:pStyle w:val="45"/>
      </w:pPr>
      <w:bookmarkStart w:id="217" w:name="_Toc124173927"/>
      <w:r>
        <w:rPr>
          <w:rFonts w:hint="eastAsia"/>
        </w:rPr>
        <w:t>结果的分布和集中趋势的度量</w:t>
      </w:r>
      <w:bookmarkEnd w:id="217"/>
    </w:p>
    <w:p>
      <w:pPr>
        <w:pStyle w:val="42"/>
      </w:pPr>
      <w:bookmarkStart w:id="218" w:name="_Toc124173928"/>
      <w:r>
        <w:rPr>
          <w:rFonts w:hint="eastAsia"/>
        </w:rPr>
        <w:t>原理</w:t>
      </w:r>
      <w:bookmarkEnd w:id="218"/>
    </w:p>
    <w:p>
      <w:pPr>
        <w:pStyle w:val="23"/>
      </w:pPr>
      <w:r>
        <w:rPr>
          <w:rFonts w:hint="eastAsia"/>
        </w:rPr>
        <w:t>如对于某一特定性能的一组测试值绕平均值排列。通常结果的分布可以用特定的数学定律表示，譬如图1所示的曲线。</w:t>
      </w:r>
    </w:p>
    <w:p>
      <w:pPr>
        <w:pStyle w:val="23"/>
      </w:pPr>
      <w:r>
        <w:rPr>
          <w:rFonts w:hint="eastAsia"/>
        </w:rPr>
        <w:t>从曲线的形状可以得到关于趋向中心值的趋势、结果离散的程度以及偏离中心超过一定程度的比例的有用度量。</w:t>
      </w:r>
    </w:p>
    <w:p>
      <w:pPr>
        <w:pStyle w:val="42"/>
      </w:pPr>
      <w:bookmarkStart w:id="219" w:name="_Toc124173929"/>
      <w:r>
        <w:rPr>
          <w:rFonts w:hint="eastAsia"/>
        </w:rPr>
        <w:t>方法</w:t>
      </w:r>
      <w:bookmarkEnd w:id="219"/>
    </w:p>
    <w:p>
      <w:pPr>
        <w:pStyle w:val="46"/>
        <w:spacing w:before="156" w:after="156"/>
      </w:pPr>
      <w:r>
        <w:rPr>
          <w:rFonts w:hint="eastAsia"/>
        </w:rPr>
        <w:t>分布的型别</w:t>
      </w:r>
    </w:p>
    <w:p>
      <w:pPr>
        <w:pStyle w:val="51"/>
        <w:spacing w:before="156" w:after="156"/>
      </w:pPr>
      <w:r>
        <w:rPr>
          <w:rFonts w:hint="eastAsia"/>
        </w:rPr>
        <w:t>正态分布</w:t>
      </w:r>
    </w:p>
    <w:p>
      <w:pPr>
        <w:spacing w:before="156" w:beforeLines="50" w:after="156" w:afterLines="50"/>
        <w:ind w:firstLine="420" w:firstLineChars="200"/>
        <w:rPr>
          <w:rFonts w:ascii="宋体" w:hAnsi="宋体"/>
          <w:szCs w:val="21"/>
        </w:rPr>
      </w:pPr>
      <w:r>
        <w:rPr>
          <w:rFonts w:hint="eastAsia" w:ascii="宋体" w:hAnsi="宋体"/>
          <w:szCs w:val="21"/>
        </w:rPr>
        <w:t>应用最广泛的分布函数叫做正态（或高斯）分布函数（见3.22），它可以用两个参数完整的表征，即均值</w:t>
      </w:r>
      <w:r>
        <w:rPr>
          <w:rFonts w:ascii="宋体" w:hAnsi="宋体"/>
          <w:i/>
          <w:szCs w:val="21"/>
        </w:rPr>
        <w:sym w:font="Symbol" w:char="006D"/>
      </w:r>
      <w:r>
        <w:rPr>
          <w:rFonts w:hint="eastAsia" w:ascii="宋体" w:hAnsi="宋体"/>
          <w:szCs w:val="21"/>
        </w:rPr>
        <w:t>（见3.4）和标准差</w:t>
      </w:r>
      <w:r>
        <w:rPr>
          <w:rFonts w:ascii="宋体" w:hAnsi="宋体"/>
          <w:i/>
          <w:szCs w:val="21"/>
        </w:rPr>
        <w:sym w:font="Symbol" w:char="0073"/>
      </w:r>
      <w:r>
        <w:rPr>
          <w:rFonts w:hint="eastAsia" w:ascii="宋体" w:hAnsi="宋体"/>
          <w:szCs w:val="21"/>
        </w:rPr>
        <w:t>（见3.9）。这些参数分别在6.2.2和6.2.3中进一步讨论。密度分布是对称的钟形分布函数，其数学描述见附录A。</w:t>
      </w:r>
    </w:p>
    <w:p>
      <w:pPr>
        <w:spacing w:before="156" w:beforeLines="50" w:after="156" w:afterLines="50"/>
        <w:ind w:firstLine="420" w:firstLineChars="200"/>
        <w:rPr>
          <w:kern w:val="0"/>
          <w:szCs w:val="21"/>
        </w:rPr>
      </w:pPr>
      <w:r>
        <w:rPr>
          <w:rFonts w:hint="eastAsia"/>
          <w:kern w:val="0"/>
          <w:szCs w:val="21"/>
        </w:rPr>
        <w:t>在给定</w:t>
      </w:r>
      <w:r>
        <w:rPr>
          <w:i/>
          <w:kern w:val="0"/>
          <w:szCs w:val="21"/>
        </w:rPr>
        <w:t>z</w:t>
      </w:r>
      <w:r>
        <w:rPr>
          <w:rFonts w:hint="eastAsia"/>
          <w:kern w:val="0"/>
          <w:szCs w:val="21"/>
        </w:rPr>
        <w:t>处的纵坐标的值，即函数密度</w:t>
      </w:r>
      <w:r>
        <w:rPr>
          <w:i/>
          <w:iCs/>
          <w:kern w:val="0"/>
          <w:szCs w:val="21"/>
        </w:rPr>
        <w:t>f</w:t>
      </w:r>
      <w:r>
        <w:rPr>
          <w:kern w:val="0"/>
          <w:szCs w:val="21"/>
        </w:rPr>
        <w:t>(</w:t>
      </w:r>
      <w:r>
        <w:rPr>
          <w:i/>
          <w:iCs/>
          <w:kern w:val="0"/>
          <w:szCs w:val="21"/>
        </w:rPr>
        <w:t>z</w:t>
      </w:r>
      <w:r>
        <w:rPr>
          <w:kern w:val="0"/>
          <w:szCs w:val="21"/>
        </w:rPr>
        <w:t>)</w:t>
      </w:r>
      <w:r>
        <w:rPr>
          <w:rFonts w:hint="eastAsia"/>
          <w:kern w:val="0"/>
          <w:szCs w:val="21"/>
        </w:rPr>
        <w:t>，被制成了表格，在任何统计学书中都能找到。为了让表格适用于一般应用，横坐标</w:t>
      </w:r>
      <w:r>
        <w:rPr>
          <w:i/>
          <w:kern w:val="0"/>
          <w:szCs w:val="21"/>
        </w:rPr>
        <w:t>z</w:t>
      </w:r>
      <w:r>
        <w:rPr>
          <w:rFonts w:hint="eastAsia"/>
          <w:kern w:val="0"/>
          <w:szCs w:val="21"/>
        </w:rPr>
        <w:t>以</w:t>
      </w:r>
      <w:r>
        <w:rPr>
          <w:rFonts w:hint="eastAsia"/>
          <w:color w:val="FF0000"/>
          <w:kern w:val="0"/>
          <w:szCs w:val="21"/>
        </w:rPr>
        <w:t>简化</w:t>
      </w:r>
      <w:r>
        <w:rPr>
          <w:rFonts w:hint="eastAsia"/>
          <w:kern w:val="0"/>
          <w:szCs w:val="21"/>
        </w:rPr>
        <w:t>形式表示，因此，</w:t>
      </w:r>
      <w:r>
        <w:rPr>
          <w:i/>
          <w:kern w:val="0"/>
          <w:szCs w:val="21"/>
        </w:rPr>
        <w:t>z</w:t>
      </w:r>
      <w:r>
        <w:rPr>
          <w:rFonts w:hint="eastAsia"/>
          <w:kern w:val="0"/>
          <w:szCs w:val="21"/>
        </w:rPr>
        <w:t>是</w:t>
      </w:r>
      <w:r>
        <w:rPr>
          <w:i/>
          <w:kern w:val="0"/>
          <w:szCs w:val="21"/>
        </w:rPr>
        <w:t>x</w:t>
      </w:r>
      <w:r>
        <w:rPr>
          <w:rFonts w:hint="eastAsia"/>
          <w:kern w:val="0"/>
          <w:szCs w:val="21"/>
        </w:rPr>
        <w:t>（实验的测量值）偏离均值的标准差的个数。由于曲线是对称的，通常会发现只有</w:t>
      </w:r>
      <w:r>
        <w:rPr>
          <w:kern w:val="0"/>
          <w:szCs w:val="21"/>
        </w:rPr>
        <w:t>z</w:t>
      </w:r>
      <w:r>
        <w:rPr>
          <w:rFonts w:hint="eastAsia"/>
          <w:kern w:val="0"/>
          <w:szCs w:val="21"/>
        </w:rPr>
        <w:t>的正值被列于表中，因为</w:t>
      </w:r>
      <w:r>
        <w:rPr>
          <w:i/>
          <w:iCs/>
          <w:kern w:val="0"/>
          <w:szCs w:val="21"/>
        </w:rPr>
        <w:t>f</w:t>
      </w:r>
      <w:r>
        <w:rPr>
          <w:kern w:val="0"/>
          <w:szCs w:val="21"/>
        </w:rPr>
        <w:t>(</w:t>
      </w:r>
      <w:r>
        <w:rPr>
          <w:i/>
          <w:iCs/>
          <w:kern w:val="0"/>
          <w:szCs w:val="21"/>
        </w:rPr>
        <w:t>z</w:t>
      </w:r>
      <w:r>
        <w:rPr>
          <w:kern w:val="0"/>
          <w:szCs w:val="21"/>
        </w:rPr>
        <w:t xml:space="preserve">) = </w:t>
      </w:r>
      <w:r>
        <w:rPr>
          <w:i/>
          <w:iCs/>
          <w:kern w:val="0"/>
          <w:szCs w:val="21"/>
        </w:rPr>
        <w:t>f</w:t>
      </w:r>
      <w:r>
        <w:rPr>
          <w:kern w:val="0"/>
          <w:szCs w:val="21"/>
        </w:rPr>
        <w:t>(-</w:t>
      </w:r>
      <w:r>
        <w:rPr>
          <w:i/>
          <w:iCs/>
          <w:kern w:val="0"/>
          <w:szCs w:val="21"/>
        </w:rPr>
        <w:t>z</w:t>
      </w:r>
      <w:r>
        <w:rPr>
          <w:kern w:val="0"/>
          <w:szCs w:val="21"/>
        </w:rPr>
        <w:t>)</w:t>
      </w:r>
      <w:r>
        <w:rPr>
          <w:rFonts w:hint="eastAsia"/>
          <w:kern w:val="0"/>
          <w:szCs w:val="21"/>
        </w:rPr>
        <w:t>。</w:t>
      </w:r>
    </w:p>
    <w:p>
      <w:pPr>
        <w:spacing w:before="156" w:beforeLines="50" w:after="156" w:afterLines="50"/>
        <w:ind w:firstLine="420" w:firstLineChars="200"/>
        <w:rPr>
          <w:szCs w:val="21"/>
        </w:rPr>
      </w:pPr>
      <w:r>
        <w:rPr>
          <w:rFonts w:hint="eastAsia"/>
          <w:szCs w:val="21"/>
        </w:rPr>
        <w:t>整个分布的位于两个值</w:t>
      </w:r>
      <w:r>
        <w:rPr>
          <w:i/>
          <w:szCs w:val="21"/>
        </w:rPr>
        <w:t>x</w:t>
      </w:r>
      <w:r>
        <w:rPr>
          <w:szCs w:val="21"/>
          <w:vertAlign w:val="subscript"/>
        </w:rPr>
        <w:t>1</w:t>
      </w:r>
      <w:r>
        <w:rPr>
          <w:rFonts w:hint="eastAsia"/>
          <w:szCs w:val="21"/>
        </w:rPr>
        <w:t>和</w:t>
      </w:r>
      <w:r>
        <w:rPr>
          <w:i/>
          <w:szCs w:val="21"/>
        </w:rPr>
        <w:t>x</w:t>
      </w:r>
      <w:r>
        <w:rPr>
          <w:szCs w:val="21"/>
          <w:vertAlign w:val="subscript"/>
        </w:rPr>
        <w:t>2</w:t>
      </w:r>
      <w:r>
        <w:rPr>
          <w:rFonts w:hint="eastAsia"/>
          <w:szCs w:val="21"/>
        </w:rPr>
        <w:t>之间的比例（即分布函数概率）能够从密度分布的积分确定（见附录</w:t>
      </w:r>
      <w:r>
        <w:rPr>
          <w:szCs w:val="21"/>
        </w:rPr>
        <w:t>A</w:t>
      </w:r>
      <w:r>
        <w:rPr>
          <w:rFonts w:hint="eastAsia"/>
          <w:szCs w:val="21"/>
        </w:rPr>
        <w:t>）。但由于该积分不能用解析表达，使用列表值则更方便。这些值也可方便地以简化变量</w:t>
      </w:r>
      <w:r>
        <w:rPr>
          <w:szCs w:val="21"/>
        </w:rPr>
        <w:t>Z</w:t>
      </w:r>
      <w:r>
        <w:rPr>
          <w:rFonts w:hint="eastAsia"/>
          <w:szCs w:val="21"/>
        </w:rPr>
        <w:t>的形式在任何关于统计学的标准文本中查到。</w:t>
      </w:r>
    </w:p>
    <w:p>
      <w:pPr>
        <w:spacing w:before="156" w:beforeLines="50" w:after="156" w:afterLines="50"/>
        <w:ind w:firstLine="420" w:firstLineChars="200"/>
        <w:rPr>
          <w:rFonts w:ascii="宋体" w:hAnsi="宋体"/>
          <w:szCs w:val="21"/>
        </w:rPr>
      </w:pPr>
      <w:r>
        <w:rPr>
          <w:rFonts w:hint="eastAsia"/>
          <w:szCs w:val="21"/>
        </w:rPr>
        <w:t>在这些表中，</w:t>
      </w:r>
      <w:r>
        <w:rPr>
          <w:i/>
          <w:szCs w:val="21"/>
        </w:rPr>
        <w:t>x</w:t>
      </w:r>
      <w:r>
        <w:rPr>
          <w:szCs w:val="21"/>
          <w:vertAlign w:val="subscript"/>
        </w:rPr>
        <w:t>1</w:t>
      </w:r>
      <w:r>
        <w:rPr>
          <w:rFonts w:hint="eastAsia"/>
          <w:szCs w:val="21"/>
        </w:rPr>
        <w:t>值通常被设定为</w:t>
      </w:r>
      <w:r>
        <w:rPr>
          <w:rFonts w:ascii="宋体" w:hAnsi="宋体"/>
          <w:i/>
          <w:szCs w:val="21"/>
        </w:rPr>
        <w:sym w:font="Symbol" w:char="006D"/>
      </w:r>
      <w:r>
        <w:rPr>
          <w:rFonts w:ascii="宋体" w:hAnsi="宋体"/>
          <w:szCs w:val="21"/>
        </w:rPr>
        <w:t>，</w:t>
      </w:r>
      <w:r>
        <w:rPr>
          <w:rFonts w:hint="eastAsia" w:ascii="宋体" w:hAnsi="宋体"/>
          <w:szCs w:val="21"/>
        </w:rPr>
        <w:t>且仅给出正的</w:t>
      </w:r>
      <w:r>
        <w:rPr>
          <w:rFonts w:hint="eastAsia" w:ascii="宋体" w:hAnsi="宋体"/>
          <w:color w:val="FF0000"/>
          <w:szCs w:val="21"/>
          <w:highlight w:val="yellow"/>
        </w:rPr>
        <w:t>简化</w:t>
      </w:r>
      <w:r>
        <w:rPr>
          <w:rFonts w:hint="eastAsia" w:ascii="宋体" w:hAnsi="宋体"/>
          <w:szCs w:val="21"/>
          <w:highlight w:val="yellow"/>
        </w:rPr>
        <w:t>变量Z。</w:t>
      </w:r>
    </w:p>
    <w:p>
      <w:pPr>
        <w:spacing w:before="156" w:beforeLines="50" w:after="156" w:afterLines="50"/>
        <w:ind w:left="420" w:leftChars="200"/>
        <w:rPr>
          <w:rFonts w:ascii="宋体" w:hAnsi="宋体"/>
          <w:szCs w:val="21"/>
        </w:rPr>
      </w:pPr>
      <w:r>
        <w:rPr>
          <w:rFonts w:hint="eastAsia" w:ascii="宋体" w:hAnsi="宋体"/>
          <w:szCs w:val="21"/>
        </w:rPr>
        <w:t>对于这些表：</w:t>
      </w:r>
    </w:p>
    <w:p>
      <w:pPr>
        <w:spacing w:before="156" w:beforeLines="50" w:after="156" w:afterLines="50"/>
        <w:ind w:left="420" w:leftChars="200" w:firstLine="420" w:firstLineChars="200"/>
        <w:rPr>
          <w:rFonts w:ascii="宋体" w:hAnsi="宋体"/>
          <w:szCs w:val="21"/>
        </w:rPr>
      </w:pPr>
      <w:r>
        <w:rPr>
          <w:rFonts w:hint="eastAsia" w:ascii="宋体" w:hAnsi="宋体"/>
          <w:szCs w:val="21"/>
        </w:rPr>
        <w:t xml:space="preserve">当 </w:t>
      </w:r>
      <w:r>
        <w:rPr>
          <w:rFonts w:hint="eastAsia" w:ascii="宋体" w:hAnsi="宋体"/>
          <w:i/>
          <w:szCs w:val="21"/>
        </w:rPr>
        <w:t>z</w:t>
      </w:r>
      <w:r>
        <w:rPr>
          <w:rFonts w:hint="eastAsia" w:ascii="宋体" w:hAnsi="宋体"/>
          <w:szCs w:val="21"/>
        </w:rPr>
        <w:t xml:space="preserve">=0, </w:t>
      </w:r>
      <w:r>
        <w:rPr>
          <w:rFonts w:hint="eastAsia" w:ascii="宋体" w:hAnsi="宋体"/>
          <w:i/>
          <w:szCs w:val="21"/>
        </w:rPr>
        <w:t>p</w:t>
      </w:r>
      <w:r>
        <w:rPr>
          <w:rFonts w:hint="eastAsia" w:ascii="宋体" w:hAnsi="宋体"/>
          <w:szCs w:val="21"/>
        </w:rPr>
        <w:t>(</w:t>
      </w:r>
      <w:r>
        <w:rPr>
          <w:rFonts w:hint="eastAsia" w:ascii="宋体" w:hAnsi="宋体"/>
          <w:i/>
          <w:szCs w:val="21"/>
        </w:rPr>
        <w:t>Z</w:t>
      </w:r>
      <w:r>
        <w:rPr>
          <w:rFonts w:hint="eastAsia" w:ascii="宋体" w:hAnsi="宋体"/>
          <w:szCs w:val="21"/>
        </w:rPr>
        <w:t>)=0.0；</w:t>
      </w:r>
    </w:p>
    <w:p>
      <w:pPr>
        <w:spacing w:before="156" w:beforeLines="50" w:after="156" w:afterLines="50"/>
        <w:ind w:left="420" w:leftChars="200" w:firstLine="420" w:firstLineChars="200"/>
        <w:rPr>
          <w:rFonts w:ascii="宋体" w:hAnsi="宋体"/>
          <w:szCs w:val="21"/>
        </w:rPr>
      </w:pPr>
      <w:r>
        <w:rPr>
          <w:rFonts w:hint="eastAsia" w:ascii="宋体" w:hAnsi="宋体"/>
          <w:szCs w:val="21"/>
        </w:rPr>
        <w:t xml:space="preserve">当 </w:t>
      </w:r>
      <w:r>
        <w:rPr>
          <w:rFonts w:hint="eastAsia" w:ascii="宋体" w:hAnsi="宋体"/>
          <w:i/>
          <w:szCs w:val="21"/>
        </w:rPr>
        <w:t>z</w:t>
      </w:r>
      <w:r>
        <w:rPr>
          <w:rFonts w:hint="eastAsia" w:ascii="宋体" w:hAnsi="宋体"/>
          <w:szCs w:val="21"/>
        </w:rPr>
        <w:t xml:space="preserve"> → ∞, </w:t>
      </w:r>
      <w:r>
        <w:rPr>
          <w:rFonts w:hint="eastAsia" w:ascii="宋体" w:hAnsi="宋体"/>
          <w:i/>
          <w:szCs w:val="21"/>
        </w:rPr>
        <w:t>p</w:t>
      </w:r>
      <w:r>
        <w:rPr>
          <w:rFonts w:hint="eastAsia" w:ascii="宋体" w:hAnsi="宋体"/>
          <w:szCs w:val="21"/>
        </w:rPr>
        <w:t>(</w:t>
      </w:r>
      <w:r>
        <w:rPr>
          <w:rFonts w:hint="eastAsia" w:ascii="宋体" w:hAnsi="宋体"/>
          <w:i/>
          <w:szCs w:val="21"/>
        </w:rPr>
        <w:t>Z</w:t>
      </w:r>
      <w:r>
        <w:rPr>
          <w:rFonts w:hint="eastAsia" w:ascii="宋体" w:hAnsi="宋体"/>
          <w:szCs w:val="21"/>
        </w:rPr>
        <w:t>) → 0.5。</w:t>
      </w:r>
    </w:p>
    <w:p>
      <w:pPr>
        <w:spacing w:before="156" w:beforeLines="50" w:after="156" w:afterLines="50"/>
        <w:ind w:firstLine="420" w:firstLineChars="200"/>
        <w:rPr>
          <w:szCs w:val="21"/>
        </w:rPr>
      </w:pPr>
      <w:r>
        <w:rPr>
          <w:rFonts w:hint="eastAsia"/>
          <w:szCs w:val="21"/>
        </w:rPr>
        <w:t>如果</w:t>
      </w:r>
      <w:r>
        <w:rPr>
          <w:szCs w:val="21"/>
        </w:rPr>
        <w:t>z</w:t>
      </w:r>
      <w:r>
        <w:rPr>
          <w:rFonts w:hint="eastAsia"/>
          <w:szCs w:val="21"/>
        </w:rPr>
        <w:t>是负值，</w:t>
      </w:r>
      <w:r>
        <w:rPr>
          <w:i/>
          <w:szCs w:val="21"/>
        </w:rPr>
        <w:t>p</w:t>
      </w:r>
      <w:r>
        <w:rPr>
          <w:szCs w:val="21"/>
        </w:rPr>
        <w:t>(</w:t>
      </w:r>
      <w:r>
        <w:rPr>
          <w:i/>
          <w:szCs w:val="21"/>
        </w:rPr>
        <w:t>Z</w:t>
      </w:r>
      <w:r>
        <w:rPr>
          <w:szCs w:val="21"/>
        </w:rPr>
        <w:t xml:space="preserve">)= - </w:t>
      </w:r>
      <w:r>
        <w:rPr>
          <w:i/>
          <w:szCs w:val="21"/>
        </w:rPr>
        <w:t>p</w:t>
      </w:r>
      <w:r>
        <w:rPr>
          <w:szCs w:val="21"/>
        </w:rPr>
        <w:t>(+</w:t>
      </w:r>
      <w:r>
        <w:rPr>
          <w:i/>
          <w:szCs w:val="21"/>
        </w:rPr>
        <w:t>Z</w:t>
      </w:r>
      <w:r>
        <w:rPr>
          <w:szCs w:val="21"/>
        </w:rPr>
        <w:t>)</w:t>
      </w:r>
      <w:r>
        <w:rPr>
          <w:rFonts w:hint="eastAsia"/>
          <w:szCs w:val="21"/>
        </w:rPr>
        <w:t>。</w:t>
      </w:r>
    </w:p>
    <w:p>
      <w:pPr>
        <w:spacing w:before="156" w:beforeLines="50" w:after="156" w:afterLines="50"/>
        <w:ind w:firstLine="420" w:firstLineChars="200"/>
        <w:rPr>
          <w:kern w:val="0"/>
          <w:szCs w:val="21"/>
        </w:rPr>
      </w:pPr>
      <w:r>
        <w:rPr>
          <w:rFonts w:hint="eastAsia"/>
          <w:szCs w:val="21"/>
        </w:rPr>
        <w:t>为确定位于</w:t>
      </w:r>
      <w:r>
        <w:rPr>
          <w:i/>
          <w:iCs/>
          <w:kern w:val="0"/>
          <w:szCs w:val="21"/>
        </w:rPr>
        <w:t>x</w:t>
      </w:r>
      <w:r>
        <w:rPr>
          <w:kern w:val="0"/>
          <w:szCs w:val="21"/>
          <w:vertAlign w:val="subscript"/>
        </w:rPr>
        <w:t>1</w:t>
      </w:r>
      <w:r>
        <w:rPr>
          <w:kern w:val="0"/>
          <w:szCs w:val="21"/>
        </w:rPr>
        <w:t xml:space="preserve"> </w:t>
      </w:r>
      <w:r>
        <w:rPr>
          <w:rFonts w:hint="eastAsia"/>
          <w:kern w:val="0"/>
          <w:szCs w:val="21"/>
        </w:rPr>
        <w:t>和</w:t>
      </w:r>
      <w:r>
        <w:rPr>
          <w:kern w:val="0"/>
          <w:szCs w:val="21"/>
        </w:rPr>
        <w:t xml:space="preserve"> </w:t>
      </w:r>
      <w:r>
        <w:rPr>
          <w:i/>
          <w:iCs/>
          <w:kern w:val="0"/>
          <w:szCs w:val="21"/>
        </w:rPr>
        <w:t>x</w:t>
      </w:r>
      <w:r>
        <w:rPr>
          <w:kern w:val="0"/>
          <w:szCs w:val="21"/>
          <w:vertAlign w:val="subscript"/>
        </w:rPr>
        <w:t>2</w:t>
      </w:r>
      <w:r>
        <w:rPr>
          <w:kern w:val="0"/>
          <w:szCs w:val="21"/>
        </w:rPr>
        <w:t>, (</w:t>
      </w:r>
      <w:r>
        <w:rPr>
          <w:i/>
          <w:iCs/>
          <w:kern w:val="0"/>
          <w:szCs w:val="21"/>
        </w:rPr>
        <w:t>x</w:t>
      </w:r>
      <w:r>
        <w:rPr>
          <w:kern w:val="0"/>
          <w:szCs w:val="21"/>
          <w:vertAlign w:val="subscript"/>
        </w:rPr>
        <w:t>2</w:t>
      </w:r>
      <w:r>
        <w:rPr>
          <w:kern w:val="0"/>
          <w:szCs w:val="21"/>
        </w:rPr>
        <w:t xml:space="preserve"> &gt; </w:t>
      </w:r>
      <w:r>
        <w:rPr>
          <w:i/>
          <w:iCs/>
          <w:kern w:val="0"/>
          <w:szCs w:val="21"/>
        </w:rPr>
        <w:t>x</w:t>
      </w:r>
      <w:r>
        <w:rPr>
          <w:kern w:val="0"/>
          <w:szCs w:val="21"/>
          <w:vertAlign w:val="subscript"/>
        </w:rPr>
        <w:t>1</w:t>
      </w:r>
      <w:r>
        <w:rPr>
          <w:kern w:val="0"/>
          <w:szCs w:val="21"/>
        </w:rPr>
        <w:t xml:space="preserve">) </w:t>
      </w:r>
      <w:r>
        <w:rPr>
          <w:rFonts w:hint="eastAsia"/>
          <w:kern w:val="0"/>
          <w:szCs w:val="21"/>
        </w:rPr>
        <w:t>之间的曲线比例（即观察的概率），遵循下列步骤：</w:t>
      </w:r>
    </w:p>
    <w:p>
      <w:pPr>
        <w:spacing w:before="156" w:beforeLines="50" w:after="156" w:afterLines="50"/>
        <w:ind w:firstLine="420" w:firstLineChars="200"/>
        <w:rPr>
          <w:kern w:val="0"/>
          <w:szCs w:val="21"/>
        </w:rPr>
      </w:pPr>
      <w:r>
        <w:rPr>
          <w:kern w:val="0"/>
          <w:szCs w:val="21"/>
        </w:rPr>
        <w:t xml:space="preserve">a) </w:t>
      </w:r>
      <w:r>
        <w:rPr>
          <w:rFonts w:hint="eastAsia"/>
          <w:kern w:val="0"/>
          <w:szCs w:val="21"/>
        </w:rPr>
        <w:t>确定</w:t>
      </w:r>
      <w:r>
        <w:rPr>
          <w:i/>
          <w:kern w:val="0"/>
          <w:szCs w:val="21"/>
        </w:rPr>
        <w:t>Z</w:t>
      </w:r>
      <w:r>
        <w:rPr>
          <w:kern w:val="0"/>
          <w:szCs w:val="21"/>
          <w:vertAlign w:val="subscript"/>
        </w:rPr>
        <w:t>1</w:t>
      </w:r>
      <w:r>
        <w:rPr>
          <w:rFonts w:hint="eastAsia"/>
          <w:kern w:val="0"/>
          <w:szCs w:val="21"/>
        </w:rPr>
        <w:t>和</w:t>
      </w:r>
      <w:r>
        <w:rPr>
          <w:i/>
          <w:kern w:val="0"/>
          <w:szCs w:val="21"/>
        </w:rPr>
        <w:t>Z</w:t>
      </w:r>
      <w:r>
        <w:rPr>
          <w:kern w:val="0"/>
          <w:szCs w:val="21"/>
          <w:vertAlign w:val="subscript"/>
        </w:rPr>
        <w:t>2</w:t>
      </w:r>
      <w:r>
        <w:rPr>
          <w:rFonts w:hint="eastAsia"/>
          <w:kern w:val="0"/>
          <w:szCs w:val="21"/>
        </w:rPr>
        <w:t>，其中：</w:t>
      </w:r>
    </w:p>
    <w:p>
      <w:pPr>
        <w:spacing w:before="156" w:beforeLines="50" w:after="156" w:afterLines="50"/>
        <w:ind w:left="420" w:leftChars="200" w:firstLine="420" w:firstLineChars="200"/>
        <w:rPr>
          <w:kern w:val="0"/>
          <w:szCs w:val="21"/>
        </w:rPr>
      </w:pPr>
      <w:r>
        <w:rPr>
          <w:i/>
          <w:kern w:val="0"/>
          <w:szCs w:val="21"/>
        </w:rPr>
        <w:t>Z</w:t>
      </w:r>
      <w:r>
        <w:rPr>
          <w:kern w:val="0"/>
          <w:szCs w:val="21"/>
          <w:vertAlign w:val="subscript"/>
        </w:rPr>
        <w:t>1</w:t>
      </w:r>
      <w:r>
        <w:rPr>
          <w:kern w:val="0"/>
          <w:szCs w:val="21"/>
        </w:rPr>
        <w:t xml:space="preserve"> = (</w:t>
      </w:r>
      <w:r>
        <w:rPr>
          <w:i/>
          <w:iCs/>
          <w:kern w:val="0"/>
          <w:szCs w:val="21"/>
        </w:rPr>
        <w:t>x</w:t>
      </w:r>
      <w:r>
        <w:rPr>
          <w:kern w:val="0"/>
          <w:szCs w:val="21"/>
          <w:vertAlign w:val="subscript"/>
        </w:rPr>
        <w:t>1</w:t>
      </w:r>
      <w:r>
        <w:rPr>
          <w:kern w:val="0"/>
          <w:szCs w:val="21"/>
        </w:rPr>
        <w:t xml:space="preserve"> </w:t>
      </w:r>
      <w:r>
        <w:rPr>
          <w:rFonts w:eastAsia="MS Mincho"/>
          <w:kern w:val="0"/>
          <w:szCs w:val="21"/>
        </w:rPr>
        <w:t>−</w:t>
      </w:r>
      <w:r>
        <w:rPr>
          <w:kern w:val="0"/>
          <w:szCs w:val="21"/>
        </w:rPr>
        <w:t xml:space="preserve"> </w:t>
      </w:r>
      <w:r>
        <w:rPr>
          <w:i/>
          <w:kern w:val="0"/>
          <w:szCs w:val="21"/>
        </w:rPr>
        <w:t>μ</w:t>
      </w:r>
      <w:r>
        <w:rPr>
          <w:kern w:val="0"/>
          <w:szCs w:val="21"/>
        </w:rPr>
        <w:t>)/σ</w:t>
      </w:r>
      <w:r>
        <w:rPr>
          <w:rFonts w:hint="eastAsia"/>
          <w:kern w:val="0"/>
          <w:szCs w:val="21"/>
        </w:rPr>
        <w:t>，</w:t>
      </w:r>
    </w:p>
    <w:p>
      <w:pPr>
        <w:spacing w:before="156" w:beforeLines="50" w:after="156" w:afterLines="50"/>
        <w:ind w:left="420" w:leftChars="200" w:firstLine="420" w:firstLineChars="200"/>
        <w:rPr>
          <w:kern w:val="0"/>
          <w:szCs w:val="21"/>
        </w:rPr>
      </w:pPr>
      <w:r>
        <w:rPr>
          <w:i/>
          <w:kern w:val="0"/>
          <w:szCs w:val="21"/>
        </w:rPr>
        <w:t>Z</w:t>
      </w:r>
      <w:r>
        <w:rPr>
          <w:kern w:val="0"/>
          <w:szCs w:val="21"/>
          <w:vertAlign w:val="subscript"/>
        </w:rPr>
        <w:t>2</w:t>
      </w:r>
      <w:r>
        <w:rPr>
          <w:kern w:val="0"/>
          <w:szCs w:val="21"/>
        </w:rPr>
        <w:t xml:space="preserve"> = (</w:t>
      </w:r>
      <w:r>
        <w:rPr>
          <w:i/>
          <w:iCs/>
          <w:kern w:val="0"/>
          <w:szCs w:val="21"/>
        </w:rPr>
        <w:t>x</w:t>
      </w:r>
      <w:r>
        <w:rPr>
          <w:kern w:val="0"/>
          <w:szCs w:val="21"/>
          <w:vertAlign w:val="subscript"/>
        </w:rPr>
        <w:t>2</w:t>
      </w:r>
      <w:r>
        <w:rPr>
          <w:kern w:val="0"/>
          <w:szCs w:val="21"/>
        </w:rPr>
        <w:t xml:space="preserve"> </w:t>
      </w:r>
      <w:r>
        <w:rPr>
          <w:rFonts w:eastAsia="MS Mincho"/>
          <w:kern w:val="0"/>
          <w:szCs w:val="21"/>
        </w:rPr>
        <w:t>−</w:t>
      </w:r>
      <w:r>
        <w:rPr>
          <w:kern w:val="0"/>
          <w:szCs w:val="21"/>
        </w:rPr>
        <w:t xml:space="preserve"> μ)/σ</w:t>
      </w:r>
      <w:r>
        <w:rPr>
          <w:rFonts w:hint="eastAsia"/>
          <w:kern w:val="0"/>
          <w:szCs w:val="21"/>
        </w:rPr>
        <w:t>。</w:t>
      </w:r>
    </w:p>
    <w:p>
      <w:pPr>
        <w:spacing w:before="156" w:beforeLines="50" w:after="156" w:afterLines="50"/>
        <w:ind w:firstLine="420" w:firstLineChars="200"/>
        <w:rPr>
          <w:szCs w:val="21"/>
        </w:rPr>
      </w:pPr>
      <w:r>
        <w:rPr>
          <w:szCs w:val="21"/>
        </w:rPr>
        <w:t xml:space="preserve">b) </w:t>
      </w:r>
      <w:r>
        <w:rPr>
          <w:rFonts w:hint="eastAsia"/>
          <w:szCs w:val="21"/>
        </w:rPr>
        <w:t>从表中找到</w:t>
      </w:r>
      <w:r>
        <w:rPr>
          <w:i/>
          <w:szCs w:val="21"/>
        </w:rPr>
        <w:t>p</w:t>
      </w:r>
      <w:r>
        <w:rPr>
          <w:szCs w:val="21"/>
        </w:rPr>
        <w:t>(</w:t>
      </w:r>
      <w:r>
        <w:rPr>
          <w:i/>
          <w:kern w:val="0"/>
          <w:szCs w:val="21"/>
        </w:rPr>
        <w:t>Z</w:t>
      </w:r>
      <w:r>
        <w:rPr>
          <w:kern w:val="0"/>
          <w:szCs w:val="21"/>
          <w:vertAlign w:val="subscript"/>
        </w:rPr>
        <w:t>1</w:t>
      </w:r>
      <w:r>
        <w:rPr>
          <w:szCs w:val="21"/>
        </w:rPr>
        <w:t>)</w:t>
      </w:r>
      <w:r>
        <w:rPr>
          <w:rFonts w:hint="eastAsia"/>
          <w:szCs w:val="21"/>
        </w:rPr>
        <w:t>和</w:t>
      </w:r>
      <w:r>
        <w:rPr>
          <w:i/>
          <w:szCs w:val="21"/>
        </w:rPr>
        <w:t xml:space="preserve"> p</w:t>
      </w:r>
      <w:r>
        <w:rPr>
          <w:szCs w:val="21"/>
        </w:rPr>
        <w:t>(</w:t>
      </w:r>
      <w:r>
        <w:rPr>
          <w:i/>
          <w:kern w:val="0"/>
          <w:szCs w:val="21"/>
        </w:rPr>
        <w:t>Z</w:t>
      </w:r>
      <w:r>
        <w:rPr>
          <w:kern w:val="0"/>
          <w:szCs w:val="21"/>
          <w:vertAlign w:val="subscript"/>
        </w:rPr>
        <w:t>2</w:t>
      </w:r>
      <w:r>
        <w:rPr>
          <w:szCs w:val="21"/>
        </w:rPr>
        <w:t>)</w:t>
      </w:r>
      <w:r>
        <w:rPr>
          <w:rFonts w:hint="eastAsia"/>
          <w:szCs w:val="21"/>
        </w:rPr>
        <w:t xml:space="preserve">。 </w:t>
      </w:r>
    </w:p>
    <w:p>
      <w:pPr>
        <w:spacing w:before="156" w:beforeLines="50" w:after="156" w:afterLines="50"/>
        <w:ind w:firstLine="420" w:firstLineChars="200"/>
        <w:rPr>
          <w:szCs w:val="21"/>
        </w:rPr>
      </w:pPr>
      <w:r>
        <w:rPr>
          <w:szCs w:val="21"/>
        </w:rPr>
        <w:t xml:space="preserve">c) </w:t>
      </w:r>
      <w:r>
        <w:rPr>
          <w:rFonts w:hint="eastAsia"/>
          <w:szCs w:val="21"/>
        </w:rPr>
        <w:t>确定需要的概率</w:t>
      </w:r>
      <w:r>
        <w:rPr>
          <w:i/>
          <w:szCs w:val="21"/>
        </w:rPr>
        <w:t>p</w:t>
      </w:r>
      <w:r>
        <w:rPr>
          <w:szCs w:val="21"/>
        </w:rPr>
        <w:t>(</w:t>
      </w:r>
      <w:r>
        <w:rPr>
          <w:i/>
          <w:kern w:val="0"/>
          <w:szCs w:val="21"/>
        </w:rPr>
        <w:t>Z</w:t>
      </w:r>
      <w:r>
        <w:rPr>
          <w:kern w:val="0"/>
          <w:szCs w:val="21"/>
          <w:vertAlign w:val="subscript"/>
        </w:rPr>
        <w:t xml:space="preserve">2 </w:t>
      </w:r>
      <w:r>
        <w:rPr>
          <w:rFonts w:hint="eastAsia"/>
          <w:szCs w:val="21"/>
        </w:rPr>
        <w:t>－</w:t>
      </w:r>
      <w:r>
        <w:rPr>
          <w:i/>
          <w:kern w:val="0"/>
          <w:szCs w:val="21"/>
        </w:rPr>
        <w:t xml:space="preserve"> Z</w:t>
      </w:r>
      <w:r>
        <w:rPr>
          <w:kern w:val="0"/>
          <w:szCs w:val="21"/>
          <w:vertAlign w:val="subscript"/>
        </w:rPr>
        <w:t>1</w:t>
      </w:r>
      <w:r>
        <w:rPr>
          <w:szCs w:val="21"/>
        </w:rPr>
        <w:t>)</w:t>
      </w:r>
      <w:r>
        <w:rPr>
          <w:rFonts w:hint="eastAsia"/>
          <w:szCs w:val="21"/>
        </w:rPr>
        <w:t>，其中：</w:t>
      </w:r>
    </w:p>
    <w:p>
      <w:pPr>
        <w:spacing w:before="156" w:beforeLines="50" w:after="156" w:afterLines="50"/>
        <w:ind w:firstLine="420" w:firstLineChars="200"/>
        <w:rPr>
          <w:szCs w:val="21"/>
        </w:rPr>
      </w:pPr>
      <w:r>
        <w:rPr>
          <w:i/>
          <w:szCs w:val="21"/>
        </w:rPr>
        <w:t>p</w:t>
      </w:r>
      <w:r>
        <w:rPr>
          <w:szCs w:val="21"/>
        </w:rPr>
        <w:t>(</w:t>
      </w:r>
      <w:r>
        <w:rPr>
          <w:i/>
          <w:kern w:val="0"/>
          <w:szCs w:val="21"/>
        </w:rPr>
        <w:t>Z</w:t>
      </w:r>
      <w:r>
        <w:rPr>
          <w:kern w:val="0"/>
          <w:szCs w:val="21"/>
          <w:vertAlign w:val="subscript"/>
        </w:rPr>
        <w:t xml:space="preserve">2 </w:t>
      </w:r>
      <w:r>
        <w:rPr>
          <w:rFonts w:hint="eastAsia"/>
          <w:szCs w:val="21"/>
        </w:rPr>
        <w:t>－</w:t>
      </w:r>
      <w:r>
        <w:rPr>
          <w:i/>
          <w:kern w:val="0"/>
          <w:szCs w:val="21"/>
        </w:rPr>
        <w:t xml:space="preserve"> Z</w:t>
      </w:r>
      <w:r>
        <w:rPr>
          <w:kern w:val="0"/>
          <w:szCs w:val="21"/>
          <w:vertAlign w:val="subscript"/>
        </w:rPr>
        <w:t>1</w:t>
      </w:r>
      <w:r>
        <w:rPr>
          <w:szCs w:val="21"/>
        </w:rPr>
        <w:t xml:space="preserve">) = </w:t>
      </w:r>
      <w:r>
        <w:rPr>
          <w:i/>
          <w:szCs w:val="21"/>
        </w:rPr>
        <w:t>p</w:t>
      </w:r>
      <w:r>
        <w:rPr>
          <w:szCs w:val="21"/>
        </w:rPr>
        <w:t>(</w:t>
      </w:r>
      <w:r>
        <w:rPr>
          <w:i/>
          <w:kern w:val="0"/>
          <w:szCs w:val="21"/>
        </w:rPr>
        <w:t>Z</w:t>
      </w:r>
      <w:r>
        <w:rPr>
          <w:kern w:val="0"/>
          <w:szCs w:val="21"/>
          <w:vertAlign w:val="subscript"/>
        </w:rPr>
        <w:t>2</w:t>
      </w:r>
      <w:r>
        <w:rPr>
          <w:szCs w:val="21"/>
        </w:rPr>
        <w:t>)</w:t>
      </w:r>
      <w:r>
        <w:rPr>
          <w:i/>
          <w:szCs w:val="21"/>
        </w:rPr>
        <w:t xml:space="preserve"> </w:t>
      </w:r>
      <w:r>
        <w:rPr>
          <w:rFonts w:hint="eastAsia"/>
          <w:szCs w:val="21"/>
        </w:rPr>
        <w:t>－</w:t>
      </w:r>
      <w:r>
        <w:rPr>
          <w:szCs w:val="21"/>
        </w:rPr>
        <w:t xml:space="preserve"> </w:t>
      </w:r>
      <w:r>
        <w:rPr>
          <w:i/>
          <w:szCs w:val="21"/>
        </w:rPr>
        <w:t>p</w:t>
      </w:r>
      <w:r>
        <w:rPr>
          <w:szCs w:val="21"/>
        </w:rPr>
        <w:t>(</w:t>
      </w:r>
      <w:r>
        <w:rPr>
          <w:i/>
          <w:kern w:val="0"/>
          <w:szCs w:val="21"/>
        </w:rPr>
        <w:t>Z</w:t>
      </w:r>
      <w:r>
        <w:rPr>
          <w:kern w:val="0"/>
          <w:szCs w:val="21"/>
          <w:vertAlign w:val="subscript"/>
        </w:rPr>
        <w:t>1</w:t>
      </w:r>
      <w:r>
        <w:rPr>
          <w:szCs w:val="21"/>
        </w:rPr>
        <w:t>)</w:t>
      </w:r>
      <w:r>
        <w:rPr>
          <w:rFonts w:hint="eastAsia"/>
          <w:szCs w:val="21"/>
        </w:rPr>
        <w:t>。</w:t>
      </w:r>
    </w:p>
    <w:p>
      <w:pPr>
        <w:pStyle w:val="64"/>
      </w:pPr>
      <w:r>
        <w:rPr>
          <w:rFonts w:hint="eastAsia"/>
        </w:rPr>
        <w:t>符号宜考虑进去。</w:t>
      </w:r>
    </w:p>
    <w:p>
      <w:pPr>
        <w:pStyle w:val="51"/>
        <w:spacing w:before="156" w:after="156"/>
      </w:pPr>
      <w:r>
        <w:rPr>
          <w:rFonts w:hint="eastAsia"/>
        </w:rPr>
        <w:t>双指数分布</w:t>
      </w:r>
    </w:p>
    <w:p>
      <w:pPr>
        <w:spacing w:before="156" w:beforeLines="50" w:after="156" w:afterLines="50"/>
        <w:ind w:firstLine="420" w:firstLineChars="200"/>
        <w:rPr>
          <w:szCs w:val="21"/>
        </w:rPr>
      </w:pPr>
      <w:r>
        <w:rPr>
          <w:rFonts w:hint="eastAsia"/>
          <w:szCs w:val="21"/>
        </w:rPr>
        <w:t>对于硫化橡胶的拉伸强度（和拉断伸长率）的分布，有相当的证据表明密度分布函数不对称，且偏向低强度值方向（见参考文献</w:t>
      </w:r>
      <w:r>
        <w:rPr>
          <w:szCs w:val="21"/>
        </w:rPr>
        <w:t>[1]</w:t>
      </w:r>
      <w:r>
        <w:rPr>
          <w:rFonts w:hint="eastAsia"/>
          <w:szCs w:val="21"/>
        </w:rPr>
        <w:t>和</w:t>
      </w:r>
      <w:r>
        <w:rPr>
          <w:szCs w:val="21"/>
        </w:rPr>
        <w:t>[6]</w:t>
      </w:r>
      <w:r>
        <w:rPr>
          <w:rFonts w:hint="eastAsia"/>
          <w:szCs w:val="21"/>
        </w:rPr>
        <w:t>），尽管这已被一些研究所质疑（见参考文献</w:t>
      </w:r>
      <w:r>
        <w:rPr>
          <w:szCs w:val="21"/>
        </w:rPr>
        <w:t>[7]</w:t>
      </w:r>
      <w:r>
        <w:rPr>
          <w:rFonts w:hint="eastAsia"/>
          <w:szCs w:val="21"/>
        </w:rPr>
        <w:t>）。已经发现给出能很好表达这些偏态数据的密度分布函数是图</w:t>
      </w:r>
      <w:r>
        <w:rPr>
          <w:szCs w:val="21"/>
        </w:rPr>
        <w:t>2</w:t>
      </w:r>
      <w:r>
        <w:rPr>
          <w:rFonts w:hint="eastAsia"/>
          <w:szCs w:val="21"/>
        </w:rPr>
        <w:t>所示和附录</w:t>
      </w:r>
      <w:r>
        <w:rPr>
          <w:szCs w:val="21"/>
        </w:rPr>
        <w:t>A</w:t>
      </w:r>
      <w:r>
        <w:rPr>
          <w:rFonts w:hint="eastAsia"/>
          <w:szCs w:val="21"/>
        </w:rPr>
        <w:t>中数学描述的双指数分布（见</w:t>
      </w:r>
      <w:r>
        <w:rPr>
          <w:szCs w:val="21"/>
        </w:rPr>
        <w:t>3.23</w:t>
      </w:r>
      <w:r>
        <w:rPr>
          <w:rFonts w:hint="eastAsia"/>
          <w:szCs w:val="21"/>
        </w:rPr>
        <w:t>）。</w:t>
      </w:r>
    </w:p>
    <w:p>
      <w:pPr>
        <w:spacing w:before="156" w:beforeLines="50" w:after="156" w:afterLines="50"/>
        <w:ind w:firstLine="420" w:firstLineChars="200"/>
        <w:rPr>
          <w:szCs w:val="21"/>
        </w:rPr>
      </w:pPr>
      <w:r>
        <w:rPr>
          <w:rFonts w:hint="eastAsia"/>
          <w:szCs w:val="21"/>
        </w:rPr>
        <w:t>虽然具有理论意义，但双指数函数还没有发现被广泛应用。这是因为其复杂性，也因为用拉伸试验中通常考虑的小数量试样，以双指数函数和正态高斯函数计算出的均值和标准差上没有显著的差异这一事实。</w:t>
      </w:r>
    </w:p>
    <w:p>
      <w:pPr>
        <w:pStyle w:val="51"/>
        <w:spacing w:before="156" w:after="156"/>
        <w:rPr>
          <w:rFonts w:hAnsi="黑体"/>
          <w:szCs w:val="22"/>
        </w:rPr>
      </w:pPr>
      <w:r>
        <w:rPr>
          <w:rFonts w:hint="eastAsia"/>
        </w:rPr>
        <w:t>威布尔分布</w:t>
      </w:r>
    </w:p>
    <w:p>
      <w:pPr>
        <w:pStyle w:val="23"/>
        <w:spacing w:after="100" w:afterAutospacing="1"/>
      </w:pPr>
      <w:r>
        <w:rPr>
          <w:rFonts w:hint="eastAsia"/>
        </w:rPr>
        <w:t>经常出现在疲劳数据和类似寿命试验中的分布函数是威布尔分布函数（见</w:t>
      </w:r>
      <w:r>
        <w:t>3.24</w:t>
      </w:r>
      <w:r>
        <w:rPr>
          <w:rFonts w:hint="eastAsia"/>
        </w:rPr>
        <w:t>），其形状在图</w:t>
      </w:r>
      <w:r>
        <w:t>3</w:t>
      </w:r>
      <w:r>
        <w:rPr>
          <w:rFonts w:hint="eastAsia"/>
        </w:rPr>
        <w:t>中说明，其数学描述在附录</w:t>
      </w:r>
      <w:r>
        <w:t>A</w:t>
      </w:r>
      <w:r>
        <w:rPr>
          <w:rFonts w:hint="eastAsia"/>
        </w:rPr>
        <w:t>中给出。</w:t>
      </w:r>
    </w:p>
    <w:p>
      <w:pPr>
        <w:pStyle w:val="23"/>
        <w:spacing w:after="156" w:afterLines="50"/>
      </w:pPr>
      <w:r>
        <w:rPr>
          <w:rFonts w:hint="eastAsia"/>
        </w:rPr>
        <w:t>该分布用下列三个参数表征：</w:t>
      </w:r>
    </w:p>
    <w:p>
      <w:pPr>
        <w:pStyle w:val="23"/>
        <w:spacing w:before="156" w:beforeLines="50"/>
        <w:rPr>
          <w:rFonts w:ascii="Times New Roman"/>
          <w:color w:val="333333"/>
          <w:shd w:val="clear" w:color="auto" w:fill="F7F8FA"/>
        </w:rPr>
      </w:pPr>
      <w:r>
        <w:rPr>
          <w:rFonts w:ascii="Times New Roman"/>
        </w:rPr>
        <w:t>a) 参数</w:t>
      </w:r>
      <w:r>
        <w:rPr>
          <w:rFonts w:ascii="Times New Roman"/>
          <w:i/>
        </w:rPr>
        <w:t>a</w:t>
      </w:r>
      <w:r>
        <w:rPr>
          <w:rFonts w:ascii="Times New Roman"/>
        </w:rPr>
        <w:t>代表</w:t>
      </w:r>
      <w:r>
        <w:rPr>
          <w:rFonts w:ascii="Times New Roman"/>
          <w:i/>
        </w:rPr>
        <w:t>x</w:t>
      </w:r>
      <w:r>
        <w:rPr>
          <w:rFonts w:ascii="Times New Roman"/>
        </w:rPr>
        <w:t>的最小寿命参数，在此处的失效概率刚好为零（即，给出无限寿命）。在大多数实际应用中，</w:t>
      </w:r>
      <w:r>
        <w:rPr>
          <w:rFonts w:ascii="Times New Roman"/>
          <w:i/>
        </w:rPr>
        <w:t>a</w:t>
      </w:r>
      <w:r>
        <w:rPr>
          <w:rFonts w:ascii="Times New Roman"/>
        </w:rPr>
        <w:t>被认为是零，但当存在真正的疲劳极限时，</w:t>
      </w:r>
      <w:r>
        <w:rPr>
          <w:rFonts w:ascii="Times New Roman"/>
          <w:i/>
        </w:rPr>
        <w:t>a</w:t>
      </w:r>
      <w:r>
        <w:rPr>
          <w:rFonts w:ascii="Times New Roman"/>
        </w:rPr>
        <w:t>可以取一个有限的、非零的值。</w:t>
      </w:r>
      <w:r>
        <w:rPr>
          <w:rFonts w:ascii="Times New Roman"/>
          <w:color w:val="333333"/>
          <w:shd w:val="clear" w:color="auto" w:fill="F7F8FA"/>
        </w:rPr>
        <w:t xml:space="preserve"> </w:t>
      </w:r>
    </w:p>
    <w:p>
      <w:pPr>
        <w:pStyle w:val="23"/>
        <w:spacing w:before="156" w:beforeLines="50"/>
      </w:pPr>
      <w:r>
        <w:t xml:space="preserve">b) </w:t>
      </w:r>
      <w:r>
        <w:rPr>
          <w:rFonts w:hint="eastAsia"/>
        </w:rPr>
        <w:t>参数</w:t>
      </w:r>
      <w:r>
        <w:rPr>
          <w:i/>
        </w:rPr>
        <w:t>b</w:t>
      </w:r>
      <w:r>
        <w:rPr>
          <w:rFonts w:hint="eastAsia"/>
        </w:rPr>
        <w:t>影响结果的离散和密度函数的峰值位置两者。</w:t>
      </w:r>
    </w:p>
    <w:p>
      <w:pPr>
        <w:pStyle w:val="23"/>
        <w:spacing w:before="156" w:beforeLines="50"/>
      </w:pPr>
      <w:r>
        <w:t xml:space="preserve">c) </w:t>
      </w:r>
      <w:r>
        <w:rPr>
          <w:rFonts w:hint="eastAsia"/>
        </w:rPr>
        <w:t>参数</w:t>
      </w:r>
      <w:r>
        <w:rPr>
          <w:rFonts w:ascii="Cambria" w:hAnsi="Cambria" w:cs="Cambria"/>
          <w:i/>
        </w:rPr>
        <w:t>k</w:t>
      </w:r>
      <w:r>
        <w:rPr>
          <w:rFonts w:hint="eastAsia"/>
        </w:rPr>
        <w:t>改变密度分布的形状。</w:t>
      </w:r>
    </w:p>
    <w:p>
      <w:pPr>
        <w:pStyle w:val="23"/>
        <w:spacing w:before="156" w:beforeLines="50"/>
      </w:pPr>
      <w:r>
        <w:rPr>
          <w:rFonts w:hint="eastAsia"/>
        </w:rPr>
        <w:t>当</w:t>
      </w:r>
      <w:r>
        <w:rPr>
          <w:rFonts w:ascii="Cambria" w:hAnsi="Cambria" w:cs="Cambria"/>
          <w:i/>
        </w:rPr>
        <w:t>k</w:t>
      </w:r>
      <w:r>
        <w:t>=1</w:t>
      </w:r>
      <w:r>
        <w:rPr>
          <w:rFonts w:hint="eastAsia"/>
        </w:rPr>
        <w:t>时，函数为简单指数。</w:t>
      </w:r>
    </w:p>
    <w:p>
      <w:pPr>
        <w:pStyle w:val="23"/>
        <w:spacing w:before="156" w:beforeLines="50"/>
      </w:pPr>
      <w:r>
        <w:rPr>
          <w:rFonts w:hint="eastAsia"/>
        </w:rPr>
        <w:t>当</w:t>
      </w:r>
      <w:r>
        <w:rPr>
          <w:rFonts w:ascii="Cambria" w:hAnsi="Cambria" w:cs="Cambria"/>
          <w:i/>
        </w:rPr>
        <w:t>k</w:t>
      </w:r>
      <w:r>
        <w:t>&gt;1</w:t>
      </w:r>
      <w:r>
        <w:rPr>
          <w:rFonts w:hint="eastAsia"/>
        </w:rPr>
        <w:t>时，分布从</w:t>
      </w:r>
      <w:r>
        <w:t>0</w:t>
      </w:r>
      <w:r>
        <w:rPr>
          <w:rFonts w:hint="eastAsia"/>
        </w:rPr>
        <w:t>增加（在</w:t>
      </w:r>
      <w:r>
        <w:rPr>
          <w:i/>
          <w:iCs/>
        </w:rPr>
        <w:t>x</w:t>
      </w:r>
      <w:r>
        <w:rPr>
          <w:rFonts w:hint="eastAsia"/>
          <w:i/>
          <w:iCs/>
        </w:rPr>
        <w:t xml:space="preserve"> </w:t>
      </w:r>
      <w:r>
        <w:t>=</w:t>
      </w:r>
      <w:r>
        <w:rPr>
          <w:rFonts w:hint="eastAsia"/>
        </w:rPr>
        <w:t xml:space="preserve"> </w:t>
      </w:r>
      <w:r>
        <w:rPr>
          <w:rFonts w:ascii="Cambria" w:hAnsi="Cambria" w:cs="Cambria"/>
          <w:i/>
          <w:iCs/>
        </w:rPr>
        <w:t>a</w:t>
      </w:r>
      <w:r>
        <w:t xml:space="preserve"> </w:t>
      </w:r>
      <w:r>
        <w:rPr>
          <w:rFonts w:hint="eastAsia"/>
        </w:rPr>
        <w:t>处），达到最大，然后单调递减，在</w:t>
      </w:r>
      <w:r>
        <w:rPr>
          <w:i/>
          <w:iCs/>
        </w:rPr>
        <w:t>x</w:t>
      </w:r>
      <w:r>
        <w:rPr>
          <w:rFonts w:hint="eastAsia"/>
          <w:i/>
          <w:iCs/>
        </w:rPr>
        <w:t xml:space="preserve"> </w:t>
      </w:r>
      <w:r>
        <w:rPr>
          <w:rFonts w:ascii="Times New Roman"/>
        </w:rPr>
        <w:t>=</w:t>
      </w:r>
      <w:r>
        <w:rPr>
          <w:rFonts w:hint="eastAsia" w:ascii="Times New Roman"/>
        </w:rPr>
        <w:t xml:space="preserve"> </w:t>
      </w:r>
      <w:r>
        <w:rPr>
          <w:rFonts w:ascii="Times New Roman"/>
        </w:rPr>
        <w:t>∞</w:t>
      </w:r>
      <w:r>
        <w:rPr>
          <w:rFonts w:hint="eastAsia"/>
        </w:rPr>
        <w:t>处，再达到</w:t>
      </w:r>
      <w:r>
        <w:t>0</w:t>
      </w:r>
      <w:r>
        <w:rPr>
          <w:rFonts w:hint="eastAsia"/>
        </w:rPr>
        <w:t>。</w:t>
      </w:r>
    </w:p>
    <w:p>
      <w:pPr>
        <w:pStyle w:val="23"/>
        <w:spacing w:before="156" w:beforeLines="50"/>
      </w:pPr>
      <w:r>
        <w:rPr>
          <w:rFonts w:hint="eastAsia"/>
        </w:rPr>
        <w:t>当</w:t>
      </w:r>
      <w:r>
        <w:rPr>
          <w:rFonts w:ascii="Cambria" w:hAnsi="Cambria" w:cs="Cambria"/>
          <w:i/>
        </w:rPr>
        <w:t>k</w:t>
      </w:r>
      <w:r>
        <w:rPr>
          <w:rFonts w:hint="eastAsia"/>
        </w:rPr>
        <w:t>约为</w:t>
      </w:r>
      <w:r>
        <w:t>3.44</w:t>
      </w:r>
      <w:r>
        <w:rPr>
          <w:rFonts w:hint="eastAsia"/>
        </w:rPr>
        <w:t>时，分布近似为高斯分布，平均值和中位数相等。</w:t>
      </w:r>
    </w:p>
    <w:p>
      <w:pPr>
        <w:pStyle w:val="23"/>
        <w:spacing w:before="156" w:beforeLines="50"/>
      </w:pPr>
      <w:r>
        <w:rPr>
          <w:rFonts w:hint="eastAsia"/>
        </w:rPr>
        <w:t>通常，威布尔分布是正向偏态的（即，偏向长寿命方向）。</w:t>
      </w:r>
    </w:p>
    <w:p>
      <w:pPr>
        <w:pStyle w:val="23"/>
        <w:jc w:val="center"/>
      </w:pPr>
      <w:r>
        <w:drawing>
          <wp:inline distT="0" distB="0" distL="0" distR="0">
            <wp:extent cx="5001895" cy="3582670"/>
            <wp:effectExtent l="0" t="0" r="825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01895" cy="3582670"/>
                    </a:xfrm>
                    <a:prstGeom prst="rect">
                      <a:avLst/>
                    </a:prstGeom>
                    <a:noFill/>
                    <a:ln>
                      <a:noFill/>
                    </a:ln>
                  </pic:spPr>
                </pic:pic>
              </a:graphicData>
            </a:graphic>
          </wp:inline>
        </w:drawing>
      </w:r>
    </w:p>
    <w:p>
      <w:pPr>
        <w:ind w:left="420" w:leftChars="200" w:firstLine="360" w:firstLineChars="200"/>
        <w:rPr>
          <w:sz w:val="18"/>
          <w:szCs w:val="18"/>
        </w:rPr>
      </w:pPr>
      <w:r>
        <w:rPr>
          <w:sz w:val="18"/>
          <w:szCs w:val="18"/>
        </w:rPr>
        <w:t>说明：</w:t>
      </w:r>
    </w:p>
    <w:p>
      <w:pPr>
        <w:ind w:left="840" w:leftChars="400" w:firstLine="360" w:firstLineChars="200"/>
        <w:rPr>
          <w:sz w:val="18"/>
          <w:szCs w:val="18"/>
        </w:rPr>
      </w:pPr>
      <w:r>
        <w:rPr>
          <w:sz w:val="18"/>
          <w:szCs w:val="18"/>
        </w:rPr>
        <w:t>X——参数y(见附录A)</w:t>
      </w:r>
    </w:p>
    <w:p>
      <w:pPr>
        <w:ind w:left="840" w:leftChars="400" w:firstLine="360" w:firstLineChars="200"/>
        <w:rPr>
          <w:sz w:val="18"/>
          <w:szCs w:val="18"/>
        </w:rPr>
      </w:pPr>
      <w:r>
        <w:rPr>
          <w:sz w:val="18"/>
          <w:szCs w:val="18"/>
        </w:rPr>
        <w:t>Y——概率</w:t>
      </w:r>
    </w:p>
    <w:p>
      <w:pPr>
        <w:pStyle w:val="129"/>
        <w:numPr>
          <w:ilvl w:val="0"/>
          <w:numId w:val="18"/>
        </w:numPr>
        <w:outlineLvl w:val="5"/>
      </w:pPr>
      <w:r>
        <w:rPr>
          <w:rFonts w:hint="eastAsia"/>
        </w:rPr>
        <w:t>高斯（正态）密度分布</w:t>
      </w:r>
    </w:p>
    <w:p>
      <w:pPr>
        <w:pStyle w:val="23"/>
      </w:pPr>
      <w:r>
        <w:drawing>
          <wp:inline distT="0" distB="0" distL="0" distR="0">
            <wp:extent cx="5069840" cy="3691890"/>
            <wp:effectExtent l="0" t="0" r="0" b="381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069840" cy="3691890"/>
                    </a:xfrm>
                    <a:prstGeom prst="rect">
                      <a:avLst/>
                    </a:prstGeom>
                    <a:noFill/>
                    <a:ln>
                      <a:noFill/>
                    </a:ln>
                  </pic:spPr>
                </pic:pic>
              </a:graphicData>
            </a:graphic>
          </wp:inline>
        </w:drawing>
      </w:r>
    </w:p>
    <w:p>
      <w:pPr>
        <w:ind w:left="420" w:leftChars="200" w:firstLine="360" w:firstLineChars="200"/>
        <w:rPr>
          <w:sz w:val="18"/>
          <w:szCs w:val="18"/>
        </w:rPr>
      </w:pPr>
      <w:r>
        <w:rPr>
          <w:rFonts w:hint="eastAsia"/>
          <w:sz w:val="18"/>
          <w:szCs w:val="18"/>
        </w:rPr>
        <w:t>说明：</w:t>
      </w:r>
    </w:p>
    <w:p>
      <w:pPr>
        <w:ind w:left="840" w:leftChars="400" w:firstLine="360" w:firstLineChars="200"/>
        <w:rPr>
          <w:sz w:val="18"/>
          <w:szCs w:val="18"/>
        </w:rPr>
      </w:pPr>
      <w:r>
        <w:rPr>
          <w:sz w:val="18"/>
          <w:szCs w:val="18"/>
        </w:rPr>
        <w:t>X——</w:t>
      </w:r>
      <w:r>
        <w:rPr>
          <w:rFonts w:hint="eastAsia"/>
          <w:sz w:val="18"/>
          <w:szCs w:val="18"/>
        </w:rPr>
        <w:t>参数</w:t>
      </w:r>
      <w:r>
        <w:rPr>
          <w:i/>
          <w:sz w:val="18"/>
          <w:szCs w:val="18"/>
        </w:rPr>
        <w:t>ε</w:t>
      </w:r>
      <w:r>
        <w:rPr>
          <w:sz w:val="18"/>
          <w:szCs w:val="18"/>
        </w:rPr>
        <w:t>(</w:t>
      </w:r>
      <w:r>
        <w:rPr>
          <w:rFonts w:hint="eastAsia"/>
          <w:sz w:val="18"/>
          <w:szCs w:val="18"/>
        </w:rPr>
        <w:t>见附录</w:t>
      </w:r>
      <w:r>
        <w:rPr>
          <w:sz w:val="18"/>
          <w:szCs w:val="18"/>
        </w:rPr>
        <w:t>A)</w:t>
      </w:r>
    </w:p>
    <w:p>
      <w:pPr>
        <w:ind w:left="840" w:leftChars="400" w:firstLine="360" w:firstLineChars="200"/>
        <w:rPr>
          <w:sz w:val="18"/>
          <w:szCs w:val="18"/>
        </w:rPr>
      </w:pPr>
      <w:r>
        <w:rPr>
          <w:sz w:val="18"/>
          <w:szCs w:val="18"/>
        </w:rPr>
        <w:t>Y——</w:t>
      </w:r>
      <w:r>
        <w:rPr>
          <w:rFonts w:hint="eastAsia"/>
          <w:sz w:val="18"/>
          <w:szCs w:val="18"/>
        </w:rPr>
        <w:t>概率</w:t>
      </w:r>
    </w:p>
    <w:p>
      <w:pPr>
        <w:pStyle w:val="129"/>
        <w:outlineLvl w:val="5"/>
      </w:pPr>
      <w:r>
        <w:rPr>
          <w:rFonts w:hint="eastAsia"/>
        </w:rPr>
        <w:t xml:space="preserve"> 双指数密度函数</w:t>
      </w:r>
    </w:p>
    <w:p>
      <w:pPr>
        <w:pStyle w:val="23"/>
      </w:pPr>
      <w:r>
        <w:drawing>
          <wp:inline distT="0" distB="0" distL="0" distR="0">
            <wp:extent cx="4961255" cy="3384550"/>
            <wp:effectExtent l="0" t="0" r="0" b="635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61255" cy="3384550"/>
                    </a:xfrm>
                    <a:prstGeom prst="rect">
                      <a:avLst/>
                    </a:prstGeom>
                    <a:noFill/>
                    <a:ln>
                      <a:noFill/>
                    </a:ln>
                  </pic:spPr>
                </pic:pic>
              </a:graphicData>
            </a:graphic>
          </wp:inline>
        </w:drawing>
      </w:r>
    </w:p>
    <w:p>
      <w:pPr>
        <w:ind w:firstLine="360" w:firstLineChars="200"/>
        <w:rPr>
          <w:sz w:val="18"/>
          <w:szCs w:val="18"/>
        </w:rPr>
      </w:pPr>
      <w:r>
        <w:rPr>
          <w:rFonts w:hint="eastAsia"/>
          <w:sz w:val="18"/>
          <w:szCs w:val="18"/>
        </w:rPr>
        <w:t>说明：</w:t>
      </w:r>
    </w:p>
    <w:p>
      <w:pPr>
        <w:ind w:left="420" w:leftChars="200" w:firstLine="360" w:firstLineChars="200"/>
        <w:rPr>
          <w:sz w:val="18"/>
          <w:szCs w:val="18"/>
        </w:rPr>
      </w:pPr>
      <w:r>
        <w:rPr>
          <w:sz w:val="18"/>
          <w:szCs w:val="18"/>
        </w:rPr>
        <w:t>X——</w:t>
      </w:r>
      <w:r>
        <w:rPr>
          <w:rFonts w:hAnsi="宋体"/>
          <w:sz w:val="18"/>
          <w:szCs w:val="18"/>
        </w:rPr>
        <w:t>参数</w:t>
      </w:r>
      <w:r>
        <w:rPr>
          <w:kern w:val="0"/>
          <w:sz w:val="18"/>
          <w:szCs w:val="18"/>
        </w:rPr>
        <w:t>(</w:t>
      </w:r>
      <w:r>
        <w:rPr>
          <w:i/>
          <w:iCs/>
          <w:kern w:val="0"/>
          <w:sz w:val="18"/>
          <w:szCs w:val="18"/>
        </w:rPr>
        <w:t xml:space="preserve">x </w:t>
      </w:r>
      <w:r>
        <w:rPr>
          <w:rFonts w:eastAsia="MS Mincho"/>
          <w:kern w:val="0"/>
          <w:sz w:val="18"/>
          <w:szCs w:val="18"/>
        </w:rPr>
        <w:t>−</w:t>
      </w:r>
      <w:r>
        <w:rPr>
          <w:kern w:val="0"/>
          <w:sz w:val="18"/>
          <w:szCs w:val="18"/>
        </w:rPr>
        <w:t xml:space="preserve"> </w:t>
      </w:r>
      <w:r>
        <w:rPr>
          <w:i/>
          <w:iCs/>
          <w:kern w:val="0"/>
          <w:sz w:val="18"/>
          <w:szCs w:val="18"/>
        </w:rPr>
        <w:t>a</w:t>
      </w:r>
      <w:r>
        <w:rPr>
          <w:kern w:val="0"/>
          <w:sz w:val="18"/>
          <w:szCs w:val="18"/>
        </w:rPr>
        <w:t>)/</w:t>
      </w:r>
      <w:r>
        <w:rPr>
          <w:i/>
          <w:iCs/>
          <w:kern w:val="0"/>
          <w:sz w:val="18"/>
          <w:szCs w:val="18"/>
        </w:rPr>
        <w:t>b</w:t>
      </w:r>
      <w:r>
        <w:rPr>
          <w:sz w:val="18"/>
          <w:szCs w:val="18"/>
        </w:rPr>
        <w:t xml:space="preserve"> (</w:t>
      </w:r>
      <w:r>
        <w:rPr>
          <w:rFonts w:hAnsi="宋体"/>
          <w:sz w:val="18"/>
          <w:szCs w:val="18"/>
        </w:rPr>
        <w:t>见附录</w:t>
      </w:r>
      <w:r>
        <w:rPr>
          <w:sz w:val="18"/>
          <w:szCs w:val="18"/>
        </w:rPr>
        <w:t>A)</w:t>
      </w:r>
    </w:p>
    <w:p>
      <w:pPr>
        <w:ind w:left="420" w:leftChars="200" w:firstLine="360" w:firstLineChars="200"/>
        <w:rPr>
          <w:sz w:val="18"/>
          <w:szCs w:val="18"/>
        </w:rPr>
      </w:pPr>
      <w:r>
        <w:rPr>
          <w:sz w:val="18"/>
          <w:szCs w:val="18"/>
        </w:rPr>
        <w:t>Y——</w:t>
      </w:r>
      <w:r>
        <w:rPr>
          <w:rFonts w:hAnsi="宋体"/>
          <w:sz w:val="18"/>
          <w:szCs w:val="18"/>
        </w:rPr>
        <w:t>概率</w:t>
      </w:r>
    </w:p>
    <w:p>
      <w:pPr>
        <w:pStyle w:val="129"/>
        <w:outlineLvl w:val="5"/>
      </w:pPr>
      <w:r>
        <w:rPr>
          <w:rFonts w:hint="eastAsia"/>
        </w:rPr>
        <w:t>威布尔密度函数</w:t>
      </w:r>
    </w:p>
    <w:p>
      <w:pPr>
        <w:pStyle w:val="46"/>
        <w:spacing w:before="156" w:after="156"/>
      </w:pPr>
      <w:r>
        <w:rPr>
          <w:rFonts w:hint="eastAsia"/>
        </w:rPr>
        <w:t>集中趋势的度量</w:t>
      </w:r>
    </w:p>
    <w:p>
      <w:pPr>
        <w:pStyle w:val="51"/>
        <w:spacing w:before="156" w:after="156"/>
      </w:pPr>
      <w:r>
        <w:rPr>
          <w:rFonts w:hint="eastAsia"/>
        </w:rPr>
        <w:t>概述</w:t>
      </w:r>
    </w:p>
    <w:p>
      <w:pPr>
        <w:spacing w:before="156" w:beforeLines="50" w:after="156" w:afterLines="50"/>
        <w:ind w:firstLine="420" w:firstLineChars="200"/>
        <w:rPr>
          <w:szCs w:val="21"/>
        </w:rPr>
      </w:pPr>
      <w:r>
        <w:rPr>
          <w:rFonts w:hint="eastAsia"/>
          <w:szCs w:val="21"/>
        </w:rPr>
        <w:t>即使在最仔细的实验条件下在相同材料上进行重复测量也出现结果分散。因此，</w:t>
      </w:r>
      <w:r>
        <w:rPr>
          <w:rFonts w:hint="eastAsia"/>
        </w:rPr>
        <w:t>对这些结果的预期平均值或典型值有一些了解是有用的</w:t>
      </w:r>
      <w:r>
        <w:rPr>
          <w:rFonts w:hint="eastAsia"/>
          <w:szCs w:val="21"/>
        </w:rPr>
        <w:t>。由于当数据按数字顺序排列时典型值趋于出现在数据的中段，这样的数字也叫做集中趋势的度量。</w:t>
      </w:r>
    </w:p>
    <w:p>
      <w:pPr>
        <w:spacing w:before="156" w:beforeLines="50" w:after="156" w:afterLines="50"/>
        <w:ind w:firstLine="420" w:firstLineChars="200"/>
        <w:rPr>
          <w:szCs w:val="21"/>
        </w:rPr>
      </w:pPr>
      <w:r>
        <w:rPr>
          <w:rFonts w:hint="eastAsia"/>
          <w:szCs w:val="21"/>
        </w:rPr>
        <w:t>所得到的少量的实验结果是无限量结果（即总体）的样本，其完全包含在正在进行的测量之中。所获得的结果越多，样本统计与总体统计的匹配越准确。显然，样本的平均数值可以精确地确定，但一般来说，更有意义的是从中抽取样本的总体的平均数值，而这只能从可用的样本（或多样本）中估计出来。为恰当地区分样本统计和总体统计，因此使用不同的符号。</w:t>
      </w:r>
    </w:p>
    <w:p>
      <w:pPr>
        <w:pStyle w:val="51"/>
        <w:spacing w:before="156" w:after="156"/>
        <w:rPr>
          <w:szCs w:val="22"/>
          <w:highlight w:val="yellow"/>
        </w:rPr>
      </w:pPr>
      <w:r>
        <w:rPr>
          <w:rFonts w:hint="eastAsia"/>
          <w:highlight w:val="yellow"/>
        </w:rPr>
        <w:t>平均值</w:t>
      </w:r>
    </w:p>
    <w:p>
      <w:pPr>
        <w:spacing w:before="156" w:beforeLines="50" w:after="156" w:afterLines="50"/>
        <w:ind w:firstLine="420" w:firstLineChars="200"/>
        <w:rPr>
          <w:szCs w:val="21"/>
        </w:rPr>
      </w:pPr>
      <w:r>
        <w:rPr>
          <w:rFonts w:hint="eastAsia"/>
          <w:szCs w:val="21"/>
        </w:rPr>
        <w:t>平均值（见</w:t>
      </w:r>
      <w:r>
        <w:rPr>
          <w:szCs w:val="21"/>
        </w:rPr>
        <w:t>3.4</w:t>
      </w:r>
      <w:r>
        <w:rPr>
          <w:rFonts w:hint="eastAsia"/>
          <w:szCs w:val="21"/>
        </w:rPr>
        <w:t>）是最常见的集中趋势度量，也经常称为平均数。当使用这些词时，宜准确地把握其含义，因为有若干种方法计算一组数值的平均。算术平均值是常见的一种，因此常常省略“算术”二字。但却易造成混淆，所以应予以保留。在本文件中，除另有说明外，平均值即为算术平均值。</w:t>
      </w:r>
    </w:p>
    <w:p>
      <w:pPr>
        <w:spacing w:before="156" w:beforeLines="50" w:after="156" w:afterLines="50"/>
        <w:ind w:firstLine="420" w:firstLineChars="200"/>
        <w:rPr>
          <w:szCs w:val="21"/>
        </w:rPr>
      </w:pPr>
      <w:r>
        <w:rPr>
          <w:rFonts w:hint="eastAsia"/>
          <w:szCs w:val="21"/>
        </w:rPr>
        <w:t>样本的均值，</w:t>
      </w:r>
      <w:r>
        <w:rPr>
          <w:szCs w:val="21"/>
        </w:rPr>
        <w:sym w:font="Symbol" w:char="0060"/>
      </w:r>
      <w:r>
        <w:rPr>
          <w:i/>
          <w:szCs w:val="21"/>
        </w:rPr>
        <w:t>x</w:t>
      </w:r>
      <w:r>
        <w:rPr>
          <w:rFonts w:hint="eastAsia"/>
          <w:i/>
          <w:szCs w:val="21"/>
        </w:rPr>
        <w:t>，</w:t>
      </w:r>
      <w:r>
        <w:rPr>
          <w:rFonts w:hint="eastAsia"/>
          <w:szCs w:val="21"/>
        </w:rPr>
        <w:t>定义为样本中一个个数值的总和除以样本中数值的个数，其数学公式（1）如下：</w:t>
      </w:r>
    </w:p>
    <w:p>
      <w:pPr>
        <w:spacing w:before="156" w:beforeLines="50" w:after="156" w:afterLines="50"/>
        <w:ind w:firstLine="420" w:firstLineChars="200"/>
        <w:rPr>
          <w:szCs w:val="21"/>
        </w:rPr>
      </w:pPr>
      <w:r>
        <w:rPr>
          <w:szCs w:val="21"/>
        </w:rPr>
        <w:sym w:font="Symbol" w:char="0060"/>
      </w:r>
      <w:r>
        <w:rPr>
          <w:i/>
          <w:szCs w:val="21"/>
        </w:rPr>
        <w:t>x</w:t>
      </w:r>
      <w:r>
        <w:rPr>
          <w:szCs w:val="21"/>
        </w:rPr>
        <w:t xml:space="preserve">= </w:t>
      </w:r>
      <m:oMath>
        <m:f>
          <m:fPr>
            <m:ctrlPr>
              <w:rPr>
                <w:rFonts w:ascii="Cambria Math" w:hAnsi="Cambria Math" w:eastAsia="Cambria Math"/>
                <w:szCs w:val="21"/>
              </w:rPr>
            </m:ctrlPr>
          </m:fPr>
          <m:num>
            <m:r>
              <m:rPr/>
              <w:rPr>
                <w:rFonts w:ascii="Cambria Math" w:hAnsi="Cambria Math" w:eastAsia="Cambria Math"/>
                <w:szCs w:val="21"/>
              </w:rPr>
              <m:t>(</m:t>
            </m:r>
            <m:sSub>
              <m:sSubPr>
                <m:ctrlPr>
                  <w:rPr>
                    <w:rFonts w:ascii="Cambria Math" w:hAnsi="Cambria Math" w:eastAsia="Cambria Math"/>
                    <w:i/>
                    <w:szCs w:val="21"/>
                  </w:rPr>
                </m:ctrlPr>
              </m:sSubPr>
              <m:e>
                <m:r>
                  <m:rPr/>
                  <w:rPr>
                    <w:rFonts w:ascii="Cambria Math" w:hAnsi="Cambria Math" w:eastAsia="Cambria Math"/>
                    <w:szCs w:val="21"/>
                  </w:rPr>
                  <m:t>x</m:t>
                </m:r>
                <m:ctrlPr>
                  <w:rPr>
                    <w:rFonts w:ascii="Cambria Math" w:hAnsi="Cambria Math" w:eastAsia="Cambria Math"/>
                    <w:i/>
                    <w:szCs w:val="21"/>
                  </w:rPr>
                </m:ctrlPr>
              </m:e>
              <m:sub>
                <m:r>
                  <m:rPr/>
                  <w:rPr>
                    <w:rFonts w:ascii="Cambria Math" w:hAnsi="Cambria Math" w:eastAsia="Cambria Math"/>
                    <w:szCs w:val="21"/>
                  </w:rPr>
                  <m:t>1</m:t>
                </m:r>
                <m:ctrlPr>
                  <w:rPr>
                    <w:rFonts w:ascii="Cambria Math" w:hAnsi="Cambria Math" w:eastAsia="Cambria Math"/>
                    <w:i/>
                    <w:szCs w:val="21"/>
                  </w:rPr>
                </m:ctrlPr>
              </m:sub>
            </m:sSub>
            <m:r>
              <m:rPr/>
              <w:rPr>
                <w:rFonts w:ascii="Cambria Math" w:hAnsi="Cambria Math" w:eastAsia="Cambria Math"/>
                <w:szCs w:val="21"/>
              </w:rPr>
              <m:t>+</m:t>
            </m:r>
            <m:sSub>
              <m:sSubPr>
                <m:ctrlPr>
                  <w:rPr>
                    <w:rFonts w:ascii="Cambria Math" w:hAnsi="Cambria Math" w:eastAsia="Cambria Math"/>
                    <w:i/>
                    <w:szCs w:val="21"/>
                  </w:rPr>
                </m:ctrlPr>
              </m:sSubPr>
              <m:e>
                <m:r>
                  <m:rPr/>
                  <w:rPr>
                    <w:rFonts w:ascii="Cambria Math" w:hAnsi="Cambria Math" w:eastAsia="Cambria Math"/>
                    <w:szCs w:val="21"/>
                  </w:rPr>
                  <m:t>x</m:t>
                </m:r>
                <m:ctrlPr>
                  <w:rPr>
                    <w:rFonts w:ascii="Cambria Math" w:hAnsi="Cambria Math" w:eastAsia="Cambria Math"/>
                    <w:i/>
                    <w:szCs w:val="21"/>
                  </w:rPr>
                </m:ctrlPr>
              </m:e>
              <m:sub>
                <m:r>
                  <m:rPr/>
                  <w:rPr>
                    <w:rFonts w:ascii="Cambria Math" w:hAnsi="Cambria Math" w:eastAsia="Cambria Math"/>
                    <w:szCs w:val="21"/>
                  </w:rPr>
                  <m:t>2</m:t>
                </m:r>
                <m:ctrlPr>
                  <w:rPr>
                    <w:rFonts w:ascii="Cambria Math" w:hAnsi="Cambria Math" w:eastAsia="Cambria Math"/>
                    <w:i/>
                    <w:szCs w:val="21"/>
                  </w:rPr>
                </m:ctrlPr>
              </m:sub>
            </m:sSub>
            <m:r>
              <m:rPr/>
              <w:rPr>
                <w:rFonts w:ascii="Cambria Math" w:hAnsi="Cambria Math" w:eastAsia="Cambria Math"/>
                <w:szCs w:val="21"/>
              </w:rPr>
              <m:t>+</m:t>
            </m:r>
            <m:sSub>
              <m:sSubPr>
                <m:ctrlPr>
                  <w:rPr>
                    <w:rFonts w:ascii="Cambria Math" w:hAnsi="Cambria Math" w:eastAsia="Cambria Math"/>
                    <w:i/>
                    <w:szCs w:val="21"/>
                  </w:rPr>
                </m:ctrlPr>
              </m:sSubPr>
              <m:e>
                <m:r>
                  <m:rPr/>
                  <w:rPr>
                    <w:rFonts w:ascii="Cambria Math" w:hAnsi="Cambria Math" w:eastAsia="Cambria Math"/>
                    <w:szCs w:val="21"/>
                  </w:rPr>
                  <m:t>x</m:t>
                </m:r>
                <m:ctrlPr>
                  <w:rPr>
                    <w:rFonts w:ascii="Cambria Math" w:hAnsi="Cambria Math" w:eastAsia="Cambria Math"/>
                    <w:i/>
                    <w:szCs w:val="21"/>
                  </w:rPr>
                </m:ctrlPr>
              </m:e>
              <m:sub>
                <m:r>
                  <m:rPr/>
                  <w:rPr>
                    <w:rFonts w:ascii="Cambria Math" w:hAnsi="Cambria Math" w:eastAsia="Cambria Math"/>
                    <w:szCs w:val="21"/>
                  </w:rPr>
                  <m:t>3</m:t>
                </m:r>
                <m:ctrlPr>
                  <w:rPr>
                    <w:rFonts w:ascii="Cambria Math" w:hAnsi="Cambria Math" w:eastAsia="Cambria Math"/>
                    <w:i/>
                    <w:szCs w:val="21"/>
                  </w:rPr>
                </m:ctrlPr>
              </m:sub>
            </m:sSub>
            <m:r>
              <m:rPr/>
              <w:rPr>
                <w:rFonts w:ascii="Cambria Math" w:hAnsi="Cambria Math" w:eastAsia="Cambria Math"/>
                <w:szCs w:val="21"/>
              </w:rPr>
              <m:t>+….+</m:t>
            </m:r>
            <m:sSub>
              <m:sSubPr>
                <m:ctrlPr>
                  <w:rPr>
                    <w:rFonts w:ascii="Cambria Math" w:hAnsi="Cambria Math" w:eastAsia="Cambria Math"/>
                    <w:i/>
                    <w:szCs w:val="21"/>
                  </w:rPr>
                </m:ctrlPr>
              </m:sSubPr>
              <m:e>
                <m:r>
                  <m:rPr/>
                  <w:rPr>
                    <w:rFonts w:ascii="Cambria Math" w:hAnsi="Cambria Math" w:eastAsia="Cambria Math"/>
                    <w:szCs w:val="21"/>
                  </w:rPr>
                  <m:t>x</m:t>
                </m:r>
                <m:ctrlPr>
                  <w:rPr>
                    <w:rFonts w:ascii="Cambria Math" w:hAnsi="Cambria Math" w:eastAsia="Cambria Math"/>
                    <w:i/>
                    <w:szCs w:val="21"/>
                  </w:rPr>
                </m:ctrlPr>
              </m:e>
              <m:sub>
                <m:r>
                  <m:rPr/>
                  <w:rPr>
                    <w:rFonts w:ascii="Cambria Math" w:hAnsi="Cambria Math" w:eastAsia="Cambria Math"/>
                    <w:szCs w:val="21"/>
                  </w:rPr>
                  <m:t>n</m:t>
                </m:r>
                <m:ctrlPr>
                  <w:rPr>
                    <w:rFonts w:ascii="Cambria Math" w:hAnsi="Cambria Math" w:eastAsia="Cambria Math"/>
                    <w:i/>
                    <w:szCs w:val="21"/>
                  </w:rPr>
                </m:ctrlPr>
              </m:sub>
            </m:sSub>
            <m:r>
              <m:rPr/>
              <w:rPr>
                <w:rFonts w:ascii="Cambria Math" w:hAnsi="Cambria Math" w:eastAsia="Cambria Math"/>
                <w:szCs w:val="21"/>
              </w:rPr>
              <m:t>)</m:t>
            </m:r>
            <m:ctrlPr>
              <w:rPr>
                <w:rFonts w:ascii="Cambria Math" w:hAnsi="Cambria Math" w:eastAsia="Cambria Math"/>
                <w:szCs w:val="21"/>
              </w:rPr>
            </m:ctrlPr>
          </m:num>
          <m:den>
            <m:r>
              <m:rPr/>
              <w:rPr>
                <w:rFonts w:ascii="Cambria Math" w:hAnsi="Cambria Math" w:eastAsia="Cambria Math" w:cs="Cambria Math"/>
                <w:szCs w:val="21"/>
              </w:rPr>
              <m:t>n</m:t>
            </m:r>
            <m:ctrlPr>
              <w:rPr>
                <w:rFonts w:ascii="Cambria Math" w:hAnsi="Cambria Math" w:eastAsia="Cambria Math"/>
                <w:szCs w:val="21"/>
              </w:rPr>
            </m:ctrlPr>
          </m:den>
        </m:f>
      </m:oMath>
      <w:r>
        <w:rPr>
          <w:szCs w:val="21"/>
        </w:rPr>
        <w:t xml:space="preserve">                                              </w:t>
      </w:r>
      <w:r>
        <w:rPr>
          <w:rFonts w:hint="eastAsia"/>
          <w:szCs w:val="21"/>
        </w:rPr>
        <w:t xml:space="preserve">     </w:t>
      </w:r>
      <w:r>
        <w:rPr>
          <w:szCs w:val="21"/>
        </w:rPr>
        <w:t xml:space="preserve">     </w:t>
      </w:r>
      <w:r>
        <w:rPr>
          <w:rFonts w:hint="eastAsia"/>
          <w:szCs w:val="21"/>
        </w:rPr>
        <w:t>（</w:t>
      </w:r>
      <w:r>
        <w:rPr>
          <w:szCs w:val="21"/>
        </w:rPr>
        <w:t>1</w:t>
      </w:r>
      <w:r>
        <w:rPr>
          <w:rFonts w:hint="eastAsia"/>
          <w:szCs w:val="21"/>
        </w:rPr>
        <w:t>）</w:t>
      </w:r>
    </w:p>
    <w:p>
      <w:pPr>
        <w:spacing w:before="156" w:beforeLines="50" w:after="156" w:afterLines="50"/>
        <w:ind w:firstLine="420" w:firstLineChars="200"/>
        <w:rPr>
          <w:szCs w:val="21"/>
        </w:rPr>
      </w:pPr>
      <w:r>
        <w:rPr>
          <w:rFonts w:hint="eastAsia"/>
          <w:szCs w:val="21"/>
        </w:rPr>
        <w:t>如果求和用简写，则为：</w:t>
      </w:r>
    </w:p>
    <w:p>
      <w:pPr>
        <w:spacing w:before="156" w:beforeLines="50" w:after="156" w:afterLines="50"/>
        <w:ind w:firstLine="420" w:firstLineChars="200"/>
        <w:rPr>
          <w:szCs w:val="21"/>
        </w:rPr>
      </w:pPr>
      <w:r>
        <w:rPr>
          <w:szCs w:val="21"/>
        </w:rPr>
        <w:sym w:font="Symbol" w:char="0060"/>
      </w:r>
      <w:r>
        <w:rPr>
          <w:i/>
          <w:szCs w:val="21"/>
        </w:rPr>
        <w:t>x</w:t>
      </w:r>
      <w:r>
        <w:t xml:space="preserve"> =</w:t>
      </w:r>
      <w:r>
        <w:rPr>
          <w:rFonts w:hint="eastAsia"/>
        </w:rPr>
        <w:t>（</w:t>
      </w:r>
      <w:r>
        <w:t>∑</w:t>
      </w:r>
      <w:r>
        <w:rPr>
          <w:i/>
        </w:rPr>
        <w:t>x</w:t>
      </w:r>
      <w:r>
        <w:rPr>
          <w:rFonts w:hint="eastAsia"/>
        </w:rPr>
        <w:t>）</w:t>
      </w:r>
      <w:r>
        <w:t>/</w:t>
      </w:r>
      <w:r>
        <w:rPr>
          <w:i/>
        </w:rPr>
        <w:t>n</w:t>
      </w:r>
      <w:r>
        <w:t xml:space="preserve">                            </w:t>
      </w:r>
      <w:r>
        <w:rPr>
          <w:rFonts w:hint="eastAsia"/>
        </w:rPr>
        <w:t xml:space="preserve">    </w:t>
      </w:r>
      <w:r>
        <w:t xml:space="preserve">                              </w:t>
      </w:r>
      <w:r>
        <w:rPr>
          <w:rFonts w:hint="eastAsia"/>
        </w:rPr>
        <w:t>（</w:t>
      </w:r>
      <w:r>
        <w:t>2</w:t>
      </w:r>
      <w:r>
        <w:rPr>
          <w:rFonts w:hint="eastAsia"/>
        </w:rPr>
        <w:t>）</w:t>
      </w:r>
    </w:p>
    <w:p>
      <w:pPr>
        <w:spacing w:before="156" w:beforeLines="50" w:after="156" w:afterLines="50"/>
        <w:ind w:firstLine="420" w:firstLineChars="200"/>
        <w:rPr>
          <w:szCs w:val="21"/>
        </w:rPr>
      </w:pPr>
      <w:r>
        <w:rPr>
          <w:rFonts w:hint="eastAsia"/>
          <w:szCs w:val="21"/>
        </w:rPr>
        <w:t>如前所述，从中获取样本的总体的平均值用符号</w:t>
      </w:r>
      <w:r>
        <w:rPr>
          <w:i/>
          <w:szCs w:val="21"/>
        </w:rPr>
        <w:sym w:font="Symbol" w:char="006D"/>
      </w:r>
      <w:r>
        <w:rPr>
          <w:rFonts w:hint="eastAsia"/>
          <w:szCs w:val="21"/>
        </w:rPr>
        <w:t>表示。这个值在实际中几乎是不知道的，但不得不从样本中估计。总体的估计平均值</w:t>
      </w:r>
      <w:r>
        <w:rPr>
          <w:rFonts w:hint="eastAsia"/>
          <w:i/>
          <w:spacing w:val="-50"/>
          <w:szCs w:val="21"/>
        </w:rPr>
        <w:t>μ</w:t>
      </w:r>
      <w:r>
        <w:rPr>
          <w:rFonts w:hint="eastAsia"/>
          <w:spacing w:val="-50"/>
          <w:szCs w:val="21"/>
        </w:rPr>
        <w:t>ˆ</w:t>
      </w:r>
      <w:r>
        <w:rPr>
          <w:rFonts w:hint="eastAsia"/>
          <w:szCs w:val="21"/>
        </w:rPr>
        <w:t>，基于可获得的样本，被视为等于样本均值。换言之：</w:t>
      </w:r>
    </w:p>
    <w:p>
      <w:pPr>
        <w:spacing w:before="156" w:beforeLines="50" w:after="156" w:afterLines="50"/>
        <w:ind w:firstLine="440" w:firstLineChars="400"/>
        <w:rPr>
          <w:szCs w:val="21"/>
        </w:rPr>
      </w:pPr>
      <w:r>
        <w:rPr>
          <w:rFonts w:hint="eastAsia"/>
          <w:i/>
          <w:spacing w:val="-50"/>
          <w:szCs w:val="21"/>
        </w:rPr>
        <w:t>μ</w:t>
      </w:r>
      <w:r>
        <w:rPr>
          <w:rFonts w:hint="eastAsia"/>
          <w:spacing w:val="-50"/>
          <w:szCs w:val="21"/>
        </w:rPr>
        <w:t>ˆ</w:t>
      </w:r>
      <w:r>
        <w:rPr>
          <w:szCs w:val="21"/>
        </w:rPr>
        <w:t xml:space="preserve"> =</w:t>
      </w:r>
      <w:r>
        <w:rPr>
          <w:szCs w:val="21"/>
        </w:rPr>
        <w:sym w:font="Symbol" w:char="0060"/>
      </w:r>
      <w:r>
        <w:rPr>
          <w:i/>
          <w:szCs w:val="21"/>
        </w:rPr>
        <w:t>x</w:t>
      </w:r>
      <w:r>
        <w:rPr>
          <w:szCs w:val="21"/>
        </w:rPr>
        <w:t xml:space="preserve">                                         </w:t>
      </w:r>
      <w:r>
        <w:rPr>
          <w:rFonts w:hint="eastAsia"/>
          <w:szCs w:val="21"/>
        </w:rPr>
        <w:t xml:space="preserve">     </w:t>
      </w:r>
      <w:r>
        <w:rPr>
          <w:szCs w:val="21"/>
        </w:rPr>
        <w:t xml:space="preserve">                      </w:t>
      </w:r>
      <w:r>
        <w:rPr>
          <w:rFonts w:hint="eastAsia"/>
          <w:szCs w:val="21"/>
        </w:rPr>
        <w:t>（</w:t>
      </w:r>
      <w:r>
        <w:rPr>
          <w:szCs w:val="21"/>
        </w:rPr>
        <w:t>3</w:t>
      </w:r>
      <w:r>
        <w:rPr>
          <w:rFonts w:hint="eastAsia"/>
          <w:szCs w:val="21"/>
        </w:rPr>
        <w:t>）</w:t>
      </w:r>
    </w:p>
    <w:p>
      <w:pPr>
        <w:spacing w:before="156" w:beforeLines="50" w:after="156" w:afterLines="50"/>
        <w:ind w:firstLine="420" w:firstLineChars="200"/>
        <w:rPr>
          <w:szCs w:val="21"/>
        </w:rPr>
      </w:pPr>
      <w:r>
        <w:rPr>
          <w:rFonts w:hint="eastAsia"/>
          <w:szCs w:val="21"/>
        </w:rPr>
        <w:t>其中，</w:t>
      </w:r>
      <w:r>
        <w:rPr>
          <w:rFonts w:hint="eastAsia"/>
          <w:i/>
          <w:spacing w:val="-50"/>
          <w:szCs w:val="21"/>
        </w:rPr>
        <w:t>μ</w:t>
      </w:r>
      <w:r>
        <w:rPr>
          <w:rFonts w:hint="eastAsia"/>
          <w:spacing w:val="-50"/>
          <w:szCs w:val="21"/>
        </w:rPr>
        <w:t>ˆ</w:t>
      </w:r>
      <w:r>
        <w:rPr>
          <w:rFonts w:hint="eastAsia"/>
          <w:szCs w:val="21"/>
        </w:rPr>
        <w:t>是</w:t>
      </w:r>
      <w:r>
        <w:rPr>
          <w:i/>
          <w:szCs w:val="21"/>
        </w:rPr>
        <w:sym w:font="Symbol" w:char="006D"/>
      </w:r>
      <w:r>
        <w:rPr>
          <w:rFonts w:hint="eastAsia"/>
          <w:szCs w:val="21"/>
        </w:rPr>
        <w:t>的估计。</w:t>
      </w:r>
    </w:p>
    <w:p>
      <w:pPr>
        <w:spacing w:before="156" w:beforeLines="50" w:after="156" w:afterLines="50"/>
        <w:ind w:firstLine="420" w:firstLineChars="200"/>
        <w:rPr>
          <w:szCs w:val="21"/>
        </w:rPr>
      </w:pPr>
      <w:r>
        <w:rPr>
          <w:rFonts w:hint="eastAsia"/>
          <w:szCs w:val="21"/>
        </w:rPr>
        <w:t>如果存在大量具有离散值的结果，那么就可能更方便地记录每个值出现的次数。如果每个</w:t>
      </w:r>
      <w:r>
        <w:rPr>
          <w:i/>
          <w:szCs w:val="21"/>
        </w:rPr>
        <w:t>x</w:t>
      </w:r>
      <w:r>
        <w:rPr>
          <w:rFonts w:hint="eastAsia"/>
          <w:szCs w:val="21"/>
        </w:rPr>
        <w:t>出现</w:t>
      </w:r>
      <w:r>
        <w:rPr>
          <w:i/>
          <w:szCs w:val="21"/>
        </w:rPr>
        <w:t>f</w:t>
      </w:r>
      <w:r>
        <w:rPr>
          <w:rFonts w:hint="eastAsia"/>
          <w:szCs w:val="21"/>
        </w:rPr>
        <w:t>次，那么：</w:t>
      </w:r>
    </w:p>
    <w:p>
      <w:pPr>
        <w:spacing w:before="156" w:beforeLines="50" w:after="156" w:afterLines="50"/>
        <w:ind w:firstLine="420" w:firstLineChars="200"/>
        <w:rPr>
          <w:szCs w:val="21"/>
        </w:rPr>
      </w:pPr>
      <w:r>
        <w:rPr>
          <w:szCs w:val="21"/>
        </w:rPr>
        <w:sym w:font="Symbol" w:char="0060"/>
      </w:r>
      <w:r>
        <w:rPr>
          <w:i/>
          <w:szCs w:val="21"/>
        </w:rPr>
        <w:t>x</w:t>
      </w:r>
      <w:r>
        <w:t xml:space="preserve"> = [∑(</w:t>
      </w:r>
      <w:r>
        <w:rPr>
          <w:i/>
        </w:rPr>
        <w:t>fx</w:t>
      </w:r>
      <w:r>
        <w:t>)]/</w:t>
      </w:r>
      <w:r>
        <w:rPr>
          <w:i/>
        </w:rPr>
        <w:t>n</w:t>
      </w:r>
      <w:r>
        <w:t xml:space="preserve">                                            </w:t>
      </w:r>
      <w:r>
        <w:rPr>
          <w:rFonts w:hint="eastAsia"/>
        </w:rPr>
        <w:t xml:space="preserve">    </w:t>
      </w:r>
      <w:r>
        <w:t xml:space="preserve">              </w:t>
      </w:r>
      <w:r>
        <w:rPr>
          <w:rFonts w:hint="eastAsia"/>
        </w:rPr>
        <w:t>（</w:t>
      </w:r>
      <w:r>
        <w:t>4</w:t>
      </w:r>
      <w:r>
        <w:rPr>
          <w:rFonts w:hint="eastAsia"/>
        </w:rPr>
        <w:t>）</w:t>
      </w:r>
    </w:p>
    <w:p>
      <w:pPr>
        <w:pStyle w:val="64"/>
      </w:pPr>
      <w:r>
        <w:rPr>
          <w:rFonts w:hint="eastAsia"/>
        </w:rPr>
        <w:t>此时，</w:t>
      </w:r>
      <w:r>
        <w:rPr>
          <w:rFonts w:ascii="Times New Roman"/>
          <w:i/>
        </w:rPr>
        <w:t>n</w:t>
      </w:r>
      <w:r>
        <w:t xml:space="preserve"> =∑</w:t>
      </w:r>
      <w:r>
        <w:rPr>
          <w:rFonts w:ascii="Times New Roman"/>
          <w:i/>
        </w:rPr>
        <w:t>f</w:t>
      </w:r>
      <w:r>
        <w:t xml:space="preserve"> </w:t>
      </w:r>
    </w:p>
    <w:p>
      <w:pPr>
        <w:spacing w:before="156" w:beforeLines="50" w:after="156" w:afterLines="50"/>
        <w:ind w:firstLine="420" w:firstLineChars="200"/>
        <w:rPr>
          <w:szCs w:val="21"/>
        </w:rPr>
      </w:pPr>
      <w:r>
        <w:rPr>
          <w:rFonts w:hint="eastAsia"/>
          <w:szCs w:val="21"/>
        </w:rPr>
        <w:t>同样的技术也适用于</w:t>
      </w:r>
      <w:r>
        <w:rPr>
          <w:i/>
          <w:szCs w:val="21"/>
        </w:rPr>
        <w:t>x</w:t>
      </w:r>
      <w:r>
        <w:rPr>
          <w:rFonts w:hint="eastAsia"/>
          <w:szCs w:val="21"/>
        </w:rPr>
        <w:t>值可能发生无限变化的情况，但是将数据分组到数据</w:t>
      </w:r>
      <w:r>
        <w:rPr>
          <w:rFonts w:hint="eastAsia"/>
          <w:color w:val="FF0000"/>
          <w:szCs w:val="21"/>
          <w:highlight w:val="yellow"/>
        </w:rPr>
        <w:t>带</w:t>
      </w:r>
      <w:r>
        <w:rPr>
          <w:rFonts w:hint="eastAsia"/>
          <w:szCs w:val="21"/>
        </w:rPr>
        <w:t>中，计数每个数据</w:t>
      </w:r>
      <w:r>
        <w:rPr>
          <w:rFonts w:hint="eastAsia"/>
          <w:color w:val="FF0000"/>
          <w:szCs w:val="21"/>
          <w:highlight w:val="yellow"/>
        </w:rPr>
        <w:t>带</w:t>
      </w:r>
      <w:r>
        <w:rPr>
          <w:rFonts w:hint="eastAsia"/>
          <w:szCs w:val="21"/>
        </w:rPr>
        <w:t>中的结果数量更方便。</w:t>
      </w:r>
    </w:p>
    <w:p>
      <w:pPr>
        <w:spacing w:before="156" w:beforeLines="50" w:after="156" w:afterLines="50"/>
        <w:ind w:firstLine="420" w:firstLineChars="200"/>
        <w:rPr>
          <w:szCs w:val="21"/>
        </w:rPr>
      </w:pPr>
      <w:r>
        <w:rPr>
          <w:rFonts w:hint="eastAsia"/>
          <w:szCs w:val="21"/>
        </w:rPr>
        <w:t>偶尔遇到的其他类型的平均值简述于附录</w:t>
      </w:r>
      <w:r>
        <w:rPr>
          <w:szCs w:val="21"/>
        </w:rPr>
        <w:t>B</w:t>
      </w:r>
      <w:r>
        <w:rPr>
          <w:rFonts w:hint="eastAsia"/>
          <w:szCs w:val="21"/>
        </w:rPr>
        <w:t>。</w:t>
      </w:r>
    </w:p>
    <w:p>
      <w:pPr>
        <w:pStyle w:val="51"/>
        <w:spacing w:before="156" w:after="156"/>
      </w:pPr>
      <w:r>
        <w:rPr>
          <w:rFonts w:hint="eastAsia"/>
        </w:rPr>
        <w:t>中位数</w:t>
      </w:r>
    </w:p>
    <w:p>
      <w:pPr>
        <w:spacing w:before="156" w:beforeLines="50" w:after="156" w:afterLines="50"/>
        <w:ind w:firstLine="420" w:firstLineChars="200"/>
        <w:rPr>
          <w:szCs w:val="21"/>
        </w:rPr>
      </w:pPr>
      <w:r>
        <w:rPr>
          <w:rFonts w:hint="eastAsia"/>
          <w:szCs w:val="21"/>
        </w:rPr>
        <w:t>如果将一组结果中的数据按数值顺序排列，那么中间的值（或数据的个数为偶数时两个中间的值的平均值）就是中位数（见</w:t>
      </w:r>
      <w:r>
        <w:rPr>
          <w:szCs w:val="21"/>
        </w:rPr>
        <w:t>3.5</w:t>
      </w:r>
      <w:r>
        <w:rPr>
          <w:rFonts w:hint="eastAsia"/>
          <w:szCs w:val="21"/>
        </w:rPr>
        <w:t>）。</w:t>
      </w:r>
    </w:p>
    <w:p>
      <w:pPr>
        <w:spacing w:before="156" w:beforeLines="50" w:after="156" w:afterLines="50"/>
        <w:ind w:firstLine="420" w:firstLineChars="200"/>
        <w:rPr>
          <w:szCs w:val="21"/>
        </w:rPr>
      </w:pPr>
      <w:r>
        <w:rPr>
          <w:rFonts w:hint="eastAsia"/>
          <w:szCs w:val="21"/>
        </w:rPr>
        <w:t>几何上，密度分布函数的中位数是将分布分成两个相等区域的垂直线所对应的横坐标的值。</w:t>
      </w:r>
    </w:p>
    <w:p>
      <w:pPr>
        <w:spacing w:before="156" w:beforeLines="50" w:after="156" w:afterLines="50"/>
        <w:ind w:firstLine="420" w:firstLineChars="200"/>
        <w:rPr>
          <w:szCs w:val="21"/>
        </w:rPr>
      </w:pPr>
      <w:r>
        <w:rPr>
          <w:rFonts w:hint="eastAsia"/>
          <w:szCs w:val="21"/>
        </w:rPr>
        <w:t>对于预期适用双指数分布函数的拉伸强度或断裂伸长率，强烈建议使用中位数来度量集中趋势。原因有三</w:t>
      </w:r>
      <w:r>
        <w:rPr>
          <w:szCs w:val="21"/>
        </w:rPr>
        <w:t>:</w:t>
      </w:r>
    </w:p>
    <w:p>
      <w:pPr>
        <w:spacing w:before="156" w:beforeLines="50" w:after="156" w:afterLines="50"/>
        <w:ind w:firstLine="420" w:firstLineChars="200"/>
        <w:rPr>
          <w:szCs w:val="21"/>
        </w:rPr>
      </w:pPr>
      <w:r>
        <w:rPr>
          <w:szCs w:val="21"/>
        </w:rPr>
        <w:t xml:space="preserve">a) </w:t>
      </w:r>
      <w:r>
        <w:rPr>
          <w:rFonts w:hint="eastAsia"/>
          <w:szCs w:val="21"/>
        </w:rPr>
        <w:t>对于拉伸试验中通常涉及的少量平行结果</w:t>
      </w:r>
      <w:r>
        <w:rPr>
          <w:szCs w:val="21"/>
        </w:rPr>
        <w:t>(</w:t>
      </w:r>
      <w:r>
        <w:rPr>
          <w:rFonts w:hint="eastAsia"/>
          <w:szCs w:val="21"/>
        </w:rPr>
        <w:t>通常为</w:t>
      </w:r>
      <w:r>
        <w:rPr>
          <w:szCs w:val="21"/>
        </w:rPr>
        <w:t>5</w:t>
      </w:r>
      <w:r>
        <w:rPr>
          <w:rFonts w:hint="eastAsia"/>
          <w:szCs w:val="21"/>
        </w:rPr>
        <w:t>个甚至</w:t>
      </w:r>
      <w:r>
        <w:rPr>
          <w:szCs w:val="21"/>
        </w:rPr>
        <w:t>3</w:t>
      </w:r>
      <w:r>
        <w:rPr>
          <w:rFonts w:hint="eastAsia"/>
          <w:szCs w:val="21"/>
        </w:rPr>
        <w:t>个</w:t>
      </w:r>
      <w:r>
        <w:rPr>
          <w:szCs w:val="21"/>
        </w:rPr>
        <w:t>)</w:t>
      </w:r>
      <w:r>
        <w:rPr>
          <w:rFonts w:hint="eastAsia"/>
          <w:szCs w:val="21"/>
        </w:rPr>
        <w:t>，中位数不受可能出现的任何极值的影响</w:t>
      </w:r>
      <w:r>
        <w:rPr>
          <w:szCs w:val="21"/>
        </w:rPr>
        <w:t>;</w:t>
      </w:r>
    </w:p>
    <w:p>
      <w:pPr>
        <w:spacing w:before="156" w:beforeLines="50" w:after="156" w:afterLines="50"/>
        <w:ind w:firstLine="420" w:firstLineChars="200"/>
        <w:rPr>
          <w:szCs w:val="21"/>
        </w:rPr>
      </w:pPr>
      <w:r>
        <w:rPr>
          <w:szCs w:val="21"/>
        </w:rPr>
        <w:t xml:space="preserve">b) </w:t>
      </w:r>
      <w:r>
        <w:rPr>
          <w:rFonts w:hint="eastAsia"/>
          <w:szCs w:val="21"/>
        </w:rPr>
        <w:t>对于少量的平行结果，不需要任何计算就可以通过检查推断出中位数</w:t>
      </w:r>
      <w:r>
        <w:rPr>
          <w:szCs w:val="21"/>
        </w:rPr>
        <w:t>;</w:t>
      </w:r>
    </w:p>
    <w:p>
      <w:pPr>
        <w:spacing w:before="156" w:beforeLines="50" w:after="156" w:afterLines="50"/>
        <w:ind w:firstLine="420" w:firstLineChars="200"/>
        <w:rPr>
          <w:szCs w:val="21"/>
        </w:rPr>
      </w:pPr>
      <w:r>
        <w:rPr>
          <w:szCs w:val="21"/>
        </w:rPr>
        <w:t xml:space="preserve">c) </w:t>
      </w:r>
      <w:r>
        <w:rPr>
          <w:rFonts w:hint="eastAsia"/>
          <w:szCs w:val="21"/>
        </w:rPr>
        <w:t>个体观察值大于或小于中位数的概率相等。</w:t>
      </w:r>
    </w:p>
    <w:p>
      <w:pPr>
        <w:pStyle w:val="51"/>
        <w:spacing w:before="156" w:after="156"/>
      </w:pPr>
      <w:r>
        <w:rPr>
          <w:rFonts w:hint="eastAsia"/>
        </w:rPr>
        <w:t>众数</w:t>
      </w:r>
    </w:p>
    <w:p>
      <w:pPr>
        <w:spacing w:before="156" w:beforeLines="50" w:after="156" w:afterLines="50"/>
        <w:ind w:firstLine="420" w:firstLineChars="200"/>
        <w:rPr>
          <w:szCs w:val="21"/>
        </w:rPr>
      </w:pPr>
      <w:r>
        <w:rPr>
          <w:rFonts w:hint="eastAsia"/>
          <w:szCs w:val="21"/>
        </w:rPr>
        <w:t>密度分布函数的众数</w:t>
      </w:r>
      <w:r>
        <w:rPr>
          <w:szCs w:val="21"/>
        </w:rPr>
        <w:t>(</w:t>
      </w:r>
      <w:r>
        <w:rPr>
          <w:rFonts w:hint="eastAsia"/>
          <w:szCs w:val="21"/>
        </w:rPr>
        <w:t>见</w:t>
      </w:r>
      <w:r>
        <w:rPr>
          <w:szCs w:val="21"/>
        </w:rPr>
        <w:t>3.6)</w:t>
      </w:r>
      <w:r>
        <w:rPr>
          <w:rFonts w:hint="eastAsia"/>
          <w:szCs w:val="21"/>
        </w:rPr>
        <w:t>为函数最大值出现的横坐标值。虽然在实践中很少使用，但这里引用它是为了完整，因为它被用来表征</w:t>
      </w:r>
      <w:r>
        <w:rPr>
          <w:szCs w:val="21"/>
        </w:rPr>
        <w:t>Kase</w:t>
      </w:r>
      <w:r>
        <w:rPr>
          <w:rFonts w:hint="eastAsia"/>
          <w:szCs w:val="21"/>
        </w:rPr>
        <w:t>基于</w:t>
      </w:r>
      <w:r>
        <w:rPr>
          <w:szCs w:val="21"/>
        </w:rPr>
        <w:t>Fisher</w:t>
      </w:r>
      <w:r>
        <w:rPr>
          <w:rFonts w:hint="eastAsia"/>
          <w:szCs w:val="21"/>
        </w:rPr>
        <w:t>和</w:t>
      </w:r>
      <w:r>
        <w:rPr>
          <w:szCs w:val="21"/>
        </w:rPr>
        <w:t>Tippet[1]</w:t>
      </w:r>
      <w:r>
        <w:rPr>
          <w:rFonts w:hint="eastAsia"/>
          <w:szCs w:val="21"/>
        </w:rPr>
        <w:t>的早期工作而阐述的双指数分布。</w:t>
      </w:r>
    </w:p>
    <w:p>
      <w:pPr>
        <w:spacing w:before="156" w:beforeLines="50" w:after="156" w:afterLines="50"/>
        <w:ind w:firstLine="420" w:firstLineChars="200"/>
        <w:rPr>
          <w:szCs w:val="21"/>
        </w:rPr>
      </w:pPr>
      <w:r>
        <w:rPr>
          <w:rFonts w:hint="eastAsia"/>
          <w:szCs w:val="21"/>
        </w:rPr>
        <w:t>橡胶工业中几乎所有的分布都是单峰的，即只有一个最大值。然而，在一个过程中有两个或多个不同的机制同时发生时可能出现双峰</w:t>
      </w:r>
      <w:r>
        <w:rPr>
          <w:szCs w:val="21"/>
        </w:rPr>
        <w:t>(</w:t>
      </w:r>
      <w:r>
        <w:rPr>
          <w:rFonts w:hint="eastAsia"/>
          <w:szCs w:val="21"/>
        </w:rPr>
        <w:t>具有两个最大值</w:t>
      </w:r>
      <w:r>
        <w:rPr>
          <w:szCs w:val="21"/>
        </w:rPr>
        <w:t>)</w:t>
      </w:r>
      <w:r>
        <w:rPr>
          <w:rFonts w:hint="eastAsia"/>
          <w:szCs w:val="21"/>
        </w:rPr>
        <w:t>或多峰分布。因此，在接近橡胶玻璃化转变温度下进行的拉伸试验可能会导致脆性破坏和橡胶态破坏同时出现。这种混合模式的失效最好的分析方法是将结果从两种失效型式中分离出来，并分别进行分析。图</w:t>
      </w:r>
      <w:r>
        <w:rPr>
          <w:szCs w:val="21"/>
        </w:rPr>
        <w:t>4</w:t>
      </w:r>
      <w:r>
        <w:rPr>
          <w:rFonts w:hint="eastAsia"/>
          <w:szCs w:val="21"/>
        </w:rPr>
        <w:t>给出了一个双峰分布的例子。</w:t>
      </w:r>
    </w:p>
    <w:p>
      <w:pPr>
        <w:pStyle w:val="23"/>
      </w:pPr>
      <w:r>
        <w:drawing>
          <wp:inline distT="0" distB="0" distL="0" distR="0">
            <wp:extent cx="5274945" cy="4032885"/>
            <wp:effectExtent l="0" t="0" r="1905" b="571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945" cy="4032885"/>
                    </a:xfrm>
                    <a:prstGeom prst="rect">
                      <a:avLst/>
                    </a:prstGeom>
                    <a:noFill/>
                    <a:ln>
                      <a:noFill/>
                    </a:ln>
                  </pic:spPr>
                </pic:pic>
              </a:graphicData>
            </a:graphic>
          </wp:inline>
        </w:drawing>
      </w:r>
    </w:p>
    <w:p>
      <w:pPr>
        <w:ind w:firstLine="360" w:firstLineChars="200"/>
        <w:jc w:val="left"/>
        <w:rPr>
          <w:sz w:val="18"/>
          <w:szCs w:val="18"/>
        </w:rPr>
      </w:pPr>
      <w:r>
        <w:rPr>
          <w:rFonts w:hint="eastAsia"/>
          <w:sz w:val="18"/>
          <w:szCs w:val="18"/>
        </w:rPr>
        <w:t>说明：</w:t>
      </w:r>
    </w:p>
    <w:p>
      <w:pPr>
        <w:ind w:firstLine="360" w:firstLineChars="200"/>
        <w:jc w:val="left"/>
        <w:rPr>
          <w:sz w:val="18"/>
          <w:szCs w:val="18"/>
        </w:rPr>
      </w:pPr>
      <w:r>
        <w:rPr>
          <w:sz w:val="18"/>
          <w:szCs w:val="18"/>
        </w:rPr>
        <w:t xml:space="preserve">      X —— </w:t>
      </w:r>
      <w:r>
        <w:rPr>
          <w:rFonts w:hint="eastAsia"/>
          <w:sz w:val="18"/>
          <w:szCs w:val="18"/>
        </w:rPr>
        <w:t>参数</w:t>
      </w:r>
      <w:r>
        <w:rPr>
          <w:sz w:val="18"/>
          <w:szCs w:val="18"/>
        </w:rPr>
        <w:t>y</w:t>
      </w:r>
      <w:r>
        <w:rPr>
          <w:rFonts w:hint="eastAsia"/>
          <w:sz w:val="18"/>
          <w:szCs w:val="18"/>
        </w:rPr>
        <w:t>（见附录</w:t>
      </w:r>
      <w:r>
        <w:rPr>
          <w:sz w:val="18"/>
          <w:szCs w:val="18"/>
        </w:rPr>
        <w:t>A</w:t>
      </w:r>
      <w:r>
        <w:rPr>
          <w:rFonts w:hint="eastAsia"/>
          <w:sz w:val="18"/>
          <w:szCs w:val="18"/>
        </w:rPr>
        <w:t>）</w:t>
      </w:r>
    </w:p>
    <w:p>
      <w:pPr>
        <w:ind w:firstLine="360" w:firstLineChars="200"/>
        <w:jc w:val="left"/>
        <w:rPr>
          <w:sz w:val="18"/>
          <w:szCs w:val="18"/>
        </w:rPr>
      </w:pPr>
      <w:r>
        <w:rPr>
          <w:sz w:val="18"/>
          <w:szCs w:val="18"/>
        </w:rPr>
        <w:t xml:space="preserve">      Y —— </w:t>
      </w:r>
      <w:r>
        <w:rPr>
          <w:rFonts w:hint="eastAsia"/>
          <w:sz w:val="18"/>
          <w:szCs w:val="18"/>
        </w:rPr>
        <w:t>概率</w:t>
      </w:r>
    </w:p>
    <w:p>
      <w:pPr>
        <w:pStyle w:val="129"/>
      </w:pPr>
      <w:r>
        <w:rPr>
          <w:rFonts w:hint="eastAsia" w:hAnsi="黑体"/>
          <w:szCs w:val="21"/>
        </w:rPr>
        <w:t>双峰密度函数</w:t>
      </w:r>
    </w:p>
    <w:p>
      <w:pPr>
        <w:pStyle w:val="51"/>
        <w:spacing w:before="156" w:after="156"/>
      </w:pPr>
      <w:r>
        <w:rPr>
          <w:rFonts w:hint="eastAsia"/>
        </w:rPr>
        <w:t>相互关系</w:t>
      </w:r>
    </w:p>
    <w:p>
      <w:pPr>
        <w:spacing w:before="156" w:beforeLines="50" w:after="156" w:afterLines="50"/>
        <w:ind w:firstLine="420" w:firstLineChars="200"/>
        <w:rPr>
          <w:szCs w:val="21"/>
        </w:rPr>
      </w:pPr>
      <w:r>
        <w:rPr>
          <w:rFonts w:hint="eastAsia"/>
          <w:szCs w:val="21"/>
        </w:rPr>
        <w:t>从这些不同的集中趋势度量的定义可以清楚地看出，对于对称分布：</w:t>
      </w:r>
    </w:p>
    <w:p>
      <w:pPr>
        <w:spacing w:before="156" w:beforeLines="50" w:after="156" w:afterLines="50"/>
        <w:ind w:firstLine="1260" w:firstLineChars="600"/>
        <w:rPr>
          <w:szCs w:val="21"/>
        </w:rPr>
      </w:pPr>
      <w:r>
        <w:rPr>
          <w:rFonts w:hint="eastAsia"/>
          <w:szCs w:val="21"/>
        </w:rPr>
        <w:t>平均数</w:t>
      </w:r>
      <w:r>
        <w:rPr>
          <w:szCs w:val="21"/>
        </w:rPr>
        <w:t>=</w:t>
      </w:r>
      <w:r>
        <w:rPr>
          <w:rFonts w:hint="eastAsia"/>
          <w:szCs w:val="21"/>
        </w:rPr>
        <w:t>中位数</w:t>
      </w:r>
      <w:r>
        <w:rPr>
          <w:szCs w:val="21"/>
        </w:rPr>
        <w:t>=</w:t>
      </w:r>
      <w:r>
        <w:rPr>
          <w:rFonts w:hint="eastAsia"/>
          <w:szCs w:val="21"/>
        </w:rPr>
        <w:t>众数</w:t>
      </w:r>
    </w:p>
    <w:p>
      <w:pPr>
        <w:spacing w:before="156" w:beforeLines="50" w:after="156" w:afterLines="50"/>
        <w:ind w:firstLine="420" w:firstLineChars="200"/>
        <w:rPr>
          <w:szCs w:val="21"/>
        </w:rPr>
      </w:pPr>
      <w:r>
        <w:rPr>
          <w:rFonts w:hint="eastAsia"/>
          <w:szCs w:val="21"/>
        </w:rPr>
        <w:t>非对称分布的相互关系必然更为复杂，双指数分布和威布尔分布的相互关系在附录</w:t>
      </w:r>
      <w:r>
        <w:rPr>
          <w:szCs w:val="21"/>
        </w:rPr>
        <w:t>C</w:t>
      </w:r>
      <w:r>
        <w:rPr>
          <w:rFonts w:hint="eastAsia"/>
          <w:szCs w:val="21"/>
        </w:rPr>
        <w:t>中给出。</w:t>
      </w:r>
    </w:p>
    <w:p>
      <w:pPr>
        <w:pStyle w:val="46"/>
        <w:spacing w:before="156" w:after="156"/>
      </w:pPr>
      <w:r>
        <w:rPr>
          <w:rFonts w:hint="eastAsia"/>
        </w:rPr>
        <w:t>离散的度量</w:t>
      </w:r>
    </w:p>
    <w:p>
      <w:pPr>
        <w:pStyle w:val="51"/>
        <w:spacing w:before="156" w:after="156"/>
      </w:pPr>
      <w:r>
        <w:rPr>
          <w:rFonts w:hint="eastAsia"/>
        </w:rPr>
        <w:t>概述</w:t>
      </w:r>
    </w:p>
    <w:p>
      <w:pPr>
        <w:spacing w:before="156" w:beforeLines="50" w:after="156" w:afterLines="50"/>
        <w:ind w:firstLine="420" w:firstLineChars="200"/>
        <w:rPr>
          <w:szCs w:val="21"/>
        </w:rPr>
      </w:pPr>
      <w:r>
        <w:rPr>
          <w:rFonts w:hint="eastAsia"/>
          <w:szCs w:val="21"/>
        </w:rPr>
        <w:t xml:space="preserve">正如知道一组数字的平均值很有用一样，知道它们的分散（即离散）也很重要。围绕着平均值的数字越多，两组数字之间、或者例如实验值与规范要求之间的差别就越小。 </w:t>
      </w:r>
    </w:p>
    <w:p>
      <w:pPr>
        <w:spacing w:before="156" w:beforeLines="50" w:after="156" w:afterLines="50"/>
        <w:ind w:firstLine="420" w:firstLineChars="200"/>
        <w:rPr>
          <w:szCs w:val="21"/>
        </w:rPr>
      </w:pPr>
      <w:r>
        <w:rPr>
          <w:rFonts w:hint="eastAsia"/>
          <w:szCs w:val="21"/>
        </w:rPr>
        <w:t>方差和标准差与平均值一起使用，而极差则通常与中位数和众数一起使用。此外，四分位数表示</w:t>
      </w:r>
      <w:r>
        <w:rPr>
          <w:szCs w:val="21"/>
        </w:rPr>
        <w:t>25%</w:t>
      </w:r>
      <w:r>
        <w:rPr>
          <w:rFonts w:hint="eastAsia"/>
          <w:szCs w:val="21"/>
        </w:rPr>
        <w:t>的数据高还是低，百分位数表示规定的百分数是高或是低。</w:t>
      </w:r>
    </w:p>
    <w:p>
      <w:pPr>
        <w:pStyle w:val="51"/>
        <w:spacing w:before="156" w:after="156"/>
      </w:pPr>
      <w:r>
        <w:rPr>
          <w:rFonts w:hint="eastAsia"/>
        </w:rPr>
        <w:t>标准差</w:t>
      </w:r>
    </w:p>
    <w:p>
      <w:pPr>
        <w:pStyle w:val="118"/>
        <w:ind w:left="0"/>
      </w:pPr>
      <w:r>
        <w:rPr>
          <w:rFonts w:hint="eastAsia"/>
        </w:rPr>
        <w:t>根据定义，具有</w:t>
      </w:r>
      <w:r>
        <w:rPr>
          <w:rFonts w:ascii="Times New Roman"/>
          <w:i/>
        </w:rPr>
        <w:t>x</w:t>
      </w:r>
      <w:r>
        <w:rPr>
          <w:i/>
          <w:vertAlign w:val="subscript"/>
        </w:rPr>
        <w:t>i</w:t>
      </w:r>
      <w:r>
        <w:rPr>
          <w:rFonts w:hint="eastAsia"/>
        </w:rPr>
        <w:t>值的结果样本的标准差</w:t>
      </w:r>
      <w:r>
        <w:rPr>
          <w:rFonts w:ascii="Times New Roman"/>
          <w:i/>
        </w:rPr>
        <w:t>s</w:t>
      </w:r>
      <w:r>
        <w:t>'</w:t>
      </w:r>
      <w:r>
        <w:rPr>
          <w:rFonts w:hint="eastAsia"/>
        </w:rPr>
        <w:t>等于每个值与其平均值</w:t>
      </w:r>
      <w:r>
        <w:t>(</w:t>
      </w:r>
      <w:r>
        <w:rPr/>
        <w:sym w:font="Symbol" w:char="0060"/>
      </w:r>
      <w:r>
        <w:rPr>
          <w:rFonts w:ascii="Times New Roman"/>
          <w:i/>
        </w:rPr>
        <w:t>x</w:t>
      </w:r>
      <w:r>
        <w:t>)</w:t>
      </w:r>
      <w:r>
        <w:rPr>
          <w:rFonts w:hint="eastAsia"/>
        </w:rPr>
        <w:t>差的平方的平均数的平方根，由式（5）给出。</w:t>
      </w:r>
    </w:p>
    <w:p>
      <w:pPr>
        <w:pStyle w:val="23"/>
      </w:pPr>
      <w:r>
        <w:fldChar w:fldCharType="begin"/>
      </w:r>
      <w:r>
        <w:instrText xml:space="preserve"> QUOTE </w:instrText>
      </w:r>
      <m:oMath>
        <m:r>
          <m:rPr>
            <m:sty m:val="p"/>
          </m:rPr>
          <w:rPr>
            <w:rFonts w:ascii="Cambria Math" w:hAnsi="Cambria Math" w:cs="Cambria Math"/>
          </w:rPr>
          <m:t xml:space="preserve">y</m:t>
        </m:r>
        <m:r>
          <m:rPr>
            <m:sty m:val="p"/>
          </m:rPr>
          <w:rPr>
            <w:rFonts w:ascii="Cambria Math" w:hAnsi="Cambria Math" w:eastAsia="Cambria Math" w:cs="Cambria Math"/>
          </w:rPr>
          <m:t xml:space="preserve">=</m:t>
        </m:r>
        <m:sSup>
          <m:sSupPr>
            <m:ctrlPr>
              <w:rPr>
                <w:rFonts w:ascii="Cambria Math" w:hAnsi="Cambria Math" w:eastAsia="Cambria Math" w:cs="Cambria Math"/>
                <w:szCs w:val="22"/>
              </w:rPr>
            </m:ctrlPr>
          </m:sSupPr>
          <m:e>
            <m:d>
              <m:dPr>
                <m:begChr m:val="["/>
                <m:endChr m:val="]"/>
                <m:ctrlPr>
                  <w:rPr>
                    <w:rFonts w:ascii="Cambria Math" w:hAnsi="Cambria Math" w:eastAsia="Cambria Math" w:cs="Cambria Math"/>
                    <w:szCs w:val="22"/>
                  </w:rPr>
                </m:ctrlPr>
              </m:dPr>
              <m:e>
                <m:f>
                  <m:fPr>
                    <m:ctrlPr>
                      <w:rPr>
                        <w:rFonts w:ascii="Cambria Math" w:hAnsi="Cambria Math" w:eastAsia="Cambria Math" w:cs="Cambria Math"/>
                        <w:i/>
                        <w:szCs w:val="22"/>
                      </w:rPr>
                    </m:ctrlPr>
                  </m:fPr>
                  <m:num>
                    <m:nary>
                      <m:naryPr>
                        <m:chr m:val="∑"/>
                        <m:limLoc m:val="undOvr"/>
                        <m:subHide m:val="1"/>
                        <m:supHide m:val="1"/>
                        <m:ctrlPr>
                          <w:rPr>
                            <w:rFonts w:ascii="Cambria Math" w:hAnsi="Cambria Math" w:eastAsia="Cambria Math" w:cs="Cambria Math"/>
                            <w:i/>
                            <w:szCs w:val="22"/>
                          </w:rPr>
                        </m:ctrlPr>
                      </m:naryPr>
                      <m:sub>
                        <m:ctrlPr>
                          <w:rPr>
                            <w:rFonts w:ascii="Cambria Math" w:hAnsi="Cambria Math" w:eastAsia="Cambria Math" w:cs="Cambria Math"/>
                            <w:i/>
                            <w:szCs w:val="22"/>
                          </w:rPr>
                        </m:ctrlPr>
                      </m:sub>
                      <m:sup>
                        <m:ctrlPr>
                          <w:rPr>
                            <w:rFonts w:ascii="Cambria Math" w:hAnsi="Cambria Math" w:eastAsia="Cambria Math" w:cs="Cambria Math"/>
                            <w:i/>
                            <w:szCs w:val="22"/>
                          </w:rPr>
                        </m:ctrlPr>
                      </m:sup>
                      <m:e>
                        <m:r>
                          <m:rPr>
                            <m:sty m:val="p"/>
                          </m:rPr>
                          <w:rPr>
                            <w:rFonts w:ascii="Cambria Math" w:hAnsi="Cambria Math" w:eastAsia="Cambria Math" w:cs="Cambria Math"/>
                          </w:rPr>
                          <m:t xml:space="preserve">(</m:t>
                        </m:r>
                        <m:sSup>
                          <m:sSupPr>
                            <m:ctrlPr>
                              <w:rPr>
                                <w:rFonts w:ascii="Cambria Math" w:hAnsi="Cambria Math" w:eastAsia="Cambria Math" w:cs="Cambria Math"/>
                                <w:i/>
                                <w:szCs w:val="22"/>
                              </w:rPr>
                            </m:ctrlPr>
                          </m:sSupPr>
                          <m:e>
                            <m:sSub>
                              <m:sSubPr>
                                <m:ctrlPr>
                                  <w:rPr>
                                    <w:rFonts w:ascii="Cambria Math" w:hAnsi="Cambria Math" w:eastAsia="Cambria Math" w:cs="Cambria Math"/>
                                    <w:i/>
                                    <w:szCs w:val="22"/>
                                  </w:rPr>
                                </m:ctrlPr>
                              </m:sSubPr>
                              <m:e>
                                <m:r>
                                  <m:rPr>
                                    <m:sty m:val="p"/>
                                  </m:rPr>
                                  <w:rPr>
                                    <w:rFonts w:ascii="Cambria Math" w:hAnsi="Cambria Math" w:eastAsia="Cambria Math" w:cs="Cambria Math"/>
                                  </w:rPr>
                                  <m:t xml:space="preserve">x</m:t>
                                </m:r>
                                <m:ctrlPr>
                                  <w:rPr>
                                    <w:rFonts w:ascii="Cambria Math" w:hAnsi="Cambria Math" w:eastAsia="Cambria Math" w:cs="Cambria Math"/>
                                    <w:i/>
                                    <w:szCs w:val="22"/>
                                  </w:rPr>
                                </m:ctrlPr>
                              </m:e>
                              <m:sub>
                                <m:r>
                                  <m:rPr>
                                    <m:sty m:val="p"/>
                                  </m:rPr>
                                  <w:rPr>
                                    <w:rFonts w:ascii="Cambria Math" w:hAnsi="Cambria Math" w:eastAsia="Cambria Math" w:cs="Cambria Math"/>
                                  </w:rPr>
                                  <m:t xml:space="preserve">i</m:t>
                                </m:r>
                                <m:ctrlPr>
                                  <w:rPr>
                                    <w:rFonts w:ascii="Cambria Math" w:hAnsi="Cambria Math" w:eastAsia="Cambria Math" w:cs="Cambria Math"/>
                                    <w:i/>
                                    <w:szCs w:val="22"/>
                                  </w:rPr>
                                </m:ctrlPr>
                              </m:sub>
                            </m:sSub>
                            <m:r>
                              <m:rPr>
                                <m:sty m:val="p"/>
                              </m:rPr>
                              <w:rPr>
                                <w:rFonts w:ascii="Cambria Math" w:hAnsi="Cambria Math" w:eastAsia="Cambria Math" w:cs="Cambria Math"/>
                              </w:rPr>
                              <m:t xml:space="preserve">−</m:t>
                            </m:r>
                            <m:acc>
                              <m:accPr>
                                <m:chr m:val="̅"/>
                                <m:ctrlPr>
                                  <w:rPr>
                                    <w:rFonts w:ascii="Cambria Math" w:hAnsi="Cambria Math" w:eastAsia="Cambria Math" w:cs="Cambria Math"/>
                                    <w:i/>
                                    <w:szCs w:val="22"/>
                                  </w:rPr>
                                </m:ctrlPr>
                              </m:accPr>
                              <m:e>
                                <m:r>
                                  <m:rPr>
                                    <m:sty m:val="p"/>
                                  </m:rPr>
                                  <w:rPr>
                                    <w:rFonts w:ascii="Cambria Math" w:hAnsi="Cambria Math" w:eastAsia="Cambria Math" w:cs="Cambria Math"/>
                                  </w:rPr>
                                  <m:t xml:space="preserve">x</m:t>
                                </m:r>
                                <m:ctrlPr>
                                  <w:rPr>
                                    <w:rFonts w:ascii="Cambria Math" w:hAnsi="Cambria Math" w:eastAsia="Cambria Math" w:cs="Cambria Math"/>
                                    <w:i/>
                                    <w:szCs w:val="22"/>
                                  </w:rPr>
                                </m:ctrlPr>
                              </m:e>
                            </m:acc>
                            <m:r>
                              <m:rPr>
                                <m:sty m:val="p"/>
                              </m:rPr>
                              <w:rPr>
                                <w:rFonts w:ascii="Cambria Math" w:hAnsi="Cambria Math" w:eastAsia="Cambria Math" w:cs="Cambria Math"/>
                              </w:rPr>
                              <m:t xml:space="preserve">)</m:t>
                            </m:r>
                            <m:ctrlPr>
                              <w:rPr>
                                <w:rFonts w:ascii="Cambria Math" w:hAnsi="Cambria Math" w:eastAsia="Cambria Math" w:cs="Cambria Math"/>
                                <w:i/>
                                <w:szCs w:val="22"/>
                              </w:rPr>
                            </m:ctrlPr>
                          </m:e>
                          <m:sup>
                            <m:r>
                              <m:rPr>
                                <m:sty m:val="p"/>
                              </m:rPr>
                              <w:rPr>
                                <w:rFonts w:ascii="Cambria Math" w:hAnsi="Cambria Math" w:eastAsia="Cambria Math" w:cs="Cambria Math"/>
                              </w:rPr>
                              <m:t xml:space="preserve">2</m:t>
                            </m:r>
                            <m:ctrlPr>
                              <w:rPr>
                                <w:rFonts w:ascii="Cambria Math" w:hAnsi="Cambria Math" w:eastAsia="Cambria Math" w:cs="Cambria Math"/>
                                <w:i/>
                                <w:szCs w:val="22"/>
                              </w:rPr>
                            </m:ctrlPr>
                          </m:sup>
                        </m:sSup>
                        <m:ctrlPr>
                          <w:rPr>
                            <w:rFonts w:ascii="Cambria Math" w:hAnsi="Cambria Math" w:eastAsia="Cambria Math" w:cs="Cambria Math"/>
                            <w:i/>
                            <w:szCs w:val="22"/>
                          </w:rPr>
                        </m:ctrlPr>
                      </m:e>
                    </m:nary>
                    <m:ctrlPr>
                      <w:rPr>
                        <w:rFonts w:ascii="Cambria Math" w:hAnsi="Cambria Math" w:eastAsia="Cambria Math" w:cs="Cambria Math"/>
                        <w:i/>
                        <w:szCs w:val="22"/>
                      </w:rPr>
                    </m:ctrlPr>
                  </m:num>
                  <m:den>
                    <m:r>
                      <m:rPr>
                        <m:sty m:val="p"/>
                      </m:rPr>
                      <w:rPr>
                        <w:rFonts w:ascii="Cambria Math" w:hAnsi="Cambria Math" w:eastAsia="Cambria Math" w:cs="Cambria Math"/>
                      </w:rPr>
                      <m:t xml:space="preserve">n</m:t>
                    </m:r>
                    <m:ctrlPr>
                      <w:rPr>
                        <w:rFonts w:ascii="Cambria Math" w:hAnsi="Cambria Math" w:eastAsia="Cambria Math" w:cs="Cambria Math"/>
                        <w:i/>
                        <w:szCs w:val="22"/>
                      </w:rPr>
                    </m:ctrlPr>
                  </m:den>
                </m:f>
                <m:ctrlPr>
                  <w:rPr>
                    <w:rFonts w:ascii="Cambria Math" w:hAnsi="Cambria Math" w:eastAsia="Cambria Math" w:cs="Cambria Math"/>
                    <w:szCs w:val="22"/>
                  </w:rPr>
                </m:ctrlPr>
              </m:e>
            </m:d>
            <m:ctrlPr>
              <w:rPr>
                <w:rFonts w:ascii="Cambria Math" w:hAnsi="Cambria Math" w:eastAsia="Cambria Math" w:cs="Cambria Math"/>
                <w:szCs w:val="22"/>
              </w:rPr>
            </m:ctrlPr>
          </m:e>
          <m:sup>
            <m:r>
              <m:rPr>
                <m:sty m:val="p"/>
              </m:rPr>
              <w:rPr>
                <w:rFonts w:ascii="Cambria Math" w:hAnsi="Cambria Math" w:eastAsia="Cambria Math" w:cs="Cambria Math"/>
              </w:rPr>
              <m:t xml:space="preserve">1/2</m:t>
            </m:r>
            <m:ctrlPr>
              <w:rPr>
                <w:rFonts w:ascii="Cambria Math" w:hAnsi="Cambria Math" w:eastAsia="Cambria Math" w:cs="Cambria Math"/>
                <w:szCs w:val="22"/>
              </w:rPr>
            </m:ctrlPr>
          </m:sup>
        </m:sSup>
      </m:oMath>
      <w:r>
        <w:instrText xml:space="preserve"> </w:instrText>
      </w:r>
      <w:r>
        <w:fldChar w:fldCharType="separate"/>
      </w:r>
      <m:oMath>
        <m:sSup>
          <m:sSupPr>
            <m:ctrlPr>
              <w:rPr>
                <w:rFonts w:ascii="Cambria Math" w:hAnsi="Cambria Math" w:cs="Cambria Math"/>
                <w:i/>
              </w:rPr>
            </m:ctrlPr>
          </m:sSupPr>
          <m:e>
            <m:r>
              <m:rPr>
                <m:sty m:val="p"/>
              </m:rPr>
              <w:rPr>
                <w:rFonts w:ascii="Cambria Math" w:hAnsi="Cambria Math" w:cs="Cambria Math"/>
              </w:rPr>
              <m:t>s</m:t>
            </m:r>
            <m:ctrlPr>
              <w:rPr>
                <w:rFonts w:ascii="Cambria Math" w:hAnsi="Cambria Math" w:cs="Cambria Math"/>
                <w:i/>
              </w:rPr>
            </m:ctrlPr>
          </m:e>
          <m:sup>
            <m:r>
              <m:rPr>
                <m:sty m:val="p"/>
              </m:rPr>
              <w:rPr>
                <w:rFonts w:ascii="Cambria Math" w:hAnsi="Cambria Math" w:cs="Cambria Math"/>
              </w:rPr>
              <m:t>'</m:t>
            </m:r>
            <m:ctrlPr>
              <w:rPr>
                <w:rFonts w:ascii="Cambria Math" w:hAnsi="Cambria Math" w:cs="Cambria Math"/>
                <w:i/>
              </w:rPr>
            </m:ctrlPr>
          </m:sup>
        </m:sSup>
        <m:r>
          <m:rPr>
            <m:sty m:val="p"/>
          </m:rPr>
          <w:rPr>
            <w:rFonts w:ascii="Cambria Math" w:hAnsi="Cambria Math" w:eastAsia="Cambria Math" w:cs="Cambria Math"/>
          </w:rPr>
          <m:t>=</m:t>
        </m:r>
        <m:sSup>
          <m:sSupPr>
            <m:ctrlPr>
              <w:rPr>
                <w:rFonts w:ascii="Cambria Math" w:hAnsi="Cambria Math" w:eastAsia="Cambria Math" w:cs="Cambria Math"/>
                <w:szCs w:val="22"/>
              </w:rPr>
            </m:ctrlPr>
          </m:sSupPr>
          <m:e>
            <m:d>
              <m:dPr>
                <m:begChr m:val="["/>
                <m:endChr m:val="]"/>
                <m:ctrlPr>
                  <w:rPr>
                    <w:rFonts w:ascii="Cambria Math" w:hAnsi="Cambria Math" w:eastAsia="Cambria Math" w:cs="Cambria Math"/>
                    <w:szCs w:val="22"/>
                  </w:rPr>
                </m:ctrlPr>
              </m:dPr>
              <m:e>
                <m:f>
                  <m:fPr>
                    <m:ctrlPr>
                      <w:rPr>
                        <w:rFonts w:ascii="Cambria Math" w:hAnsi="Cambria Math" w:eastAsia="Cambria Math" w:cs="Cambria Math"/>
                        <w:i/>
                        <w:szCs w:val="22"/>
                      </w:rPr>
                    </m:ctrlPr>
                  </m:fPr>
                  <m:num>
                    <m:nary>
                      <m:naryPr>
                        <m:chr m:val="∑"/>
                        <m:limLoc m:val="undOvr"/>
                        <m:subHide m:val="1"/>
                        <m:supHide m:val="1"/>
                        <m:ctrlPr>
                          <w:rPr>
                            <w:rFonts w:ascii="Cambria Math" w:hAnsi="Cambria Math" w:eastAsia="Cambria Math" w:cs="Cambria Math"/>
                            <w:i/>
                            <w:szCs w:val="22"/>
                          </w:rPr>
                        </m:ctrlPr>
                      </m:naryPr>
                      <m:sub>
                        <m:ctrlPr>
                          <w:rPr>
                            <w:rFonts w:ascii="Cambria Math" w:hAnsi="Cambria Math" w:eastAsia="Cambria Math" w:cs="Cambria Math"/>
                            <w:i/>
                            <w:szCs w:val="22"/>
                          </w:rPr>
                        </m:ctrlPr>
                      </m:sub>
                      <m:sup>
                        <m:ctrlPr>
                          <w:rPr>
                            <w:rFonts w:ascii="Cambria Math" w:hAnsi="Cambria Math" w:eastAsia="Cambria Math" w:cs="Cambria Math"/>
                            <w:i/>
                            <w:szCs w:val="22"/>
                          </w:rPr>
                        </m:ctrlPr>
                      </m:sup>
                      <m:e>
                        <m:r>
                          <m:rPr>
                            <m:sty m:val="p"/>
                          </m:rPr>
                          <w:rPr>
                            <w:rFonts w:ascii="Cambria Math" w:hAnsi="Cambria Math" w:eastAsia="Cambria Math" w:cs="Cambria Math"/>
                          </w:rPr>
                          <m:t>(</m:t>
                        </m:r>
                        <m:sSup>
                          <m:sSupPr>
                            <m:ctrlPr>
                              <w:rPr>
                                <w:rFonts w:ascii="Cambria Math" w:hAnsi="Cambria Math" w:eastAsia="Cambria Math" w:cs="Cambria Math"/>
                                <w:i/>
                                <w:szCs w:val="22"/>
                              </w:rPr>
                            </m:ctrlPr>
                          </m:sSupPr>
                          <m:e>
                            <m:sSub>
                              <m:sSubPr>
                                <m:ctrlPr>
                                  <w:rPr>
                                    <w:rFonts w:ascii="Cambria Math" w:hAnsi="Cambria Math" w:eastAsia="Cambria Math" w:cs="Cambria Math"/>
                                    <w:i/>
                                    <w:szCs w:val="22"/>
                                  </w:rPr>
                                </m:ctrlPr>
                              </m:sSubPr>
                              <m:e>
                                <m:r>
                                  <m:rPr>
                                    <m:sty m:val="p"/>
                                  </m:rPr>
                                  <w:rPr>
                                    <w:rFonts w:ascii="Cambria Math" w:hAnsi="Cambria Math" w:eastAsia="Cambria Math" w:cs="Cambria Math"/>
                                  </w:rPr>
                                  <m:t>x</m:t>
                                </m:r>
                                <m:ctrlPr>
                                  <w:rPr>
                                    <w:rFonts w:ascii="Cambria Math" w:hAnsi="Cambria Math" w:eastAsia="Cambria Math" w:cs="Cambria Math"/>
                                    <w:i/>
                                    <w:szCs w:val="22"/>
                                  </w:rPr>
                                </m:ctrlPr>
                              </m:e>
                              <m:sub>
                                <m:r>
                                  <m:rPr>
                                    <m:sty m:val="p"/>
                                  </m:rPr>
                                  <w:rPr>
                                    <w:rFonts w:ascii="Cambria Math" w:hAnsi="Cambria Math" w:eastAsia="Cambria Math" w:cs="Cambria Math"/>
                                  </w:rPr>
                                  <m:t>i</m:t>
                                </m:r>
                                <m:ctrlPr>
                                  <w:rPr>
                                    <w:rFonts w:ascii="Cambria Math" w:hAnsi="Cambria Math" w:eastAsia="Cambria Math" w:cs="Cambria Math"/>
                                    <w:i/>
                                    <w:szCs w:val="22"/>
                                  </w:rPr>
                                </m:ctrlPr>
                              </m:sub>
                            </m:sSub>
                            <m:r>
                              <m:rPr>
                                <m:sty m:val="p"/>
                              </m:rPr>
                              <w:rPr>
                                <w:rFonts w:ascii="Cambria Math" w:hAnsi="Cambria Math" w:eastAsia="Cambria Math" w:cs="Cambria Math"/>
                                <w:szCs w:val="22"/>
                              </w:rPr>
                              <m:t>−</m:t>
                            </m:r>
                            <m:acc>
                              <m:accPr>
                                <m:chr m:val="̅"/>
                                <m:ctrlPr>
                                  <w:rPr>
                                    <w:rFonts w:ascii="Cambria Math" w:hAnsi="Cambria Math" w:eastAsia="Cambria Math" w:cs="Cambria Math"/>
                                    <w:i/>
                                    <w:szCs w:val="22"/>
                                  </w:rPr>
                                </m:ctrlPr>
                              </m:accPr>
                              <m:e>
                                <m:r>
                                  <m:rPr>
                                    <m:sty m:val="p"/>
                                  </m:rPr>
                                  <w:rPr>
                                    <w:rFonts w:ascii="Cambria Math" w:hAnsi="Cambria Math" w:eastAsia="Cambria Math" w:cs="Cambria Math"/>
                                  </w:rPr>
                                  <m:t>x</m:t>
                                </m:r>
                                <m:ctrlPr>
                                  <w:rPr>
                                    <w:rFonts w:ascii="Cambria Math" w:hAnsi="Cambria Math" w:eastAsia="Cambria Math" w:cs="Cambria Math"/>
                                    <w:i/>
                                    <w:szCs w:val="22"/>
                                  </w:rPr>
                                </m:ctrlPr>
                              </m:e>
                            </m:acc>
                            <m:r>
                              <m:rPr>
                                <m:sty m:val="p"/>
                              </m:rPr>
                              <w:rPr>
                                <w:rFonts w:ascii="Cambria Math" w:hAnsi="Cambria Math" w:eastAsia="Cambria Math" w:cs="Cambria Math"/>
                              </w:rPr>
                              <m:t>)</m:t>
                            </m:r>
                            <m:ctrlPr>
                              <w:rPr>
                                <w:rFonts w:ascii="Cambria Math" w:hAnsi="Cambria Math" w:eastAsia="Cambria Math" w:cs="Cambria Math"/>
                                <w:i/>
                                <w:szCs w:val="22"/>
                              </w:rPr>
                            </m:ctrlPr>
                          </m:e>
                          <m:sup>
                            <m:r>
                              <m:rPr>
                                <m:sty m:val="p"/>
                              </m:rPr>
                              <w:rPr>
                                <w:rFonts w:ascii="Cambria Math" w:hAnsi="Cambria Math" w:eastAsia="Cambria Math" w:cs="Cambria Math"/>
                              </w:rPr>
                              <m:t>2</m:t>
                            </m:r>
                            <m:ctrlPr>
                              <w:rPr>
                                <w:rFonts w:ascii="Cambria Math" w:hAnsi="Cambria Math" w:eastAsia="Cambria Math" w:cs="Cambria Math"/>
                                <w:i/>
                                <w:szCs w:val="22"/>
                              </w:rPr>
                            </m:ctrlPr>
                          </m:sup>
                        </m:sSup>
                        <m:ctrlPr>
                          <w:rPr>
                            <w:rFonts w:ascii="Cambria Math" w:hAnsi="Cambria Math" w:eastAsia="Cambria Math" w:cs="Cambria Math"/>
                            <w:i/>
                            <w:szCs w:val="22"/>
                          </w:rPr>
                        </m:ctrlPr>
                      </m:e>
                    </m:nary>
                    <m:ctrlPr>
                      <w:rPr>
                        <w:rFonts w:ascii="Cambria Math" w:hAnsi="Cambria Math" w:eastAsia="Cambria Math" w:cs="Cambria Math"/>
                        <w:i/>
                        <w:szCs w:val="22"/>
                      </w:rPr>
                    </m:ctrlPr>
                  </m:num>
                  <m:den>
                    <m:r>
                      <m:rPr>
                        <m:sty m:val="p"/>
                      </m:rPr>
                      <w:rPr>
                        <w:rFonts w:ascii="Cambria Math" w:hAnsi="Cambria Math" w:eastAsia="Cambria Math" w:cs="Cambria Math"/>
                      </w:rPr>
                      <m:t>n−1</m:t>
                    </m:r>
                    <m:ctrlPr>
                      <w:rPr>
                        <w:rFonts w:ascii="Cambria Math" w:hAnsi="Cambria Math" w:eastAsia="Cambria Math" w:cs="Cambria Math"/>
                        <w:i/>
                        <w:szCs w:val="22"/>
                      </w:rPr>
                    </m:ctrlPr>
                  </m:den>
                </m:f>
                <m:ctrlPr>
                  <w:rPr>
                    <w:rFonts w:ascii="Cambria Math" w:hAnsi="Cambria Math" w:eastAsia="Cambria Math" w:cs="Cambria Math"/>
                    <w:szCs w:val="22"/>
                  </w:rPr>
                </m:ctrlPr>
              </m:e>
            </m:d>
            <m:ctrlPr>
              <w:rPr>
                <w:rFonts w:ascii="Cambria Math" w:hAnsi="Cambria Math" w:eastAsia="Cambria Math" w:cs="Cambria Math"/>
                <w:szCs w:val="22"/>
              </w:rPr>
            </m:ctrlPr>
          </m:e>
          <m:sup>
            <m:r>
              <m:rPr>
                <m:sty m:val="p"/>
              </m:rPr>
              <w:rPr>
                <w:rFonts w:ascii="Cambria Math" w:hAnsi="Cambria Math" w:eastAsia="Cambria Math" w:cs="Cambria Math"/>
              </w:rPr>
              <m:t>1/2</m:t>
            </m:r>
            <m:ctrlPr>
              <w:rPr>
                <w:rFonts w:ascii="Cambria Math" w:hAnsi="Cambria Math" w:eastAsia="Cambria Math" w:cs="Cambria Math"/>
                <w:szCs w:val="22"/>
              </w:rPr>
            </m:ctrlPr>
          </m:sup>
        </m:sSup>
      </m:oMath>
      <w:r>
        <w:fldChar w:fldCharType="end"/>
      </w:r>
      <w:r>
        <w:t xml:space="preserve">                                                </w:t>
      </w:r>
      <w:r>
        <w:rPr>
          <w:rFonts w:hint="eastAsia"/>
        </w:rPr>
        <w:t xml:space="preserve">    </w:t>
      </w:r>
      <w:r>
        <w:t xml:space="preserve"> </w:t>
      </w:r>
      <w:commentRangeStart w:id="0"/>
      <w:r>
        <w:t xml:space="preserve">          (5)</w:t>
      </w:r>
      <w:commentRangeEnd w:id="0"/>
      <w:r>
        <w:rPr>
          <w:rStyle w:val="39"/>
          <w:rFonts w:ascii="Times New Roman"/>
          <w:kern w:val="2"/>
        </w:rPr>
        <w:commentReference w:id="0"/>
      </w:r>
    </w:p>
    <w:p>
      <w:pPr>
        <w:pStyle w:val="23"/>
        <w:rPr>
          <w:rFonts w:ascii="Times New Roman"/>
        </w:rPr>
      </w:pPr>
      <w:r>
        <w:rPr>
          <w:rFonts w:ascii="Times New Roman"/>
        </w:rPr>
        <w:t>这里用符号</w:t>
      </w:r>
      <w:r>
        <w:rPr>
          <w:rFonts w:ascii="Times New Roman"/>
          <w:i/>
        </w:rPr>
        <w:t>s</w:t>
      </w:r>
      <w:r>
        <w:rPr>
          <w:rFonts w:ascii="Times New Roman"/>
        </w:rPr>
        <w:sym w:font="Symbol" w:char="00A2"/>
      </w:r>
      <w:r>
        <w:rPr>
          <w:rFonts w:ascii="Times New Roman"/>
        </w:rPr>
        <w:t>代表</w:t>
      </w:r>
      <w:r>
        <w:rPr>
          <w:rFonts w:ascii="Times New Roman"/>
          <w:i/>
        </w:rPr>
        <w:t>n</w:t>
      </w:r>
      <w:r>
        <w:rPr>
          <w:rFonts w:ascii="Times New Roman"/>
        </w:rPr>
        <w:t>个结果样本的标准差。如果这个样本对于取样的总体有代表性，那么，真标准差</w:t>
      </w:r>
      <w:r>
        <w:rPr>
          <w:rFonts w:ascii="Times New Roman"/>
          <w:i/>
          <w:szCs w:val="21"/>
        </w:rPr>
        <w:t>σ</w:t>
      </w:r>
      <w:r>
        <w:rPr>
          <w:rFonts w:ascii="Times New Roman"/>
        </w:rPr>
        <w:t>就能借助将其与进行了贝塞尔Bessel修正的公式(5)定义的统计量</w:t>
      </w:r>
      <w:r>
        <w:rPr>
          <w:rFonts w:ascii="Times New Roman"/>
          <w:i/>
        </w:rPr>
        <w:t>s</w:t>
      </w:r>
      <w:r>
        <w:rPr>
          <w:rFonts w:ascii="Times New Roman"/>
        </w:rPr>
        <w:t>等同来估计。</w:t>
      </w:r>
      <w:r>
        <w:rPr>
          <w:rFonts w:ascii="Times New Roman"/>
          <w:i/>
        </w:rPr>
        <w:t>s</w:t>
      </w:r>
      <w:r>
        <w:rPr>
          <w:rFonts w:ascii="Times New Roman"/>
        </w:rPr>
        <w:t>由式（</w:t>
      </w:r>
      <w:r>
        <w:rPr>
          <w:rFonts w:hint="eastAsia" w:ascii="Times New Roman"/>
        </w:rPr>
        <w:t>6）</w:t>
      </w:r>
      <w:r>
        <w:rPr>
          <w:rFonts w:ascii="Times New Roman"/>
        </w:rPr>
        <w:t>给出：</w:t>
      </w:r>
    </w:p>
    <w:p>
      <w:pPr>
        <w:pStyle w:val="23"/>
      </w:pPr>
      <m:oMath>
        <m:r>
          <m:rPr/>
          <w:rPr>
            <w:rFonts w:ascii="Cambria Math" w:hAnsi="Cambria Math" w:cs="Cambria Math"/>
          </w:rPr>
          <m:t>s</m:t>
        </m:r>
        <m:r>
          <m:rPr>
            <m:sty m:val="p"/>
          </m:rPr>
          <w:rPr>
            <w:rFonts w:ascii="Cambria Math" w:hAnsi="Cambria Math" w:eastAsia="Cambria Math" w:cs="Cambria Math"/>
          </w:rPr>
          <m:t>=</m:t>
        </m:r>
        <m:sSup>
          <m:sSupPr>
            <m:ctrlPr>
              <w:rPr>
                <w:rFonts w:ascii="Cambria Math" w:hAnsi="Cambria Math" w:eastAsia="Cambria Math" w:cs="Cambria Math"/>
                <w:szCs w:val="22"/>
              </w:rPr>
            </m:ctrlPr>
          </m:sSupPr>
          <m:e>
            <m:d>
              <m:dPr>
                <m:begChr m:val="["/>
                <m:endChr m:val="]"/>
                <m:ctrlPr>
                  <w:rPr>
                    <w:rFonts w:ascii="Cambria Math" w:hAnsi="Cambria Math" w:eastAsia="Cambria Math" w:cs="Cambria Math"/>
                    <w:szCs w:val="22"/>
                  </w:rPr>
                </m:ctrlPr>
              </m:dPr>
              <m:e>
                <m:f>
                  <m:fPr>
                    <m:ctrlPr>
                      <w:rPr>
                        <w:rFonts w:ascii="Cambria Math" w:hAnsi="Cambria Math" w:eastAsia="Cambria Math" w:cs="Cambria Math"/>
                        <w:i/>
                        <w:szCs w:val="22"/>
                      </w:rPr>
                    </m:ctrlPr>
                  </m:fPr>
                  <m:num>
                    <m:nary>
                      <m:naryPr>
                        <m:chr m:val="∑"/>
                        <m:limLoc m:val="undOvr"/>
                        <m:subHide m:val="1"/>
                        <m:supHide m:val="1"/>
                        <m:ctrlPr>
                          <w:rPr>
                            <w:rFonts w:ascii="Cambria Math" w:hAnsi="Cambria Math" w:eastAsia="Cambria Math" w:cs="Cambria Math"/>
                            <w:i/>
                            <w:szCs w:val="22"/>
                          </w:rPr>
                        </m:ctrlPr>
                      </m:naryPr>
                      <m:sub>
                        <m:ctrlPr>
                          <w:rPr>
                            <w:rFonts w:ascii="Cambria Math" w:hAnsi="Cambria Math" w:eastAsia="Cambria Math" w:cs="Cambria Math"/>
                            <w:i/>
                            <w:szCs w:val="22"/>
                          </w:rPr>
                        </m:ctrlPr>
                      </m:sub>
                      <m:sup>
                        <m:ctrlPr>
                          <w:rPr>
                            <w:rFonts w:ascii="Cambria Math" w:hAnsi="Cambria Math" w:eastAsia="Cambria Math" w:cs="Cambria Math"/>
                            <w:i/>
                            <w:szCs w:val="22"/>
                          </w:rPr>
                        </m:ctrlPr>
                      </m:sup>
                      <m:e>
                        <m:r>
                          <m:rPr/>
                          <w:rPr>
                            <w:rFonts w:ascii="Cambria Math" w:hAnsi="Cambria Math" w:eastAsia="Cambria Math" w:cs="Cambria Math"/>
                          </w:rPr>
                          <m:t>(</m:t>
                        </m:r>
                        <m:sSup>
                          <m:sSupPr>
                            <m:ctrlPr>
                              <w:rPr>
                                <w:rFonts w:ascii="Cambria Math" w:hAnsi="Cambria Math" w:eastAsia="Cambria Math" w:cs="Cambria Math"/>
                                <w:i/>
                                <w:szCs w:val="22"/>
                              </w:rPr>
                            </m:ctrlPr>
                          </m:sSupPr>
                          <m:e>
                            <m:sSub>
                              <m:sSubPr>
                                <m:ctrlPr>
                                  <w:rPr>
                                    <w:rFonts w:ascii="Cambria Math" w:hAnsi="Cambria Math" w:eastAsia="Cambria Math" w:cs="Cambria Math"/>
                                    <w:i/>
                                    <w:szCs w:val="22"/>
                                  </w:rPr>
                                </m:ctrlPr>
                              </m:sSubPr>
                              <m:e>
                                <m:r>
                                  <m:rPr/>
                                  <w:rPr>
                                    <w:rFonts w:ascii="Cambria Math" w:hAnsi="Cambria Math" w:eastAsia="Cambria Math" w:cs="Cambria Math"/>
                                  </w:rPr>
                                  <m:t>x</m:t>
                                </m:r>
                                <m:ctrlPr>
                                  <w:rPr>
                                    <w:rFonts w:ascii="Cambria Math" w:hAnsi="Cambria Math" w:eastAsia="Cambria Math" w:cs="Cambria Math"/>
                                    <w:i/>
                                    <w:szCs w:val="22"/>
                                  </w:rPr>
                                </m:ctrlPr>
                              </m:e>
                              <m:sub>
                                <m:r>
                                  <m:rPr/>
                                  <w:rPr>
                                    <w:rFonts w:ascii="Cambria Math" w:hAnsi="Cambria Math" w:eastAsia="Cambria Math" w:cs="Cambria Math"/>
                                  </w:rPr>
                                  <m:t>i</m:t>
                                </m:r>
                                <m:ctrlPr>
                                  <w:rPr>
                                    <w:rFonts w:ascii="Cambria Math" w:hAnsi="Cambria Math" w:eastAsia="Cambria Math" w:cs="Cambria Math"/>
                                    <w:i/>
                                    <w:szCs w:val="22"/>
                                  </w:rPr>
                                </m:ctrlPr>
                              </m:sub>
                            </m:sSub>
                            <m:r>
                              <m:rPr/>
                              <w:rPr>
                                <w:rFonts w:ascii="Cambria Math" w:hAnsi="Cambria Math" w:eastAsia="Cambria Math" w:cs="Cambria Math"/>
                              </w:rPr>
                              <m:t>−</m:t>
                            </m:r>
                            <m:acc>
                              <m:accPr>
                                <m:chr m:val="̅"/>
                                <m:ctrlPr>
                                  <w:rPr>
                                    <w:rFonts w:ascii="Cambria Math" w:hAnsi="Cambria Math" w:eastAsia="Cambria Math" w:cs="Cambria Math"/>
                                    <w:i/>
                                    <w:szCs w:val="22"/>
                                  </w:rPr>
                                </m:ctrlPr>
                              </m:accPr>
                              <m:e>
                                <m:r>
                                  <m:rPr/>
                                  <w:rPr>
                                    <w:rFonts w:ascii="Cambria Math" w:hAnsi="Cambria Math" w:eastAsia="Cambria Math" w:cs="Cambria Math"/>
                                  </w:rPr>
                                  <m:t>x</m:t>
                                </m:r>
                                <m:ctrlPr>
                                  <w:rPr>
                                    <w:rFonts w:ascii="Cambria Math" w:hAnsi="Cambria Math" w:eastAsia="Cambria Math" w:cs="Cambria Math"/>
                                    <w:i/>
                                    <w:szCs w:val="22"/>
                                  </w:rPr>
                                </m:ctrlPr>
                              </m:e>
                            </m:acc>
                            <m:r>
                              <m:rPr/>
                              <w:rPr>
                                <w:rFonts w:ascii="Cambria Math" w:hAnsi="Cambria Math" w:eastAsia="Cambria Math" w:cs="Cambria Math"/>
                              </w:rPr>
                              <m:t>)</m:t>
                            </m:r>
                            <m:ctrlPr>
                              <w:rPr>
                                <w:rFonts w:ascii="Cambria Math" w:hAnsi="Cambria Math" w:eastAsia="Cambria Math" w:cs="Cambria Math"/>
                                <w:i/>
                                <w:szCs w:val="22"/>
                              </w:rPr>
                            </m:ctrlPr>
                          </m:e>
                          <m:sup>
                            <m:r>
                              <m:rPr/>
                              <w:rPr>
                                <w:rFonts w:ascii="Cambria Math" w:hAnsi="Cambria Math" w:eastAsia="Cambria Math" w:cs="Cambria Math"/>
                              </w:rPr>
                              <m:t>2</m:t>
                            </m:r>
                            <m:ctrlPr>
                              <w:rPr>
                                <w:rFonts w:ascii="Cambria Math" w:hAnsi="Cambria Math" w:eastAsia="Cambria Math" w:cs="Cambria Math"/>
                                <w:i/>
                                <w:szCs w:val="22"/>
                              </w:rPr>
                            </m:ctrlPr>
                          </m:sup>
                        </m:sSup>
                        <m:ctrlPr>
                          <w:rPr>
                            <w:rFonts w:ascii="Cambria Math" w:hAnsi="Cambria Math" w:eastAsia="Cambria Math" w:cs="Cambria Math"/>
                            <w:i/>
                            <w:szCs w:val="22"/>
                          </w:rPr>
                        </m:ctrlPr>
                      </m:e>
                    </m:nary>
                    <m:ctrlPr>
                      <w:rPr>
                        <w:rFonts w:ascii="Cambria Math" w:hAnsi="Cambria Math" w:eastAsia="Cambria Math" w:cs="Cambria Math"/>
                        <w:i/>
                        <w:szCs w:val="22"/>
                      </w:rPr>
                    </m:ctrlPr>
                  </m:num>
                  <m:den>
                    <m:r>
                      <m:rPr/>
                      <w:rPr>
                        <w:rFonts w:ascii="Cambria Math" w:hAnsi="Cambria Math" w:eastAsia="Cambria Math" w:cs="Cambria Math"/>
                      </w:rPr>
                      <m:t>n</m:t>
                    </m:r>
                    <m:ctrlPr>
                      <w:rPr>
                        <w:rFonts w:ascii="Cambria Math" w:hAnsi="Cambria Math" w:eastAsia="Cambria Math" w:cs="Cambria Math"/>
                        <w:i/>
                        <w:szCs w:val="22"/>
                      </w:rPr>
                    </m:ctrlPr>
                  </m:den>
                </m:f>
                <m:ctrlPr>
                  <w:rPr>
                    <w:rFonts w:ascii="Cambria Math" w:hAnsi="Cambria Math" w:eastAsia="Cambria Math" w:cs="Cambria Math"/>
                    <w:szCs w:val="22"/>
                  </w:rPr>
                </m:ctrlPr>
              </m:e>
            </m:d>
            <m:ctrlPr>
              <w:rPr>
                <w:rFonts w:ascii="Cambria Math" w:hAnsi="Cambria Math" w:eastAsia="Cambria Math" w:cs="Cambria Math"/>
                <w:szCs w:val="22"/>
              </w:rPr>
            </m:ctrlPr>
          </m:e>
          <m:sup>
            <m:r>
              <m:rPr/>
              <w:rPr>
                <w:rFonts w:ascii="Cambria Math" w:hAnsi="Cambria Math" w:eastAsia="Cambria Math" w:cs="Cambria Math"/>
              </w:rPr>
              <m:t>1/2</m:t>
            </m:r>
            <m:ctrlPr>
              <w:rPr>
                <w:rFonts w:ascii="Cambria Math" w:hAnsi="Cambria Math" w:eastAsia="Cambria Math" w:cs="Cambria Math"/>
                <w:szCs w:val="22"/>
              </w:rPr>
            </m:ctrlPr>
          </m:sup>
        </m:sSup>
      </m:oMath>
      <w:r>
        <w:t xml:space="preserve">                                               </w:t>
      </w:r>
      <w:r>
        <w:rPr>
          <w:rFonts w:hint="eastAsia"/>
        </w:rPr>
        <w:t xml:space="preserve">     </w:t>
      </w:r>
      <w:r>
        <w:t xml:space="preserve"> </w:t>
      </w:r>
      <w:commentRangeStart w:id="1"/>
      <w:r>
        <w:t xml:space="preserve">           (6)</w:t>
      </w:r>
      <w:commentRangeEnd w:id="1"/>
      <w:r>
        <w:rPr>
          <w:rStyle w:val="39"/>
          <w:rFonts w:ascii="Times New Roman"/>
          <w:kern w:val="2"/>
        </w:rPr>
        <w:commentReference w:id="1"/>
      </w:r>
    </w:p>
    <w:p>
      <w:pPr>
        <w:pStyle w:val="23"/>
      </w:pPr>
      <w:r>
        <w:rPr>
          <w:rFonts w:hint="eastAsia"/>
        </w:rPr>
        <w:t>这是实施统计检验时通常宜使用的标准差的形式，因为它是对总体的估计，而不是简单地选择特定的样本。</w:t>
      </w:r>
    </w:p>
    <w:p>
      <w:pPr>
        <w:pStyle w:val="118"/>
        <w:ind w:left="0"/>
      </w:pPr>
      <w:r>
        <w:rPr>
          <w:rFonts w:hint="eastAsia"/>
        </w:rPr>
        <w:t>可以证明:</w:t>
      </w:r>
    </w:p>
    <w:p>
      <w:pPr>
        <w:spacing w:before="156" w:beforeLines="50" w:after="156" w:afterLines="50"/>
        <w:ind w:firstLine="420" w:firstLineChars="200"/>
      </w:pPr>
      <w:r>
        <w:t xml:space="preserve">a) </w:t>
      </w:r>
      <w:r>
        <w:rPr>
          <w:rFonts w:hint="eastAsia"/>
        </w:rPr>
        <w:t xml:space="preserve"> 正态分布有</w:t>
      </w:r>
      <w:r>
        <w:t>68.26%</w:t>
      </w:r>
      <w:r>
        <w:rPr>
          <w:rFonts w:hint="eastAsia"/>
        </w:rPr>
        <w:t>的值在平均值的±</w:t>
      </w:r>
      <w:r>
        <w:t>1个</w:t>
      </w:r>
      <w:r>
        <w:rPr>
          <w:rFonts w:hint="eastAsia"/>
        </w:rPr>
        <w:t>标准差范围内</w:t>
      </w:r>
    </w:p>
    <w:p>
      <w:pPr>
        <w:spacing w:before="156" w:beforeLines="50" w:after="156" w:afterLines="50"/>
        <w:ind w:firstLine="420" w:firstLineChars="200"/>
      </w:pPr>
      <w:r>
        <w:t>b)</w:t>
      </w:r>
      <w:r>
        <w:rPr>
          <w:rFonts w:hint="eastAsia"/>
        </w:rPr>
        <w:t xml:space="preserve">  </w:t>
      </w:r>
      <w:r>
        <w:t>95.44%</w:t>
      </w:r>
      <w:r>
        <w:rPr>
          <w:rFonts w:hint="eastAsia"/>
        </w:rPr>
        <w:t>在±</w:t>
      </w:r>
      <w:r>
        <w:t>2个</w:t>
      </w:r>
      <w:r>
        <w:rPr>
          <w:rFonts w:hint="eastAsia"/>
        </w:rPr>
        <w:t>标准差范围内</w:t>
      </w:r>
      <w:r>
        <w:t>;</w:t>
      </w:r>
    </w:p>
    <w:p>
      <w:pPr>
        <w:spacing w:before="156" w:beforeLines="50" w:after="156" w:afterLines="50"/>
        <w:ind w:firstLine="420" w:firstLineChars="200"/>
      </w:pPr>
      <w:r>
        <w:t xml:space="preserve">c) </w:t>
      </w:r>
      <w:r>
        <w:rPr>
          <w:rFonts w:hint="eastAsia"/>
        </w:rPr>
        <w:t xml:space="preserve"> </w:t>
      </w:r>
      <w:r>
        <w:t>99.73%</w:t>
      </w:r>
      <w:r>
        <w:rPr>
          <w:rFonts w:hint="eastAsia"/>
        </w:rPr>
        <w:t>在±</w:t>
      </w:r>
      <w:r>
        <w:t>3个</w:t>
      </w:r>
      <w:r>
        <w:rPr>
          <w:rFonts w:hint="eastAsia"/>
        </w:rPr>
        <w:t>标准差范围内。</w:t>
      </w:r>
    </w:p>
    <w:p>
      <w:pPr>
        <w:spacing w:before="156" w:beforeLines="50" w:after="156" w:afterLines="50"/>
        <w:ind w:firstLine="420" w:firstLineChars="200"/>
      </w:pPr>
      <w:r>
        <w:rPr>
          <w:rFonts w:hint="eastAsia"/>
        </w:rPr>
        <w:t>出于实用的目的，在正态分布</w:t>
      </w:r>
      <w:r>
        <w:t>(</w:t>
      </w:r>
      <w:r>
        <w:rPr>
          <w:rFonts w:hint="eastAsia"/>
        </w:rPr>
        <w:t>或各组均值的分布</w:t>
      </w:r>
      <w:r>
        <w:t>)</w:t>
      </w:r>
      <w:r>
        <w:rPr>
          <w:rFonts w:hint="eastAsia"/>
        </w:rPr>
        <w:t>中，整个总体用</w:t>
      </w:r>
      <w:r>
        <w:t>6</w:t>
      </w:r>
      <w:r>
        <w:rPr>
          <w:rFonts w:hint="eastAsia"/>
        </w:rPr>
        <w:t>个标准差覆盖。因此，这个区间用于控制图表的设置</w:t>
      </w:r>
      <w:r>
        <w:t>(</w:t>
      </w:r>
      <w:r>
        <w:rPr>
          <w:rFonts w:hint="eastAsia"/>
        </w:rPr>
        <w:t>见第</w:t>
      </w:r>
      <w:r>
        <w:t>18</w:t>
      </w:r>
      <w:r>
        <w:rPr>
          <w:rFonts w:hint="eastAsia"/>
        </w:rPr>
        <w:t>章</w:t>
      </w:r>
      <w:r>
        <w:t>)</w:t>
      </w:r>
      <w:r>
        <w:rPr>
          <w:rFonts w:hint="eastAsia"/>
        </w:rPr>
        <w:t>。</w:t>
      </w:r>
    </w:p>
    <w:p>
      <w:pPr>
        <w:pStyle w:val="118"/>
        <w:ind w:left="0"/>
      </w:pPr>
      <w:r>
        <w:rPr>
          <w:rFonts w:hint="eastAsia"/>
        </w:rPr>
        <w:t>与标准差相关的是均值的标准误差，它由标准差除以样本中观测次数的平方根确定。因此，它是总体均值估计值的标准差</w:t>
      </w:r>
      <w:r>
        <w:t>(</w:t>
      </w:r>
      <w:r>
        <w:rPr>
          <w:rFonts w:hint="eastAsia"/>
        </w:rPr>
        <w:t>见</w:t>
      </w:r>
      <w:r>
        <w:t>3.12)</w:t>
      </w:r>
      <w:r>
        <w:rPr>
          <w:rFonts w:hint="eastAsia"/>
        </w:rPr>
        <w:t>。标准误差以式（7）计算：</w:t>
      </w:r>
    </w:p>
    <w:p>
      <w:pPr>
        <w:pStyle w:val="23"/>
        <w:ind w:firstLine="400"/>
      </w:pPr>
      <m:oMath>
        <m:r>
          <m:rPr/>
          <w:rPr>
            <w:rFonts w:ascii="Cambria Math" w:hAnsi="Cambria Math" w:cs="TimesNewRoman,Italic"/>
            <w:sz w:val="20"/>
          </w:rPr>
          <m:t>S</m:t>
        </m:r>
        <m:r>
          <m:rPr>
            <m:sty m:val="p"/>
          </m:rPr>
          <w:rPr>
            <w:rFonts w:ascii="Cambria Math" w:hAnsi="Cambria Math" w:cs="TimesNewRoman,Italic"/>
            <w:sz w:val="20"/>
          </w:rPr>
          <m:t>=</m:t>
        </m:r>
        <m:r>
          <m:rPr/>
          <w:rPr>
            <w:rFonts w:ascii="Cambria Math" w:hAnsi="Cambria Math" w:cs="TimesNewRoman,Italic"/>
            <w:sz w:val="20"/>
          </w:rPr>
          <m:t>s</m:t>
        </m:r>
        <m:r>
          <m:rPr>
            <m:sty m:val="p"/>
          </m:rPr>
          <w:rPr>
            <w:rFonts w:ascii="Cambria Math" w:hAnsi="Cambria Math" w:cs="TimesNewRoman,Italic"/>
            <w:sz w:val="20"/>
          </w:rPr>
          <m:t>/</m:t>
        </m:r>
        <m:rad>
          <m:radPr>
            <m:degHide m:val="1"/>
            <m:ctrlPr>
              <w:rPr>
                <w:rFonts w:ascii="Cambria Math" w:hAnsi="Cambria Math" w:cs="TimesNewRoman,Italic"/>
                <w:iCs/>
              </w:rPr>
            </m:ctrlPr>
          </m:radPr>
          <m:deg>
            <m:ctrlPr>
              <w:rPr>
                <w:rFonts w:ascii="Cambria Math" w:hAnsi="Cambria Math" w:cs="TimesNewRoman,Italic"/>
                <w:iCs/>
              </w:rPr>
            </m:ctrlPr>
          </m:deg>
          <m:e>
            <m:r>
              <m:rPr/>
              <w:rPr>
                <w:rFonts w:ascii="Cambria Math" w:hAnsi="Cambria Math" w:cs="TimesNewRoman,Italic"/>
                <w:sz w:val="20"/>
              </w:rPr>
              <m:t>n</m:t>
            </m:r>
            <m:ctrlPr>
              <w:rPr>
                <w:rFonts w:ascii="Cambria Math" w:hAnsi="Cambria Math" w:cs="TimesNewRoman,Italic"/>
                <w:iCs/>
              </w:rPr>
            </m:ctrlPr>
          </m:e>
        </m:rad>
      </m:oMath>
      <w:r>
        <w:t xml:space="preserve">                                                                      (7)</w:t>
      </w:r>
    </w:p>
    <w:p>
      <w:pPr>
        <w:spacing w:before="156" w:beforeLines="50" w:after="156" w:afterLines="50"/>
        <w:rPr>
          <w:szCs w:val="22"/>
        </w:rPr>
      </w:pPr>
      <w:r>
        <w:rPr>
          <w:rFonts w:hint="eastAsia"/>
        </w:rPr>
        <w:t>式中，</w:t>
      </w:r>
      <w:r>
        <w:rPr>
          <w:i/>
        </w:rPr>
        <w:t>S</w:t>
      </w:r>
      <w:r>
        <w:rPr>
          <w:rFonts w:hint="eastAsia"/>
        </w:rPr>
        <w:t>是均值的标准误差。</w:t>
      </w:r>
    </w:p>
    <w:p>
      <w:pPr>
        <w:spacing w:before="156" w:beforeLines="50" w:after="156" w:afterLines="50"/>
        <w:ind w:firstLine="420" w:firstLineChars="200"/>
      </w:pPr>
      <w:r>
        <w:rPr>
          <w:rFonts w:hint="eastAsia"/>
        </w:rPr>
        <w:t>标准误差是一系列均值的预期离散程度的度量。同样，标准差是单个值的预期离散程度的度量。数组之间进行统计比较时宜使用的正是标准误差，而这些数组本身就是一组数字的均值</w:t>
      </w:r>
      <w:r>
        <w:rPr>
          <w:rFonts w:ascii="Arial" w:hAnsi="Arial" w:cs="Arial"/>
          <w:kern w:val="0"/>
          <w:sz w:val="20"/>
          <w:szCs w:val="20"/>
        </w:rPr>
        <w:t xml:space="preserve"> (</w:t>
      </w:r>
      <w:r>
        <w:rPr>
          <w:rFonts w:hint="eastAsia" w:ascii="Arial" w:hAnsi="Arial" w:cs="Arial"/>
          <w:kern w:val="0"/>
          <w:sz w:val="20"/>
          <w:szCs w:val="20"/>
        </w:rPr>
        <w:t>见</w:t>
      </w:r>
      <w:r>
        <w:rPr>
          <w:rFonts w:ascii="Arial" w:hAnsi="Arial" w:cs="Arial"/>
          <w:kern w:val="0"/>
          <w:sz w:val="20"/>
          <w:szCs w:val="20"/>
        </w:rPr>
        <w:t xml:space="preserve"> 6.3.2.4 </w:t>
      </w:r>
      <w:r>
        <w:rPr>
          <w:rFonts w:hint="eastAsia" w:ascii="Arial" w:hAnsi="Arial" w:cs="Arial"/>
          <w:kern w:val="0"/>
          <w:sz w:val="20"/>
          <w:szCs w:val="20"/>
        </w:rPr>
        <w:t>和</w:t>
      </w:r>
      <w:r>
        <w:rPr>
          <w:rFonts w:ascii="Arial" w:hAnsi="Arial" w:cs="Arial"/>
          <w:kern w:val="0"/>
          <w:sz w:val="20"/>
          <w:szCs w:val="20"/>
        </w:rPr>
        <w:t xml:space="preserve"> 7.2.2.2)</w:t>
      </w:r>
      <w:r>
        <w:t xml:space="preserve"> </w:t>
      </w:r>
      <w:r>
        <w:rPr>
          <w:rFonts w:hint="eastAsia"/>
        </w:rPr>
        <w:t>。</w:t>
      </w:r>
    </w:p>
    <w:p>
      <w:pPr>
        <w:pStyle w:val="51"/>
        <w:spacing w:before="156" w:after="156"/>
      </w:pPr>
      <w:r>
        <w:rPr>
          <w:rFonts w:hint="eastAsia"/>
        </w:rPr>
        <w:t>极差</w:t>
      </w:r>
    </w:p>
    <w:p>
      <w:pPr>
        <w:spacing w:before="156" w:beforeLines="50" w:after="156" w:afterLines="50"/>
        <w:ind w:firstLine="420" w:firstLineChars="200"/>
      </w:pPr>
      <w:r>
        <w:rPr>
          <w:rFonts w:hint="eastAsia"/>
        </w:rPr>
        <w:t>虽然标准差具有宝贵的数学特性，但在过去，没有计算机去计算，确实有点麻烦，有时这可能会超过它的价值。如果不太精确的估计就足够了，则可以使用极差，即样本中的最大值减去最小值。这样就可以用极差来估计标准差，即将极差乘以一个依赖于集合中结果数量的因子来估计标准差。对于位于</w:t>
      </w:r>
      <w:r>
        <w:t>2</w:t>
      </w:r>
      <w:r>
        <w:rPr>
          <w:rFonts w:hint="eastAsia"/>
        </w:rPr>
        <w:t>和</w:t>
      </w:r>
      <w:r>
        <w:t>11</w:t>
      </w:r>
      <w:r>
        <w:rPr>
          <w:rFonts w:hint="eastAsia"/>
        </w:rPr>
        <w:t>之间的</w:t>
      </w:r>
      <w:r>
        <w:rPr>
          <w:i/>
        </w:rPr>
        <w:t>n</w:t>
      </w:r>
      <w:r>
        <w:rPr>
          <w:rFonts w:hint="eastAsia"/>
        </w:rPr>
        <w:t>的值，因子</w:t>
      </w:r>
      <w:r>
        <w:rPr>
          <w:i/>
        </w:rPr>
        <w:t>A</w:t>
      </w:r>
      <w:r>
        <w:rPr>
          <w:i/>
          <w:vertAlign w:val="subscript"/>
        </w:rPr>
        <w:t>n</w:t>
      </w:r>
      <w:r>
        <w:rPr>
          <w:rFonts w:hint="eastAsia"/>
        </w:rPr>
        <w:t>在表</w:t>
      </w:r>
      <w:r>
        <w:t>3</w:t>
      </w:r>
      <w:r>
        <w:rPr>
          <w:rFonts w:hint="eastAsia"/>
        </w:rPr>
        <w:t>中给出。</w:t>
      </w:r>
    </w:p>
    <w:p>
      <w:pPr>
        <w:pStyle w:val="127"/>
        <w:ind w:left="0"/>
        <w:outlineLvl w:val="5"/>
      </w:pPr>
      <w:r>
        <w:rPr>
          <w:rFonts w:hint="eastAsia" w:hAnsi="黑体"/>
        </w:rPr>
        <w:t>极差/标准差转换因子表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10"/>
        <w:gridCol w:w="5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04" w:type="pct"/>
            <w:tcBorders>
              <w:top w:val="single" w:color="auto" w:sz="4" w:space="0"/>
              <w:left w:val="single" w:color="auto" w:sz="4" w:space="0"/>
              <w:bottom w:val="single" w:color="auto" w:sz="4" w:space="0"/>
              <w:right w:val="single" w:color="auto" w:sz="4" w:space="0"/>
            </w:tcBorders>
          </w:tcPr>
          <w:p>
            <w:pPr>
              <w:jc w:val="center"/>
              <w:rPr>
                <w:i/>
                <w:sz w:val="18"/>
                <w:szCs w:val="18"/>
              </w:rPr>
            </w:pPr>
            <w:r>
              <w:rPr>
                <w:i/>
                <w:sz w:val="18"/>
                <w:szCs w:val="18"/>
              </w:rPr>
              <w:t>n</w:t>
            </w:r>
          </w:p>
        </w:tc>
        <w:tc>
          <w:tcPr>
            <w:tcW w:w="2696" w:type="pct"/>
            <w:tcBorders>
              <w:top w:val="single" w:color="auto" w:sz="4" w:space="0"/>
              <w:left w:val="single" w:color="auto" w:sz="4" w:space="0"/>
              <w:bottom w:val="single" w:color="auto" w:sz="4" w:space="0"/>
              <w:right w:val="single" w:color="auto" w:sz="4" w:space="0"/>
            </w:tcBorders>
          </w:tcPr>
          <w:p>
            <w:pPr>
              <w:jc w:val="center"/>
              <w:rPr>
                <w:sz w:val="18"/>
                <w:szCs w:val="18"/>
              </w:rPr>
            </w:pPr>
            <w:r>
              <w:rPr>
                <w:i/>
                <w:sz w:val="18"/>
                <w:szCs w:val="18"/>
              </w:rPr>
              <w:t>A</w:t>
            </w:r>
            <w:r>
              <w:rPr>
                <w:i/>
                <w:sz w:val="18"/>
                <w:szCs w:val="18"/>
                <w:vertAlign w:val="subscript"/>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304" w:type="pct"/>
            <w:tcBorders>
              <w:top w:val="single" w:color="auto" w:sz="4" w:space="0"/>
              <w:left w:val="single" w:color="auto" w:sz="4" w:space="0"/>
              <w:bottom w:val="single" w:color="auto" w:sz="4" w:space="0"/>
              <w:right w:val="single" w:color="auto" w:sz="4" w:space="0"/>
            </w:tcBorders>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2</w:t>
            </w:r>
          </w:p>
        </w:tc>
        <w:tc>
          <w:tcPr>
            <w:tcW w:w="2696" w:type="pct"/>
            <w:tcBorders>
              <w:top w:val="single" w:color="auto" w:sz="4" w:space="0"/>
              <w:left w:val="single" w:color="auto" w:sz="4" w:space="0"/>
              <w:bottom w:val="single" w:color="auto" w:sz="4" w:space="0"/>
              <w:right w:val="single" w:color="auto" w:sz="4" w:space="0"/>
            </w:tcBorders>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0.886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04"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3</w:t>
            </w:r>
          </w:p>
        </w:tc>
        <w:tc>
          <w:tcPr>
            <w:tcW w:w="2696"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0.591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04"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4</w:t>
            </w:r>
          </w:p>
        </w:tc>
        <w:tc>
          <w:tcPr>
            <w:tcW w:w="2696"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0.486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04"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5</w:t>
            </w:r>
          </w:p>
        </w:tc>
        <w:tc>
          <w:tcPr>
            <w:tcW w:w="2696"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0.430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304"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6</w:t>
            </w:r>
          </w:p>
        </w:tc>
        <w:tc>
          <w:tcPr>
            <w:tcW w:w="2696"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0.395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04"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7</w:t>
            </w:r>
          </w:p>
        </w:tc>
        <w:tc>
          <w:tcPr>
            <w:tcW w:w="2696"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0.370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304"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8</w:t>
            </w:r>
          </w:p>
        </w:tc>
        <w:tc>
          <w:tcPr>
            <w:tcW w:w="2696"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0.351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304"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9</w:t>
            </w:r>
          </w:p>
        </w:tc>
        <w:tc>
          <w:tcPr>
            <w:tcW w:w="2696"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0.337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04"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10</w:t>
            </w:r>
          </w:p>
        </w:tc>
        <w:tc>
          <w:tcPr>
            <w:tcW w:w="2696" w:type="pct"/>
            <w:tcBorders>
              <w:top w:val="single" w:color="auto" w:sz="4" w:space="0"/>
              <w:left w:val="single" w:color="auto" w:sz="4" w:space="0"/>
              <w:bottom w:val="single" w:color="auto" w:sz="4" w:space="0"/>
              <w:right w:val="single" w:color="auto" w:sz="4" w:space="0"/>
            </w:tcBorders>
            <w:vAlign w:val="center"/>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0.325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04" w:type="pct"/>
            <w:tcBorders>
              <w:top w:val="single" w:color="auto" w:sz="4" w:space="0"/>
              <w:left w:val="single" w:color="auto" w:sz="4" w:space="0"/>
              <w:bottom w:val="single" w:color="auto" w:sz="4" w:space="0"/>
              <w:right w:val="single" w:color="auto" w:sz="4" w:space="0"/>
            </w:tcBorders>
            <w:vAlign w:val="bottom"/>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11</w:t>
            </w:r>
          </w:p>
        </w:tc>
        <w:tc>
          <w:tcPr>
            <w:tcW w:w="2696" w:type="pct"/>
            <w:tcBorders>
              <w:top w:val="single" w:color="auto" w:sz="4" w:space="0"/>
              <w:left w:val="single" w:color="auto" w:sz="4" w:space="0"/>
              <w:bottom w:val="single" w:color="auto" w:sz="4" w:space="0"/>
              <w:right w:val="single" w:color="auto" w:sz="4" w:space="0"/>
            </w:tcBorders>
            <w:vAlign w:val="bottom"/>
          </w:tcPr>
          <w:p>
            <w:pPr>
              <w:pStyle w:val="139"/>
              <w:jc w:val="center"/>
              <w:rPr>
                <w:rFonts w:ascii="Times New Roman" w:hAnsi="Times New Roman" w:cs="Times New Roman"/>
                <w:kern w:val="2"/>
                <w:sz w:val="18"/>
                <w:szCs w:val="18"/>
              </w:rPr>
            </w:pPr>
            <w:r>
              <w:rPr>
                <w:rFonts w:ascii="Times New Roman" w:hAnsi="Times New Roman" w:cs="Times New Roman"/>
                <w:kern w:val="2"/>
                <w:sz w:val="18"/>
                <w:szCs w:val="18"/>
              </w:rPr>
              <w:t>0.315</w:t>
            </w:r>
          </w:p>
        </w:tc>
      </w:tr>
    </w:tbl>
    <w:p>
      <w:pPr>
        <w:spacing w:before="156" w:beforeLines="50" w:after="156" w:afterLines="50"/>
        <w:ind w:firstLine="420" w:firstLineChars="200"/>
      </w:pPr>
      <w:r>
        <w:rPr>
          <w:rFonts w:hint="eastAsia"/>
        </w:rPr>
        <w:t>因此，</w:t>
      </w:r>
      <w:r>
        <w:rPr>
          <w:i/>
        </w:rPr>
        <w:t>S</w:t>
      </w:r>
      <w:r>
        <w:t>≈</w:t>
      </w:r>
      <w:r>
        <w:rPr>
          <w:rFonts w:hint="eastAsia"/>
        </w:rPr>
        <w:t>极差</w:t>
      </w:r>
      <w:r>
        <w:t>×</w:t>
      </w:r>
      <w:r>
        <w:rPr>
          <w:i/>
          <w:sz w:val="18"/>
          <w:szCs w:val="18"/>
        </w:rPr>
        <w:t>A</w:t>
      </w:r>
      <w:r>
        <w:rPr>
          <w:i/>
          <w:sz w:val="18"/>
          <w:szCs w:val="18"/>
          <w:vertAlign w:val="subscript"/>
        </w:rPr>
        <w:t>n</w:t>
      </w:r>
      <w:r>
        <w:rPr>
          <w:rFonts w:hint="eastAsia"/>
          <w:sz w:val="18"/>
          <w:szCs w:val="18"/>
        </w:rPr>
        <w:t>。</w:t>
      </w:r>
    </w:p>
    <w:p>
      <w:pPr>
        <w:spacing w:before="156" w:beforeLines="50" w:after="156" w:afterLines="50"/>
        <w:ind w:firstLine="420" w:firstLineChars="200"/>
      </w:pPr>
      <w:r>
        <w:rPr>
          <w:rFonts w:hint="eastAsia"/>
        </w:rPr>
        <w:t>极差和四分位数也可用作中位数周围离散的度量，其方式与均值周围的标准偏差类似。</w:t>
      </w:r>
    </w:p>
    <w:p>
      <w:pPr>
        <w:pStyle w:val="51"/>
        <w:spacing w:before="156" w:after="156"/>
      </w:pPr>
      <w:r>
        <w:rPr>
          <w:rFonts w:hint="eastAsia"/>
        </w:rPr>
        <w:t>变异系数</w:t>
      </w:r>
    </w:p>
    <w:p>
      <w:pPr>
        <w:spacing w:before="156" w:beforeLines="50" w:after="156" w:afterLines="50"/>
        <w:ind w:firstLine="420" w:firstLineChars="200"/>
      </w:pPr>
      <w:r>
        <w:t>当结果在其均值周围相对</w:t>
      </w:r>
      <w:r>
        <w:rPr>
          <w:rFonts w:hint="eastAsia"/>
        </w:rPr>
        <w:t>离散程度值得关注时，如比较体积膨胀试验与密度试验的变异性，标准差与均值之比可以用来</w:t>
      </w:r>
      <w:r>
        <w:t>将均值</w:t>
      </w:r>
      <w:r>
        <w:rPr>
          <w:rFonts w:hint="eastAsia"/>
        </w:rPr>
        <w:t>非常不</w:t>
      </w:r>
      <w:r>
        <w:t>同的数值的影响归一化（正态化）</w:t>
      </w:r>
      <w:r>
        <w:rPr>
          <w:rFonts w:hint="eastAsia"/>
        </w:rPr>
        <w:t>。通常将该比值用百分数表示，且称其为变异系数（见</w:t>
      </w:r>
      <w:r>
        <w:t>3.10</w:t>
      </w:r>
      <w:r>
        <w:rPr>
          <w:rFonts w:hint="eastAsia"/>
        </w:rPr>
        <w:t>）。变异系数由式（8）给出：</w:t>
      </w:r>
    </w:p>
    <w:p>
      <w:pPr>
        <w:spacing w:before="156" w:beforeLines="50" w:after="156" w:afterLines="50"/>
        <w:ind w:firstLine="420" w:firstLineChars="200"/>
        <w:rPr>
          <w:kern w:val="0"/>
          <w:szCs w:val="21"/>
        </w:rPr>
      </w:pPr>
      <w:r>
        <w:rPr>
          <w:i/>
          <w:iCs/>
          <w:kern w:val="0"/>
          <w:szCs w:val="21"/>
        </w:rPr>
        <w:t>C</w:t>
      </w:r>
      <w:r>
        <w:rPr>
          <w:kern w:val="0"/>
          <w:szCs w:val="21"/>
          <w:vertAlign w:val="subscript"/>
        </w:rPr>
        <w:t>v</w:t>
      </w:r>
      <w:r>
        <w:rPr>
          <w:kern w:val="0"/>
          <w:szCs w:val="21"/>
        </w:rPr>
        <w:t xml:space="preserve"> = (</w:t>
      </w:r>
      <w:r>
        <w:rPr>
          <w:i/>
          <w:iCs/>
          <w:kern w:val="0"/>
          <w:szCs w:val="21"/>
        </w:rPr>
        <w:t>s</w:t>
      </w:r>
      <w:r>
        <w:rPr>
          <w:i/>
          <w:iCs/>
          <w:spacing w:val="-30"/>
          <w:kern w:val="0"/>
          <w:szCs w:val="21"/>
        </w:rPr>
        <w:t xml:space="preserve"> </w:t>
      </w:r>
      <w:r>
        <w:rPr>
          <w:spacing w:val="-30"/>
          <w:kern w:val="0"/>
          <w:szCs w:val="21"/>
        </w:rPr>
        <w:t xml:space="preserve">/ </w:t>
      </w:r>
      <w:r>
        <w:rPr>
          <w:spacing w:val="-30"/>
          <w:szCs w:val="21"/>
        </w:rPr>
        <w:sym w:font="Symbol" w:char="0060"/>
      </w:r>
      <w:r>
        <w:rPr>
          <w:i/>
          <w:szCs w:val="21"/>
        </w:rPr>
        <w:t>x</w:t>
      </w:r>
      <w:r>
        <w:rPr>
          <w:i/>
          <w:iCs/>
          <w:kern w:val="0"/>
          <w:szCs w:val="21"/>
        </w:rPr>
        <w:t xml:space="preserve"> </w:t>
      </w:r>
      <w:r>
        <w:rPr>
          <w:kern w:val="0"/>
          <w:szCs w:val="21"/>
        </w:rPr>
        <w:t>×100)                                                                （</w:t>
      </w:r>
      <w:r>
        <w:rPr>
          <w:rFonts w:hint="eastAsia"/>
          <w:kern w:val="0"/>
          <w:szCs w:val="21"/>
        </w:rPr>
        <w:t>8）</w:t>
      </w:r>
    </w:p>
    <w:p>
      <w:pPr>
        <w:spacing w:before="156" w:beforeLines="50" w:after="156" w:afterLines="50"/>
        <w:rPr>
          <w:szCs w:val="22"/>
        </w:rPr>
      </w:pPr>
      <w:r>
        <w:rPr>
          <w:rFonts w:hint="eastAsia"/>
        </w:rPr>
        <w:t>式中，</w:t>
      </w:r>
      <w:r>
        <w:rPr>
          <w:i/>
        </w:rPr>
        <w:t>C</w:t>
      </w:r>
      <w:r>
        <w:rPr>
          <w:vertAlign w:val="subscript"/>
        </w:rPr>
        <w:t>v</w:t>
      </w:r>
      <w:r>
        <w:rPr>
          <w:rFonts w:hint="eastAsia"/>
        </w:rPr>
        <w:t>是变异系数。</w:t>
      </w:r>
    </w:p>
    <w:p>
      <w:pPr>
        <w:pStyle w:val="46"/>
        <w:spacing w:before="156" w:after="156"/>
      </w:pPr>
      <w:r>
        <w:rPr>
          <w:rFonts w:hint="eastAsia"/>
        </w:rPr>
        <w:t>转换为正态分布</w:t>
      </w:r>
    </w:p>
    <w:p>
      <w:pPr>
        <w:spacing w:before="156" w:beforeLines="50" w:after="156" w:afterLines="50"/>
        <w:ind w:firstLine="420" w:firstLineChars="200"/>
      </w:pPr>
      <w:r>
        <w:rPr>
          <w:rFonts w:hint="eastAsia"/>
        </w:rPr>
        <w:t>由橡胶试验获得的一个个结果可能不会直接符合正态分布函数。理论上（或经验上）发现其他分布函数，如双指数或威布尔分布，能给出这些数据的更好的表达（见</w:t>
      </w:r>
      <w:r>
        <w:t>6.2.5</w:t>
      </w:r>
      <w:r>
        <w:rPr>
          <w:rFonts w:hint="eastAsia"/>
        </w:rPr>
        <w:t>）。如果需要对一组数据进行某些</w:t>
      </w:r>
      <w:r>
        <w:rPr>
          <w:rFonts w:hint="eastAsia"/>
          <w:highlight w:val="yellow"/>
        </w:rPr>
        <w:t>统计分析</w:t>
      </w:r>
      <w:r>
        <w:rPr>
          <w:rFonts w:hint="eastAsia"/>
        </w:rPr>
        <w:t>，例如确定置信区间或置信限</w:t>
      </w:r>
      <w:r>
        <w:t>(</w:t>
      </w:r>
      <w:r>
        <w:rPr>
          <w:rFonts w:hint="eastAsia"/>
        </w:rPr>
        <w:t>见第</w:t>
      </w:r>
      <w:r>
        <w:t>7</w:t>
      </w:r>
      <w:r>
        <w:rPr>
          <w:rFonts w:hint="eastAsia"/>
        </w:rPr>
        <w:t>章</w:t>
      </w:r>
      <w:r>
        <w:t>)</w:t>
      </w:r>
      <w:r>
        <w:rPr>
          <w:rFonts w:hint="eastAsia"/>
        </w:rPr>
        <w:t>，则需要了解描述数据的分布函数。由于针对正态分布已拓展了试验和技术的范围，因此，值得研究的是，数据的简单转换是否会导致正态分布数据集的准确度足以满足所分析的情况。</w:t>
      </w:r>
    </w:p>
    <w:p>
      <w:pPr>
        <w:spacing w:before="156" w:beforeLines="50" w:after="156" w:afterLines="50"/>
        <w:ind w:firstLine="420" w:firstLineChars="200"/>
      </w:pPr>
      <w:r>
        <w:rPr>
          <w:rFonts w:hint="eastAsia"/>
        </w:rPr>
        <w:t>同样重要的是要记住，即使在对</w:t>
      </w:r>
      <w:r>
        <w:rPr>
          <w:rFonts w:hint="eastAsia"/>
          <w:highlight w:val="yellow"/>
        </w:rPr>
        <w:t>一个个</w:t>
      </w:r>
      <w:r>
        <w:rPr>
          <w:rFonts w:hint="eastAsia"/>
        </w:rPr>
        <w:t>读数没有发现正态分布的情况，如在橡胶上经常进行的试验所得到那些</w:t>
      </w:r>
      <w:r>
        <w:t>(</w:t>
      </w:r>
      <w:r>
        <w:rPr>
          <w:rFonts w:hint="eastAsia"/>
        </w:rPr>
        <w:t>低到每组只有</w:t>
      </w:r>
      <w:r>
        <w:t>3</w:t>
      </w:r>
      <w:r>
        <w:rPr>
          <w:rFonts w:hint="eastAsia"/>
        </w:rPr>
        <w:t>个</w:t>
      </w:r>
      <w:r>
        <w:t>)</w:t>
      </w:r>
      <w:r>
        <w:rPr>
          <w:rFonts w:hint="eastAsia"/>
        </w:rPr>
        <w:t>读数的组平均值的分布也总是近似高斯形式</w:t>
      </w:r>
      <w:r>
        <w:t>(</w:t>
      </w:r>
      <w:r>
        <w:rPr>
          <w:rFonts w:hint="eastAsia"/>
        </w:rPr>
        <w:t>中心极限定理</w:t>
      </w:r>
      <w:r>
        <w:t>)</w:t>
      </w:r>
      <w:r>
        <w:rPr>
          <w:rFonts w:hint="eastAsia"/>
        </w:rPr>
        <w:t>。</w:t>
      </w:r>
    </w:p>
    <w:p>
      <w:pPr>
        <w:spacing w:before="156" w:beforeLines="50" w:after="156" w:afterLines="50"/>
        <w:ind w:firstLine="420" w:firstLineChars="200"/>
      </w:pPr>
      <w:r>
        <w:rPr>
          <w:rFonts w:hint="eastAsia"/>
        </w:rPr>
        <w:t>在这方面最常见的有效的转换是将值取对数，并将这些值作为要分析的变量。利用对数概率图纸或使用计算机转换进行这种检验将会非常快速而简单。</w:t>
      </w:r>
    </w:p>
    <w:p>
      <w:pPr>
        <w:spacing w:before="156" w:beforeLines="50" w:after="156" w:afterLines="50"/>
        <w:ind w:firstLine="420" w:firstLineChars="200"/>
      </w:pPr>
      <w:r>
        <w:rPr>
          <w:rFonts w:hint="eastAsia"/>
        </w:rPr>
        <w:t>已发现的其他转换偶尔也有效，这包括：</w:t>
      </w:r>
    </w:p>
    <w:p>
      <w:pPr>
        <w:spacing w:before="156" w:beforeLines="50" w:after="156" w:afterLines="50"/>
        <w:ind w:firstLine="420" w:firstLineChars="200"/>
      </w:pPr>
      <w:r>
        <w:t xml:space="preserve">a) </w:t>
      </w:r>
      <w:r>
        <w:rPr>
          <w:rFonts w:hint="eastAsia"/>
        </w:rPr>
        <w:t>取平方根；</w:t>
      </w:r>
    </w:p>
    <w:p>
      <w:pPr>
        <w:spacing w:before="156" w:beforeLines="50" w:after="156" w:afterLines="50"/>
        <w:ind w:firstLine="420" w:firstLineChars="200"/>
      </w:pPr>
      <w:r>
        <w:t xml:space="preserve">b) </w:t>
      </w:r>
      <w:r>
        <w:rPr>
          <w:rFonts w:hint="eastAsia"/>
        </w:rPr>
        <w:t>取倒数。</w:t>
      </w:r>
    </w:p>
    <w:p>
      <w:pPr>
        <w:spacing w:before="156" w:beforeLines="50" w:after="156" w:afterLines="50"/>
        <w:ind w:firstLine="420" w:firstLineChars="200"/>
      </w:pPr>
      <w:r>
        <w:rPr>
          <w:rFonts w:hint="eastAsia"/>
        </w:rPr>
        <w:t>有时，在取对数、开方或求倒数之前，需要将值加上或减去一个常数。也许可以从被检测过程的知识中推导出这个常数的适当值，当然它通常是靠经验建立的。</w:t>
      </w:r>
    </w:p>
    <w:p>
      <w:pPr>
        <w:pStyle w:val="46"/>
        <w:spacing w:before="156" w:after="156"/>
      </w:pPr>
      <w:r>
        <w:rPr>
          <w:rFonts w:hint="eastAsia"/>
        </w:rPr>
        <w:t>偏离正态的检验</w:t>
      </w:r>
    </w:p>
    <w:p>
      <w:pPr>
        <w:pStyle w:val="51"/>
        <w:spacing w:before="156" w:after="156"/>
      </w:pPr>
      <w:r>
        <w:rPr>
          <w:rFonts w:hint="eastAsia"/>
        </w:rPr>
        <w:t>正态分布</w:t>
      </w:r>
    </w:p>
    <w:p>
      <w:pPr>
        <w:pStyle w:val="118"/>
        <w:ind w:left="0"/>
      </w:pPr>
      <w:r>
        <w:rPr>
          <w:rFonts w:hint="eastAsia"/>
        </w:rPr>
        <w:t>检验一系列观察的分布正态性的最简单的方法是将结果绘制在概率纸上。一个正态分布的观察组生成一条直线，从这条直线能够推导出平均值和标准差。</w:t>
      </w:r>
    </w:p>
    <w:p>
      <w:pPr>
        <w:pStyle w:val="118"/>
        <w:ind w:left="0"/>
      </w:pPr>
      <w:r>
        <w:rPr>
          <w:rFonts w:hint="eastAsia"/>
        </w:rPr>
        <w:t>步骤如下：</w:t>
      </w:r>
    </w:p>
    <w:p>
      <w:pPr>
        <w:pStyle w:val="59"/>
        <w:rPr>
          <w:rFonts w:ascii="Times New Roman"/>
        </w:rPr>
      </w:pPr>
      <w:r>
        <w:rPr>
          <w:rFonts w:ascii="Times New Roman"/>
        </w:rPr>
        <w:t>将数据按升序排列；</w:t>
      </w:r>
    </w:p>
    <w:p>
      <w:pPr>
        <w:pStyle w:val="59"/>
        <w:rPr>
          <w:rFonts w:ascii="Times New Roman"/>
        </w:rPr>
      </w:pPr>
      <w:r>
        <w:rPr>
          <w:rFonts w:ascii="Times New Roman"/>
        </w:rPr>
        <w:t>因为概率纸是百分函数形式的，所以用式（9）计算全部</w:t>
      </w:r>
      <w:r>
        <w:rPr>
          <w:rFonts w:ascii="Times New Roman"/>
          <w:i/>
        </w:rPr>
        <w:t>n</w:t>
      </w:r>
      <w:r>
        <w:rPr>
          <w:rFonts w:ascii="Times New Roman"/>
        </w:rPr>
        <w:t>个结果中第</w:t>
      </w:r>
      <w:r>
        <w:rPr>
          <w:rFonts w:ascii="Times New Roman"/>
          <w:i/>
        </w:rPr>
        <w:t>m</w:t>
      </w:r>
      <w:r>
        <w:rPr>
          <w:rFonts w:ascii="Times New Roman"/>
        </w:rPr>
        <w:t>个点的绘图位置</w:t>
      </w:r>
      <w:r>
        <w:rPr>
          <w:rFonts w:ascii="Times New Roman"/>
          <w:i/>
        </w:rPr>
        <w:t>P</w:t>
      </w:r>
      <w:r>
        <w:rPr>
          <w:rFonts w:ascii="Times New Roman"/>
          <w:vertAlign w:val="subscript"/>
        </w:rPr>
        <w:t>m</w:t>
      </w:r>
      <w:r>
        <w:rPr>
          <w:rFonts w:ascii="Times New Roman"/>
        </w:rPr>
        <w:t>：</w:t>
      </w:r>
    </w:p>
    <w:p>
      <w:pPr>
        <w:spacing w:before="156" w:beforeLines="50" w:after="156" w:afterLines="50"/>
        <w:ind w:left="636" w:leftChars="303"/>
      </w:pPr>
      <w:r>
        <w:t xml:space="preserve">  </w:t>
      </w:r>
      <w:r>
        <w:rPr>
          <w:i/>
        </w:rPr>
        <w:t>P</w:t>
      </w:r>
      <w:r>
        <w:rPr>
          <w:i/>
          <w:vertAlign w:val="subscript"/>
        </w:rPr>
        <w:t>m</w:t>
      </w:r>
      <w:r>
        <w:t xml:space="preserve"> = 100</w:t>
      </w:r>
      <w:r>
        <w:rPr>
          <w:i/>
        </w:rPr>
        <w:t>m</w:t>
      </w:r>
      <w:r>
        <w:t>/(</w:t>
      </w:r>
      <w:r>
        <w:rPr>
          <w:i/>
        </w:rPr>
        <w:t>n</w:t>
      </w:r>
      <w:r>
        <w:t xml:space="preserve">+1)                                                  </w:t>
      </w:r>
      <w:r>
        <w:rPr>
          <w:rFonts w:hint="eastAsia"/>
        </w:rPr>
        <w:t xml:space="preserve">    </w:t>
      </w:r>
      <w:r>
        <w:t xml:space="preserve">    (9)</w:t>
      </w:r>
    </w:p>
    <w:p>
      <w:pPr>
        <w:pStyle w:val="59"/>
      </w:pPr>
      <w:r>
        <w:rPr>
          <w:rFonts w:hint="eastAsia"/>
        </w:rPr>
        <w:t>以</w:t>
      </w:r>
      <w:r>
        <w:rPr>
          <w:rFonts w:ascii="Times New Roman"/>
          <w:i/>
        </w:rPr>
        <w:t>m</w:t>
      </w:r>
      <w:r>
        <w:rPr>
          <w:rFonts w:hint="eastAsia"/>
        </w:rPr>
        <w:t>点的值为纵坐标对作为横坐标的</w:t>
      </w:r>
      <w:r>
        <w:rPr>
          <w:i/>
        </w:rPr>
        <w:t>P</w:t>
      </w:r>
      <w:r>
        <w:rPr>
          <w:i/>
          <w:vertAlign w:val="subscript"/>
        </w:rPr>
        <w:t>m</w:t>
      </w:r>
      <w:r>
        <w:rPr>
          <w:rFonts w:hint="eastAsia"/>
        </w:rPr>
        <w:t>绘图。</w:t>
      </w:r>
    </w:p>
    <w:p>
      <w:pPr>
        <w:pStyle w:val="118"/>
        <w:ind w:left="0"/>
        <w:rPr>
          <w:rFonts w:ascii="Times New Roman"/>
        </w:rPr>
      </w:pPr>
      <w:r>
        <w:rPr>
          <w:rFonts w:hint="eastAsia" w:ascii="Times New Roman"/>
        </w:rPr>
        <w:t>一条近似的直线表示该分布是正态的，但是明显的偏离线性则表明该分布是非高斯分布。在这种情况下，偏差的性质或可表明哪种分布函数更合适。特别是，如果较大的值系统地高于较低的值所形成的直线，则使用对数或根转换</w:t>
      </w:r>
      <w:r>
        <w:rPr>
          <w:rFonts w:ascii="Times New Roman"/>
        </w:rPr>
        <w:t>(</w:t>
      </w:r>
      <w:r>
        <w:rPr>
          <w:rFonts w:hint="eastAsia" w:ascii="Times New Roman"/>
        </w:rPr>
        <w:t>见</w:t>
      </w:r>
      <w:r>
        <w:rPr>
          <w:rFonts w:ascii="Times New Roman"/>
        </w:rPr>
        <w:t>6.2.4)</w:t>
      </w:r>
      <w:r>
        <w:rPr>
          <w:rFonts w:hint="eastAsia" w:ascii="Times New Roman"/>
        </w:rPr>
        <w:t>通常会得到线性图。</w:t>
      </w:r>
    </w:p>
    <w:p>
      <w:pPr>
        <w:pStyle w:val="118"/>
        <w:ind w:left="0"/>
        <w:rPr>
          <w:rFonts w:ascii="Times New Roman"/>
        </w:rPr>
      </w:pPr>
      <w:r>
        <w:rPr>
          <w:rFonts w:hint="eastAsia" w:ascii="Times New Roman"/>
        </w:rPr>
        <w:t>上述检验并不提供统计意义上的真正的正态性检验，但是，作为观测数据模型的正态分布函数是否合适，确实能给出一个快速的指示。如果即使在实施了转换之后，图形也不是合理的线性，那么（考虑到使用数据的目的）可能需要更详细的对称性和峰度检验。这已经超出了本文件的范围，感兴趣的用户可参见</w:t>
      </w:r>
      <w:r>
        <w:rPr>
          <w:rFonts w:ascii="Times New Roman"/>
        </w:rPr>
        <w:t>ISO 5479</w:t>
      </w:r>
      <w:r>
        <w:rPr>
          <w:rFonts w:hint="eastAsia" w:ascii="Times New Roman"/>
        </w:rPr>
        <w:t>。</w:t>
      </w:r>
    </w:p>
    <w:p>
      <w:pPr>
        <w:pStyle w:val="118"/>
        <w:numPr>
          <w:ilvl w:val="0"/>
          <w:numId w:val="0"/>
        </w:numPr>
        <w:ind w:firstLine="420" w:firstLineChars="200"/>
        <w:outlineLvl w:val="9"/>
        <w:rPr>
          <w:rFonts w:ascii="Times New Roman"/>
        </w:rPr>
      </w:pPr>
      <w:r>
        <w:rPr>
          <w:rFonts w:hint="eastAsia" w:ascii="Times New Roman"/>
          <w:dstrike/>
          <w:color w:val="FF0000"/>
          <w:highlight w:val="yellow"/>
        </w:rPr>
        <w:t>对数</w:t>
      </w:r>
      <w:r>
        <w:rPr>
          <w:rFonts w:ascii="Times New Roman"/>
          <w:dstrike/>
          <w:color w:val="FF0000"/>
          <w:highlight w:val="yellow"/>
        </w:rPr>
        <w:t>-</w:t>
      </w:r>
      <w:r>
        <w:rPr>
          <w:rFonts w:hint="eastAsia" w:ascii="Times New Roman"/>
          <w:dstrike/>
          <w:color w:val="FF0000"/>
          <w:highlight w:val="yellow"/>
        </w:rPr>
        <w:t>正态纸、威布尔</w:t>
      </w:r>
      <w:r>
        <w:rPr>
          <w:rFonts w:ascii="Times New Roman"/>
          <w:dstrike/>
          <w:color w:val="FF0000"/>
          <w:highlight w:val="yellow"/>
        </w:rPr>
        <w:t>(Weibull)</w:t>
      </w:r>
      <w:r>
        <w:rPr>
          <w:rFonts w:hint="eastAsia" w:ascii="Times New Roman"/>
          <w:dstrike/>
          <w:color w:val="FF0000"/>
          <w:highlight w:val="yellow"/>
        </w:rPr>
        <w:t>纸也方便得到。</w:t>
      </w:r>
    </w:p>
    <w:p>
      <w:pPr>
        <w:pStyle w:val="51"/>
        <w:spacing w:before="156" w:after="156"/>
      </w:pPr>
      <w:r>
        <w:rPr>
          <w:rFonts w:hint="eastAsia"/>
        </w:rPr>
        <w:t>双指数分布</w:t>
      </w:r>
    </w:p>
    <w:p>
      <w:pPr>
        <w:pStyle w:val="118"/>
        <w:ind w:left="0"/>
      </w:pPr>
      <w:r>
        <w:rPr>
          <w:rFonts w:hint="eastAsia"/>
        </w:rPr>
        <w:t>当预期分布遵循双指数分布时：</w:t>
      </w:r>
    </w:p>
    <w:p>
      <w:pPr>
        <w:pStyle w:val="59"/>
        <w:numPr>
          <w:ilvl w:val="0"/>
          <w:numId w:val="19"/>
        </w:numPr>
      </w:pPr>
      <w:r>
        <w:rPr>
          <w:rFonts w:hint="eastAsia"/>
        </w:rPr>
        <w:t>将数据按降序排列；</w:t>
      </w:r>
    </w:p>
    <w:p>
      <w:pPr>
        <w:pStyle w:val="59"/>
        <w:numPr>
          <w:ilvl w:val="0"/>
          <w:numId w:val="19"/>
        </w:numPr>
      </w:pPr>
      <w:r>
        <w:rPr>
          <w:rFonts w:hint="eastAsia"/>
        </w:rPr>
        <w:t>将该值作为纵坐标对表4给出的横坐标作图位置绘图。</w:t>
      </w:r>
    </w:p>
    <w:p>
      <w:pPr>
        <w:pStyle w:val="118"/>
        <w:ind w:left="0"/>
      </w:pPr>
      <w:r>
        <w:rPr>
          <w:rFonts w:hint="eastAsia"/>
        </w:rPr>
        <w:t>如果双指数函数有效，则得一条直线，且可得到下列值：</w:t>
      </w:r>
    </w:p>
    <w:p>
      <w:pPr>
        <w:pStyle w:val="59"/>
        <w:numPr>
          <w:ilvl w:val="0"/>
          <w:numId w:val="0"/>
        </w:numPr>
        <w:ind w:left="839" w:hanging="419"/>
      </w:pPr>
      <w:r>
        <w:rPr>
          <w:rFonts w:hint="eastAsia"/>
        </w:rPr>
        <w:t>a)</w:t>
      </w:r>
      <w:r>
        <w:rPr>
          <w:rFonts w:hint="eastAsia"/>
        </w:rPr>
        <w:tab/>
      </w:r>
      <w:r>
        <w:rPr>
          <w:rFonts w:hint="eastAsia"/>
        </w:rPr>
        <w:t>众数，对应于横坐标为零的纵坐标；</w:t>
      </w:r>
    </w:p>
    <w:p>
      <w:pPr>
        <w:pStyle w:val="59"/>
        <w:numPr>
          <w:ilvl w:val="0"/>
          <w:numId w:val="0"/>
        </w:numPr>
        <w:ind w:left="839" w:hanging="419"/>
      </w:pPr>
      <w:r>
        <w:rPr>
          <w:rFonts w:hint="eastAsia"/>
        </w:rPr>
        <w:t>b)</w:t>
      </w:r>
      <w:r>
        <w:rPr>
          <w:rFonts w:hint="eastAsia"/>
        </w:rPr>
        <w:tab/>
      </w:r>
      <w:r>
        <w:rPr>
          <w:rFonts w:hint="eastAsia"/>
        </w:rPr>
        <w:t>标准差，即对应于一个横坐标单位差的纵坐标差(即直线的斜率)；</w:t>
      </w:r>
    </w:p>
    <w:p>
      <w:pPr>
        <w:pStyle w:val="59"/>
        <w:numPr>
          <w:ilvl w:val="0"/>
          <w:numId w:val="0"/>
        </w:numPr>
        <w:ind w:left="839" w:hanging="419"/>
        <w:rPr>
          <w:highlight w:val="yellow"/>
        </w:rPr>
      </w:pPr>
      <w:r>
        <w:rPr>
          <w:rFonts w:hint="eastAsia"/>
          <w:highlight w:val="yellow"/>
        </w:rPr>
        <w:t>c)</w:t>
      </w:r>
      <w:r>
        <w:rPr>
          <w:rFonts w:hint="eastAsia"/>
          <w:highlight w:val="yellow"/>
        </w:rPr>
        <w:tab/>
      </w:r>
      <w:r>
        <w:rPr>
          <w:rFonts w:hint="eastAsia"/>
          <w:highlight w:val="yellow"/>
        </w:rPr>
        <w:t>中位数强度，对应于横坐标-0.3665的值；</w:t>
      </w:r>
    </w:p>
    <w:p>
      <w:pPr>
        <w:pStyle w:val="59"/>
        <w:numPr>
          <w:ilvl w:val="0"/>
          <w:numId w:val="0"/>
        </w:numPr>
        <w:ind w:left="839" w:hanging="419"/>
      </w:pPr>
      <w:r>
        <w:rPr>
          <w:rFonts w:hint="eastAsia"/>
          <w:highlight w:val="yellow"/>
        </w:rPr>
        <w:t>d)</w:t>
      </w:r>
      <w:r>
        <w:rPr>
          <w:rFonts w:hint="eastAsia"/>
          <w:highlight w:val="yellow"/>
        </w:rPr>
        <w:tab/>
      </w:r>
      <w:r>
        <w:rPr>
          <w:rFonts w:hint="eastAsia"/>
          <w:highlight w:val="yellow"/>
        </w:rPr>
        <w:t>均值，对应于横坐标-0.5772的值。</w:t>
      </w:r>
    </w:p>
    <w:p>
      <w:pPr>
        <w:pStyle w:val="59"/>
        <w:numPr>
          <w:ilvl w:val="0"/>
          <w:numId w:val="0"/>
        </w:numPr>
        <w:ind w:left="839" w:hanging="419"/>
        <w:rPr>
          <w:color w:val="FF0000"/>
        </w:rPr>
      </w:pPr>
    </w:p>
    <w:p>
      <w:pPr>
        <w:pStyle w:val="23"/>
        <w:rPr>
          <w:color w:val="FF0000"/>
        </w:rPr>
        <w:sectPr>
          <w:pgSz w:w="11906" w:h="16838"/>
          <w:pgMar w:top="567" w:right="1134" w:bottom="1134" w:left="1418" w:header="1418" w:footer="1134" w:gutter="0"/>
          <w:pgNumType w:start="1"/>
          <w:cols w:space="425" w:num="1"/>
          <w:formProt w:val="0"/>
          <w:docGrid w:type="lines" w:linePitch="312" w:charSpace="0"/>
        </w:sectPr>
      </w:pPr>
    </w:p>
    <w:p>
      <w:pPr>
        <w:pStyle w:val="127"/>
      </w:pPr>
      <w:r>
        <w:rPr>
          <w:rFonts w:hint="eastAsia"/>
        </w:rPr>
        <w:t>双指数分布作图位置表</w:t>
      </w:r>
    </w:p>
    <w:tbl>
      <w:tblPr>
        <w:tblStyle w:val="33"/>
        <w:tblW w:w="5000" w:type="pct"/>
        <w:jc w:val="center"/>
        <w:tblLayout w:type="autofit"/>
        <w:tblCellMar>
          <w:top w:w="0" w:type="dxa"/>
          <w:left w:w="108" w:type="dxa"/>
          <w:bottom w:w="0" w:type="dxa"/>
          <w:right w:w="108" w:type="dxa"/>
        </w:tblCellMar>
      </w:tblPr>
      <w:tblGrid>
        <w:gridCol w:w="488"/>
        <w:gridCol w:w="709"/>
        <w:gridCol w:w="709"/>
        <w:gridCol w:w="709"/>
        <w:gridCol w:w="709"/>
        <w:gridCol w:w="709"/>
        <w:gridCol w:w="709"/>
        <w:gridCol w:w="709"/>
        <w:gridCol w:w="709"/>
        <w:gridCol w:w="709"/>
        <w:gridCol w:w="709"/>
        <w:gridCol w:w="709"/>
        <w:gridCol w:w="709"/>
        <w:gridCol w:w="709"/>
        <w:gridCol w:w="709"/>
        <w:gridCol w:w="709"/>
        <w:gridCol w:w="710"/>
        <w:gridCol w:w="710"/>
        <w:gridCol w:w="710"/>
        <w:gridCol w:w="710"/>
        <w:gridCol w:w="710"/>
        <w:gridCol w:w="680"/>
      </w:tblGrid>
      <w:tr>
        <w:tblPrEx>
          <w:tblCellMar>
            <w:top w:w="0" w:type="dxa"/>
            <w:left w:w="108" w:type="dxa"/>
            <w:bottom w:w="0" w:type="dxa"/>
            <w:right w:w="108" w:type="dxa"/>
          </w:tblCellMar>
        </w:tblPrEx>
        <w:trPr>
          <w:trHeight w:val="270" w:hRule="atLeast"/>
          <w:jc w:val="center"/>
        </w:trPr>
        <w:tc>
          <w:tcPr>
            <w:tcW w:w="159"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right"/>
              <w:rPr>
                <w:i/>
                <w:iCs/>
                <w:color w:val="000000"/>
                <w:kern w:val="0"/>
                <w:sz w:val="15"/>
                <w:szCs w:val="15"/>
              </w:rPr>
            </w:pPr>
            <w:r>
              <w:rPr>
                <w:i/>
                <w:iCs/>
                <w:color w:val="000000"/>
                <w:kern w:val="0"/>
                <w:sz w:val="15"/>
                <w:szCs w:val="15"/>
              </w:rPr>
              <w:t>n</w:t>
            </w:r>
            <w:r>
              <w:rPr>
                <w:color w:val="000000"/>
                <w:kern w:val="0"/>
                <w:sz w:val="15"/>
                <w:szCs w:val="15"/>
                <w:vertAlign w:val="superscript"/>
              </w:rPr>
              <w:t>a</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5</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6</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7</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8</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9</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10</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11</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12</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13</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14</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15</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16</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17</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18</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19</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20</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21</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22</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23</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24</w:t>
            </w:r>
          </w:p>
        </w:tc>
        <w:tc>
          <w:tcPr>
            <w:tcW w:w="22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25</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0.89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1.92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1.10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1.13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1.17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1.19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1.21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1.23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1.25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1.27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1.28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1.29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1.37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1.37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2</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0.81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0.84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0.88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1.06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1.07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3</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0.81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0.83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0.85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0.87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4</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-1.15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0.69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0.71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5</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-2.54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-0.89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0.55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0.57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6</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-2.61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-1.55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0.42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0.44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7</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-2.76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-1.70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-1.20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0.29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0.32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8</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-2.88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-1.83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0.17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0.20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9</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-2.99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-1.94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-1.44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-1.13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0.05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0.09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10</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-3.09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-2.05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-1.53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-1.23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-0.82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-0.07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-0.02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11</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-3.18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-2.14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-1.63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-0.19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-0.14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12</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-3.26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-2.22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-1.71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-1.16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-0.84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-0.31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-0.25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13</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-3.34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-2.29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-1.79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-1.47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-1.23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-0.43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-0.37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14</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-3.40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-2.36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-1.86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-1.53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-1.12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-0.85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-0.56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-0.49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15</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-3.47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-2.43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-1.92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-1.60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-1.18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-0.70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-0.62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16</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-3.53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-2.49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-1.99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-1.66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-1.42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-1.24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-0.84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-0.76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17</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-3.58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-2.55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-2.05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-1.72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-1.47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-1.29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-1.13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-1.01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-0.90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18</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-3.64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-2.61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-2.10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-1.77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-1.52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-1.18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-1.06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19</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-3.69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-2.65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-2.15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-1.82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FF0000"/>
                <w:kern w:val="0"/>
                <w:sz w:val="15"/>
                <w:szCs w:val="15"/>
              </w:rPr>
              <w:t>-1.57</w:t>
            </w:r>
            <w:r>
              <w:rPr>
                <w:color w:val="000000"/>
                <w:kern w:val="0"/>
                <w:sz w:val="15"/>
                <w:szCs w:val="15"/>
              </w:rPr>
              <w:t xml:space="preserve">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-1.39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-1.24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20</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-3.74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-2.70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-2.20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-1.87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-1.62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-1.44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21</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-3.78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-2.75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-2.23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-1.91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-1.67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22</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-3.82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-2.79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-2.28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-1.96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23</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-3.86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-2.83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-2.33 </w:t>
            </w:r>
          </w:p>
        </w:tc>
      </w:tr>
      <w:tr>
        <w:tblPrEx>
          <w:tblCellMar>
            <w:top w:w="0" w:type="dxa"/>
            <w:left w:w="108" w:type="dxa"/>
            <w:bottom w:w="0" w:type="dxa"/>
            <w:right w:w="108" w:type="dxa"/>
          </w:tblCellMar>
        </w:tblPrEx>
        <w:trPr>
          <w:trHeight w:val="270" w:hRule="atLeast"/>
          <w:jc w:val="center"/>
        </w:trPr>
        <w:tc>
          <w:tcPr>
            <w:tcW w:w="159" w:type="pct"/>
            <w:tcBorders>
              <w:top w:val="nil"/>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24</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-3.90 </w:t>
            </w:r>
          </w:p>
        </w:tc>
        <w:tc>
          <w:tcPr>
            <w:tcW w:w="221" w:type="pct"/>
            <w:tcBorders>
              <w:top w:val="nil"/>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-2.88 </w:t>
            </w:r>
          </w:p>
        </w:tc>
      </w:tr>
      <w:tr>
        <w:tblPrEx>
          <w:tblCellMar>
            <w:top w:w="0" w:type="dxa"/>
            <w:left w:w="108" w:type="dxa"/>
            <w:bottom w:w="0" w:type="dxa"/>
            <w:right w:w="108" w:type="dxa"/>
          </w:tblCellMar>
        </w:tblPrEx>
        <w:trPr>
          <w:trHeight w:val="270" w:hRule="atLeast"/>
          <w:jc w:val="center"/>
        </w:trPr>
        <w:tc>
          <w:tcPr>
            <w:tcW w:w="159"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25</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3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rFonts w:ascii="宋体" w:hAnsi="宋体" w:cs="宋体"/>
                <w:color w:val="000000"/>
                <w:kern w:val="0"/>
                <w:sz w:val="15"/>
                <w:szCs w:val="15"/>
              </w:rPr>
            </w:pPr>
            <w:r>
              <w:rPr>
                <w:rFonts w:hint="eastAsia" w:ascii="宋体" w:hAnsi="宋体" w:cs="宋体"/>
                <w:color w:val="000000"/>
                <w:kern w:val="0"/>
                <w:sz w:val="15"/>
                <w:szCs w:val="15"/>
              </w:rPr>
              <w:t>　</w:t>
            </w:r>
          </w:p>
        </w:tc>
        <w:tc>
          <w:tcPr>
            <w:tcW w:w="221" w:type="pct"/>
            <w:tcBorders>
              <w:top w:val="single" w:color="auto" w:sz="4" w:space="0"/>
              <w:left w:val="nil"/>
              <w:bottom w:val="single" w:color="auto" w:sz="4" w:space="0"/>
              <w:right w:val="single" w:color="auto" w:sz="4" w:space="0"/>
            </w:tcBorders>
            <w:noWrap/>
            <w:vAlign w:val="center"/>
          </w:tcPr>
          <w:p>
            <w:pPr>
              <w:widowControl/>
              <w:spacing w:line="0" w:lineRule="atLeast"/>
              <w:jc w:val="right"/>
              <w:rPr>
                <w:color w:val="000000"/>
                <w:kern w:val="0"/>
                <w:sz w:val="15"/>
                <w:szCs w:val="15"/>
              </w:rPr>
            </w:pPr>
            <w:r>
              <w:rPr>
                <w:color w:val="000000"/>
                <w:kern w:val="0"/>
                <w:sz w:val="15"/>
                <w:szCs w:val="15"/>
              </w:rPr>
              <w:t xml:space="preserve">-3.94 </w:t>
            </w:r>
          </w:p>
        </w:tc>
      </w:tr>
      <w:tr>
        <w:tblPrEx>
          <w:tblCellMar>
            <w:top w:w="0" w:type="dxa"/>
            <w:left w:w="108" w:type="dxa"/>
            <w:bottom w:w="0" w:type="dxa"/>
            <w:right w:w="108" w:type="dxa"/>
          </w:tblCellMar>
        </w:tblPrEx>
        <w:trPr>
          <w:trHeight w:val="270" w:hRule="atLeast"/>
          <w:jc w:val="center"/>
        </w:trPr>
        <w:tc>
          <w:tcPr>
            <w:tcW w:w="159"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right"/>
              <w:rPr>
                <w:color w:val="000000"/>
                <w:kern w:val="0"/>
                <w:sz w:val="15"/>
                <w:szCs w:val="15"/>
              </w:rPr>
            </w:pPr>
          </w:p>
        </w:tc>
        <w:tc>
          <w:tcPr>
            <w:tcW w:w="4841" w:type="pct"/>
            <w:gridSpan w:val="21"/>
            <w:tcBorders>
              <w:top w:val="single" w:color="auto" w:sz="4" w:space="0"/>
              <w:left w:val="nil"/>
              <w:bottom w:val="single" w:color="auto" w:sz="4" w:space="0"/>
              <w:right w:val="single" w:color="auto" w:sz="4" w:space="0"/>
            </w:tcBorders>
            <w:noWrap/>
            <w:vAlign w:val="center"/>
          </w:tcPr>
          <w:p>
            <w:pPr>
              <w:widowControl/>
              <w:spacing w:line="0" w:lineRule="atLeast"/>
              <w:ind w:right="150"/>
              <w:rPr>
                <w:color w:val="000000"/>
                <w:kern w:val="0"/>
                <w:sz w:val="15"/>
                <w:szCs w:val="15"/>
              </w:rPr>
            </w:pPr>
            <w:r>
              <w:rPr>
                <w:rFonts w:hint="eastAsia"/>
                <w:vertAlign w:val="superscript"/>
              </w:rPr>
              <w:t>a</w:t>
            </w:r>
            <w:r>
              <w:rPr>
                <w:rFonts w:hint="eastAsia"/>
              </w:rPr>
              <w:tab/>
            </w:r>
            <w:r>
              <w:rPr>
                <w:rFonts w:hint="eastAsia"/>
                <w:i/>
                <w:sz w:val="15"/>
                <w:szCs w:val="15"/>
              </w:rPr>
              <w:t>n</w:t>
            </w:r>
            <w:r>
              <w:rPr>
                <w:rFonts w:hint="eastAsia"/>
                <w:sz w:val="15"/>
                <w:szCs w:val="15"/>
              </w:rPr>
              <w:t>=按降序列的试验结果序号。</w:t>
            </w:r>
          </w:p>
        </w:tc>
      </w:tr>
    </w:tbl>
    <w:p>
      <w:pPr>
        <w:pStyle w:val="23"/>
        <w:sectPr>
          <w:pgSz w:w="16838" w:h="11906" w:orient="landscape"/>
          <w:pgMar w:top="1418" w:right="567" w:bottom="1134" w:left="1134" w:header="1418" w:footer="1134" w:gutter="0"/>
          <w:cols w:space="425" w:num="1"/>
          <w:formProt w:val="0"/>
          <w:docGrid w:type="lines" w:linePitch="312" w:charSpace="0"/>
        </w:sectPr>
      </w:pPr>
    </w:p>
    <w:p>
      <w:pPr>
        <w:pStyle w:val="51"/>
        <w:spacing w:before="156" w:after="156"/>
      </w:pPr>
      <w:r>
        <w:rPr>
          <w:rFonts w:hint="eastAsia"/>
        </w:rPr>
        <w:t>威布尔分布</w:t>
      </w:r>
    </w:p>
    <w:p>
      <w:pPr>
        <w:spacing w:before="156" w:beforeLines="50" w:after="156" w:afterLines="50"/>
        <w:ind w:firstLine="420" w:firstLineChars="200"/>
      </w:pPr>
      <w:r>
        <w:rPr>
          <w:rFonts w:hint="eastAsia"/>
        </w:rPr>
        <w:t>如果假设威布尔分布有效，步骤如下：</w:t>
      </w:r>
    </w:p>
    <w:p>
      <w:pPr>
        <w:pStyle w:val="59"/>
        <w:numPr>
          <w:ilvl w:val="0"/>
          <w:numId w:val="20"/>
        </w:numPr>
      </w:pPr>
      <w:r>
        <w:rPr>
          <w:rFonts w:hint="eastAsia"/>
        </w:rPr>
        <w:t>将数据按升序排列；</w:t>
      </w:r>
    </w:p>
    <w:p>
      <w:pPr>
        <w:pStyle w:val="59"/>
        <w:numPr>
          <w:ilvl w:val="0"/>
          <w:numId w:val="20"/>
        </w:numPr>
      </w:pPr>
      <w:r>
        <w:rPr>
          <w:rFonts w:hint="eastAsia"/>
        </w:rPr>
        <w:t>如前述正态分布计算作图位置</w:t>
      </w:r>
      <w:r>
        <w:t>Pm</w:t>
      </w:r>
      <w:r>
        <w:rPr>
          <w:rFonts w:hint="eastAsia"/>
        </w:rPr>
        <w:t>；</w:t>
      </w:r>
    </w:p>
    <w:p>
      <w:pPr>
        <w:pStyle w:val="59"/>
        <w:numPr>
          <w:ilvl w:val="0"/>
          <w:numId w:val="20"/>
        </w:numPr>
      </w:pPr>
      <w:r>
        <w:rPr>
          <w:rFonts w:hint="eastAsia"/>
        </w:rPr>
        <w:t>在威布尔概率专用纸上以</w:t>
      </w:r>
      <w:r>
        <w:t>Pm</w:t>
      </w:r>
      <w:r>
        <w:rPr>
          <w:rFonts w:hint="eastAsia"/>
        </w:rPr>
        <w:t>对观察的寿命作图。</w:t>
      </w:r>
    </w:p>
    <w:p>
      <w:pPr>
        <w:pStyle w:val="64"/>
      </w:pPr>
      <w:r>
        <w:rPr>
          <w:rFonts w:hint="eastAsia"/>
        </w:rPr>
        <w:t>尽管作图纸可直接买到，但它很容易用常规的对数</w:t>
      </w:r>
      <w:r>
        <w:t>-</w:t>
      </w:r>
      <w:r>
        <w:rPr>
          <w:rFonts w:hint="eastAsia"/>
        </w:rPr>
        <w:t>对数图纸构成，附录</w:t>
      </w:r>
      <w:r>
        <w:t>E</w:t>
      </w:r>
      <w:r>
        <w:rPr>
          <w:rFonts w:hint="eastAsia"/>
        </w:rPr>
        <w:t>显示了如何做的方法。</w:t>
      </w:r>
    </w:p>
    <w:p>
      <w:pPr>
        <w:pStyle w:val="42"/>
      </w:pPr>
      <w:bookmarkStart w:id="220" w:name="_Toc124173930"/>
      <w:r>
        <w:rPr>
          <w:rFonts w:hint="eastAsia"/>
        </w:rPr>
        <w:t>橡胶试验的应用</w:t>
      </w:r>
      <w:bookmarkEnd w:id="220"/>
    </w:p>
    <w:p>
      <w:pPr>
        <w:pStyle w:val="46"/>
        <w:spacing w:before="156" w:after="156"/>
      </w:pPr>
      <w:r>
        <w:rPr>
          <w:rFonts w:hint="eastAsia"/>
        </w:rPr>
        <w:t>概要</w:t>
      </w:r>
    </w:p>
    <w:p>
      <w:pPr>
        <w:spacing w:before="156" w:beforeLines="50" w:after="156" w:afterLines="50"/>
        <w:ind w:firstLine="420" w:firstLineChars="200"/>
      </w:pPr>
      <w:r>
        <w:rPr>
          <w:rFonts w:hint="eastAsia"/>
        </w:rPr>
        <w:t>对于许多试验，结果接近于正态分布，并且通常适宜将结果表示为算术平均值和标准差。典型的例子在</w:t>
      </w:r>
      <w:r>
        <w:t>6.3.2</w:t>
      </w:r>
      <w:r>
        <w:rPr>
          <w:rFonts w:hint="eastAsia"/>
        </w:rPr>
        <w:t>和</w:t>
      </w:r>
      <w:r>
        <w:t>6.3.5</w:t>
      </w:r>
      <w:r>
        <w:rPr>
          <w:rFonts w:hint="eastAsia"/>
        </w:rPr>
        <w:t>中给出。</w:t>
      </w:r>
    </w:p>
    <w:p>
      <w:pPr>
        <w:pStyle w:val="46"/>
        <w:spacing w:before="156" w:after="156"/>
      </w:pPr>
      <w:r>
        <w:rPr>
          <w:rFonts w:hint="eastAsia"/>
        </w:rPr>
        <w:t>拉伸试验</w:t>
      </w:r>
    </w:p>
    <w:p>
      <w:pPr>
        <w:pStyle w:val="113"/>
      </w:pPr>
      <w:r>
        <w:rPr>
          <w:rFonts w:hint="eastAsia"/>
        </w:rPr>
        <w:t>按ISO37试验后观察到的下列三组12个拉伸强度在表5中给出，并按降序排列。由于有12个结果，所以每一栏中的中位数是其中间两个值的平均值。</w:t>
      </w:r>
    </w:p>
    <w:p>
      <w:pPr>
        <w:pStyle w:val="127"/>
        <w:ind w:left="0"/>
      </w:pPr>
      <w:r>
        <w:rPr>
          <w:rFonts w:hint="eastAsia"/>
        </w:rPr>
        <w:t>拉伸强度的测量值</w:t>
      </w:r>
    </w:p>
    <w:tbl>
      <w:tblPr>
        <w:tblStyle w:val="33"/>
        <w:tblW w:w="5000" w:type="pct"/>
        <w:tblInd w:w="0" w:type="dxa"/>
        <w:tblLayout w:type="autofit"/>
        <w:tblCellMar>
          <w:top w:w="0" w:type="dxa"/>
          <w:left w:w="108" w:type="dxa"/>
          <w:bottom w:w="0" w:type="dxa"/>
          <w:right w:w="108" w:type="dxa"/>
        </w:tblCellMar>
      </w:tblPr>
      <w:tblGrid>
        <w:gridCol w:w="1594"/>
        <w:gridCol w:w="1600"/>
        <w:gridCol w:w="1594"/>
        <w:gridCol w:w="1596"/>
        <w:gridCol w:w="1594"/>
        <w:gridCol w:w="1592"/>
      </w:tblGrid>
      <w:tr>
        <w:tblPrEx>
          <w:tblCellMar>
            <w:top w:w="0" w:type="dxa"/>
            <w:left w:w="108" w:type="dxa"/>
            <w:bottom w:w="0" w:type="dxa"/>
            <w:right w:w="108" w:type="dxa"/>
          </w:tblCellMar>
        </w:tblPrEx>
        <w:trPr>
          <w:trHeight w:val="270" w:hRule="atLeast"/>
        </w:trPr>
        <w:tc>
          <w:tcPr>
            <w:tcW w:w="16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混炼胶</w:t>
            </w:r>
            <w:r>
              <w:rPr>
                <w:color w:val="000000"/>
                <w:kern w:val="0"/>
                <w:sz w:val="18"/>
                <w:szCs w:val="18"/>
              </w:rPr>
              <w:t>A</w:t>
            </w:r>
          </w:p>
        </w:tc>
        <w:tc>
          <w:tcPr>
            <w:tcW w:w="1667" w:type="pct"/>
            <w:gridSpan w:val="2"/>
            <w:tcBorders>
              <w:top w:val="single" w:color="auto" w:sz="4" w:space="0"/>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混炼胶</w:t>
            </w:r>
            <w:r>
              <w:rPr>
                <w:color w:val="000000"/>
                <w:kern w:val="0"/>
                <w:sz w:val="18"/>
                <w:szCs w:val="18"/>
              </w:rPr>
              <w:t>B</w:t>
            </w:r>
          </w:p>
        </w:tc>
        <w:tc>
          <w:tcPr>
            <w:tcW w:w="1665" w:type="pct"/>
            <w:gridSpan w:val="2"/>
            <w:tcBorders>
              <w:top w:val="single" w:color="auto" w:sz="4" w:space="0"/>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混炼胶</w:t>
            </w:r>
            <w:r>
              <w:rPr>
                <w:color w:val="000000"/>
                <w:kern w:val="0"/>
                <w:sz w:val="18"/>
                <w:szCs w:val="18"/>
              </w:rPr>
              <w:t>C</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拉伸强度</w:t>
            </w:r>
          </w:p>
        </w:tc>
        <w:tc>
          <w:tcPr>
            <w:tcW w:w="8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中位数</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拉伸强度</w:t>
            </w:r>
          </w:p>
        </w:tc>
        <w:tc>
          <w:tcPr>
            <w:tcW w:w="834"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中位数</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拉伸强度</w:t>
            </w:r>
          </w:p>
        </w:tc>
        <w:tc>
          <w:tcPr>
            <w:tcW w:w="832"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中位数</w:t>
            </w:r>
          </w:p>
        </w:tc>
      </w:tr>
      <w:tr>
        <w:trPr>
          <w:trHeight w:val="270" w:hRule="atLeast"/>
        </w:trPr>
        <w:tc>
          <w:tcPr>
            <w:tcW w:w="833" w:type="pct"/>
            <w:tcBorders>
              <w:top w:val="single" w:color="auto" w:sz="4" w:space="0"/>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26.7</w:t>
            </w:r>
          </w:p>
        </w:tc>
        <w:tc>
          <w:tcPr>
            <w:tcW w:w="835" w:type="pct"/>
            <w:tcBorders>
              <w:top w:val="single" w:color="auto" w:sz="4" w:space="0"/>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single" w:color="auto" w:sz="4" w:space="0"/>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28.4</w:t>
            </w:r>
          </w:p>
        </w:tc>
        <w:tc>
          <w:tcPr>
            <w:tcW w:w="834" w:type="pct"/>
            <w:tcBorders>
              <w:top w:val="single" w:color="auto" w:sz="4" w:space="0"/>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single" w:color="auto" w:sz="4" w:space="0"/>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19.7</w:t>
            </w:r>
          </w:p>
        </w:tc>
        <w:tc>
          <w:tcPr>
            <w:tcW w:w="832" w:type="pct"/>
            <w:tcBorders>
              <w:top w:val="single" w:color="auto" w:sz="4" w:space="0"/>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26.2</w:t>
            </w:r>
          </w:p>
        </w:tc>
        <w:tc>
          <w:tcPr>
            <w:tcW w:w="835"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27.9</w:t>
            </w:r>
          </w:p>
        </w:tc>
        <w:tc>
          <w:tcPr>
            <w:tcW w:w="834"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19.6</w:t>
            </w:r>
          </w:p>
        </w:tc>
        <w:tc>
          <w:tcPr>
            <w:tcW w:w="832"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26.1</w:t>
            </w:r>
          </w:p>
        </w:tc>
        <w:tc>
          <w:tcPr>
            <w:tcW w:w="835"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27.4</w:t>
            </w:r>
          </w:p>
        </w:tc>
        <w:tc>
          <w:tcPr>
            <w:tcW w:w="834"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19.2</w:t>
            </w:r>
          </w:p>
        </w:tc>
        <w:tc>
          <w:tcPr>
            <w:tcW w:w="832"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26.1</w:t>
            </w:r>
          </w:p>
        </w:tc>
        <w:tc>
          <w:tcPr>
            <w:tcW w:w="835"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27.1</w:t>
            </w:r>
          </w:p>
        </w:tc>
        <w:tc>
          <w:tcPr>
            <w:tcW w:w="834"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19.0</w:t>
            </w:r>
          </w:p>
        </w:tc>
        <w:tc>
          <w:tcPr>
            <w:tcW w:w="832"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25.9</w:t>
            </w:r>
          </w:p>
        </w:tc>
        <w:tc>
          <w:tcPr>
            <w:tcW w:w="835"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26.8</w:t>
            </w:r>
          </w:p>
        </w:tc>
        <w:tc>
          <w:tcPr>
            <w:tcW w:w="834"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18.7</w:t>
            </w:r>
          </w:p>
        </w:tc>
        <w:tc>
          <w:tcPr>
            <w:tcW w:w="832"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25.8</w:t>
            </w:r>
          </w:p>
        </w:tc>
        <w:tc>
          <w:tcPr>
            <w:tcW w:w="835"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26.5</w:t>
            </w:r>
          </w:p>
        </w:tc>
        <w:tc>
          <w:tcPr>
            <w:tcW w:w="834"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18.4</w:t>
            </w:r>
          </w:p>
        </w:tc>
        <w:tc>
          <w:tcPr>
            <w:tcW w:w="832"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5"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25.8</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4"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26.4</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2"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18.3</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25.8</w:t>
            </w:r>
          </w:p>
        </w:tc>
        <w:tc>
          <w:tcPr>
            <w:tcW w:w="835"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26.3</w:t>
            </w:r>
          </w:p>
        </w:tc>
        <w:tc>
          <w:tcPr>
            <w:tcW w:w="834"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18.1</w:t>
            </w:r>
          </w:p>
        </w:tc>
        <w:tc>
          <w:tcPr>
            <w:tcW w:w="832"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25.8</w:t>
            </w:r>
          </w:p>
        </w:tc>
        <w:tc>
          <w:tcPr>
            <w:tcW w:w="835"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26.2</w:t>
            </w:r>
          </w:p>
        </w:tc>
        <w:tc>
          <w:tcPr>
            <w:tcW w:w="834"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17.3</w:t>
            </w:r>
          </w:p>
        </w:tc>
        <w:tc>
          <w:tcPr>
            <w:tcW w:w="832"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25.7</w:t>
            </w:r>
          </w:p>
        </w:tc>
        <w:tc>
          <w:tcPr>
            <w:tcW w:w="835"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26</w:t>
            </w:r>
          </w:p>
        </w:tc>
        <w:tc>
          <w:tcPr>
            <w:tcW w:w="834"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16.4</w:t>
            </w:r>
          </w:p>
        </w:tc>
        <w:tc>
          <w:tcPr>
            <w:tcW w:w="832"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25.6</w:t>
            </w:r>
          </w:p>
        </w:tc>
        <w:tc>
          <w:tcPr>
            <w:tcW w:w="835"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25.9</w:t>
            </w:r>
          </w:p>
        </w:tc>
        <w:tc>
          <w:tcPr>
            <w:tcW w:w="834"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15.6</w:t>
            </w:r>
          </w:p>
        </w:tc>
        <w:tc>
          <w:tcPr>
            <w:tcW w:w="832"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25.1</w:t>
            </w:r>
          </w:p>
        </w:tc>
        <w:tc>
          <w:tcPr>
            <w:tcW w:w="835"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24.6</w:t>
            </w:r>
          </w:p>
        </w:tc>
        <w:tc>
          <w:tcPr>
            <w:tcW w:w="834"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15.1</w:t>
            </w:r>
          </w:p>
        </w:tc>
        <w:tc>
          <w:tcPr>
            <w:tcW w:w="832" w:type="pct"/>
            <w:tcBorders>
              <w:top w:val="nil"/>
              <w:left w:val="single" w:color="auto" w:sz="4" w:space="0"/>
              <w:bottom w:val="nil"/>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r>
      <w:tr>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25.0</w:t>
            </w:r>
          </w:p>
        </w:tc>
        <w:tc>
          <w:tcPr>
            <w:tcW w:w="835"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24.1</w:t>
            </w:r>
          </w:p>
        </w:tc>
        <w:tc>
          <w:tcPr>
            <w:tcW w:w="834"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13.5</w:t>
            </w:r>
          </w:p>
        </w:tc>
        <w:tc>
          <w:tcPr>
            <w:tcW w:w="832"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r>
    </w:tbl>
    <w:p>
      <w:pPr>
        <w:pStyle w:val="113"/>
        <w:spacing w:before="312" w:beforeLines="100"/>
      </w:pPr>
      <w:r>
        <w:rPr>
          <w:rFonts w:hint="eastAsia"/>
        </w:rPr>
        <w:t>表6中的信息用下列方法计算：</w:t>
      </w:r>
    </w:p>
    <w:p>
      <w:pPr>
        <w:pStyle w:val="59"/>
        <w:numPr>
          <w:ilvl w:val="0"/>
          <w:numId w:val="21"/>
        </w:numPr>
      </w:pPr>
      <w:r>
        <w:rPr>
          <w:rFonts w:hint="eastAsia"/>
        </w:rPr>
        <w:t>按6.2.2.2计算均值；</w:t>
      </w:r>
    </w:p>
    <w:p>
      <w:pPr>
        <w:pStyle w:val="59"/>
        <w:numPr>
          <w:ilvl w:val="0"/>
          <w:numId w:val="21"/>
        </w:numPr>
      </w:pPr>
      <w:r>
        <w:rPr>
          <w:rFonts w:hint="eastAsia"/>
        </w:rPr>
        <w:t>按6.2.3计算标准差和均值的标准误差；</w:t>
      </w:r>
    </w:p>
    <w:p>
      <w:pPr>
        <w:pStyle w:val="59"/>
        <w:numPr>
          <w:ilvl w:val="0"/>
          <w:numId w:val="21"/>
        </w:numPr>
      </w:pPr>
      <w:r>
        <w:rPr>
          <w:rFonts w:hint="eastAsia"/>
        </w:rPr>
        <w:t>计算出的中位数用a)和b)得到的值按C.1计算（即，双指数分布）。</w:t>
      </w:r>
    </w:p>
    <w:p>
      <w:pPr>
        <w:pStyle w:val="127"/>
        <w:ind w:left="0"/>
      </w:pPr>
      <w:r>
        <w:rPr>
          <w:rFonts w:hint="eastAsia"/>
        </w:rPr>
        <w:t>拉伸强度测量的计算值</w:t>
      </w:r>
    </w:p>
    <w:tbl>
      <w:tblPr>
        <w:tblStyle w:val="33"/>
        <w:tblW w:w="5000" w:type="pct"/>
        <w:tblInd w:w="0" w:type="dxa"/>
        <w:tblLayout w:type="autofit"/>
        <w:tblCellMar>
          <w:top w:w="0" w:type="dxa"/>
          <w:left w:w="108" w:type="dxa"/>
          <w:bottom w:w="0" w:type="dxa"/>
          <w:right w:w="108" w:type="dxa"/>
        </w:tblCellMar>
      </w:tblPr>
      <w:tblGrid>
        <w:gridCol w:w="1248"/>
        <w:gridCol w:w="1248"/>
        <w:gridCol w:w="1248"/>
        <w:gridCol w:w="2404"/>
        <w:gridCol w:w="1641"/>
        <w:gridCol w:w="1781"/>
      </w:tblGrid>
      <w:tr>
        <w:tblPrEx>
          <w:tblCellMar>
            <w:top w:w="0" w:type="dxa"/>
            <w:left w:w="108" w:type="dxa"/>
            <w:bottom w:w="0" w:type="dxa"/>
            <w:right w:w="108" w:type="dxa"/>
          </w:tblCellMar>
        </w:tblPrEx>
        <w:trPr>
          <w:trHeight w:val="270" w:hRule="atLeast"/>
        </w:trPr>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混炼胶</w:t>
            </w:r>
          </w:p>
        </w:tc>
        <w:tc>
          <w:tcPr>
            <w:tcW w:w="6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平均值</w:t>
            </w:r>
          </w:p>
        </w:tc>
        <w:tc>
          <w:tcPr>
            <w:tcW w:w="65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标准差</w:t>
            </w:r>
          </w:p>
        </w:tc>
        <w:tc>
          <w:tcPr>
            <w:tcW w:w="125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均值的标准误差</w:t>
            </w:r>
          </w:p>
        </w:tc>
        <w:tc>
          <w:tcPr>
            <w:tcW w:w="8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观察到的中位数</w:t>
            </w:r>
          </w:p>
        </w:tc>
        <w:tc>
          <w:tcPr>
            <w:tcW w:w="93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计算出的中位数</w:t>
            </w:r>
          </w:p>
        </w:tc>
      </w:tr>
      <w:tr>
        <w:tblPrEx>
          <w:tblCellMar>
            <w:top w:w="0" w:type="dxa"/>
            <w:left w:w="108" w:type="dxa"/>
            <w:bottom w:w="0" w:type="dxa"/>
            <w:right w:w="108" w:type="dxa"/>
          </w:tblCellMar>
        </w:tblPrEx>
        <w:trPr>
          <w:trHeight w:val="270" w:hRule="atLeast"/>
        </w:trPr>
        <w:tc>
          <w:tcPr>
            <w:tcW w:w="65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A</w:t>
            </w:r>
          </w:p>
        </w:tc>
        <w:tc>
          <w:tcPr>
            <w:tcW w:w="6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2</w:t>
            </w:r>
            <w:r>
              <w:rPr>
                <w:rFonts w:hint="eastAsia" w:ascii="宋体" w:hAnsi="宋体" w:cs="宋体"/>
                <w:color w:val="000000"/>
                <w:kern w:val="0"/>
                <w:sz w:val="18"/>
                <w:szCs w:val="18"/>
              </w:rPr>
              <w:t>5.8</w:t>
            </w:r>
          </w:p>
        </w:tc>
        <w:tc>
          <w:tcPr>
            <w:tcW w:w="6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0.46</w:t>
            </w:r>
          </w:p>
        </w:tc>
        <w:tc>
          <w:tcPr>
            <w:tcW w:w="125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0.13</w:t>
            </w:r>
          </w:p>
        </w:tc>
        <w:tc>
          <w:tcPr>
            <w:tcW w:w="8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25.8</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FF0000"/>
                <w:kern w:val="0"/>
                <w:sz w:val="18"/>
                <w:szCs w:val="18"/>
              </w:rPr>
              <w:t>25.9</w:t>
            </w:r>
          </w:p>
        </w:tc>
      </w:tr>
      <w:tr>
        <w:tblPrEx>
          <w:tblCellMar>
            <w:top w:w="0" w:type="dxa"/>
            <w:left w:w="108" w:type="dxa"/>
            <w:bottom w:w="0" w:type="dxa"/>
            <w:right w:w="108" w:type="dxa"/>
          </w:tblCellMar>
        </w:tblPrEx>
        <w:trPr>
          <w:trHeight w:val="270" w:hRule="atLeast"/>
        </w:trPr>
        <w:tc>
          <w:tcPr>
            <w:tcW w:w="65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6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26.4</w:t>
            </w:r>
          </w:p>
        </w:tc>
        <w:tc>
          <w:tcPr>
            <w:tcW w:w="6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1.24</w:t>
            </w:r>
          </w:p>
        </w:tc>
        <w:tc>
          <w:tcPr>
            <w:tcW w:w="125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0.36</w:t>
            </w:r>
          </w:p>
        </w:tc>
        <w:tc>
          <w:tcPr>
            <w:tcW w:w="8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26.4</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26.6</w:t>
            </w:r>
          </w:p>
        </w:tc>
      </w:tr>
      <w:tr>
        <w:tblPrEx>
          <w:tblCellMar>
            <w:top w:w="0" w:type="dxa"/>
            <w:left w:w="108" w:type="dxa"/>
            <w:bottom w:w="0" w:type="dxa"/>
            <w:right w:w="108" w:type="dxa"/>
          </w:tblCellMar>
        </w:tblPrEx>
        <w:trPr>
          <w:trHeight w:val="270" w:hRule="atLeast"/>
        </w:trPr>
        <w:tc>
          <w:tcPr>
            <w:tcW w:w="65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w:t>
            </w:r>
          </w:p>
        </w:tc>
        <w:tc>
          <w:tcPr>
            <w:tcW w:w="6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17.6</w:t>
            </w:r>
          </w:p>
        </w:tc>
        <w:tc>
          <w:tcPr>
            <w:tcW w:w="65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1.99</w:t>
            </w:r>
          </w:p>
        </w:tc>
        <w:tc>
          <w:tcPr>
            <w:tcW w:w="125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0.57</w:t>
            </w:r>
          </w:p>
        </w:tc>
        <w:tc>
          <w:tcPr>
            <w:tcW w:w="8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18.3</w:t>
            </w:r>
          </w:p>
        </w:tc>
        <w:tc>
          <w:tcPr>
            <w:tcW w:w="93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17.9</w:t>
            </w:r>
          </w:p>
        </w:tc>
      </w:tr>
    </w:tbl>
    <w:p>
      <w:pPr>
        <w:pStyle w:val="23"/>
      </w:pPr>
    </w:p>
    <w:p>
      <w:pPr>
        <w:spacing w:before="156" w:beforeLines="50" w:after="156" w:afterLines="50"/>
        <w:jc w:val="center"/>
        <w:rPr>
          <w:rFonts w:ascii="宋体" w:hAnsi="宋体"/>
        </w:rPr>
      </w:pPr>
    </w:p>
    <w:p>
      <w:pPr>
        <w:pStyle w:val="113"/>
      </w:pPr>
      <w:r>
        <w:rPr>
          <w:rFonts w:hint="eastAsia"/>
        </w:rPr>
        <w:t>比较这两组中位数，很明显，观察数据所得中位数与用平均值、标准差和附录C计算得到的基本相同。</w:t>
      </w:r>
    </w:p>
    <w:p>
      <w:pPr>
        <w:pStyle w:val="113"/>
      </w:pPr>
      <w:r>
        <w:rPr>
          <w:rFonts w:hint="eastAsia"/>
        </w:rPr>
        <w:t>考察这三种混炼胶的平均值(结合它们的标准误差)表明，A和B在彼此的实验误差范围内，但混炼胶C有显著差异。</w:t>
      </w:r>
    </w:p>
    <w:p>
      <w:pPr>
        <w:pStyle w:val="113"/>
      </w:pPr>
      <w:r>
        <w:rPr>
          <w:rFonts w:hint="eastAsia"/>
        </w:rPr>
        <w:t>全部结果汇总在图5中。</w:t>
      </w:r>
    </w:p>
    <w:p>
      <w:pPr>
        <w:pStyle w:val="23"/>
      </w:pPr>
      <w:r>
        <w:drawing>
          <wp:inline distT="0" distB="0" distL="0" distR="0">
            <wp:extent cx="927735" cy="1180465"/>
            <wp:effectExtent l="0" t="0" r="5715" b="63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27735" cy="1180465"/>
                    </a:xfrm>
                    <a:prstGeom prst="rect">
                      <a:avLst/>
                    </a:prstGeom>
                    <a:noFill/>
                    <a:ln>
                      <a:noFill/>
                    </a:ln>
                  </pic:spPr>
                </pic:pic>
              </a:graphicData>
            </a:graphic>
          </wp:inline>
        </w:drawing>
      </w:r>
      <w:r>
        <w:t xml:space="preserve">      </w:t>
      </w:r>
      <w:r>
        <w:drawing>
          <wp:inline distT="0" distB="0" distL="0" distR="0">
            <wp:extent cx="1542415" cy="1194435"/>
            <wp:effectExtent l="0" t="0" r="635" b="571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542415" cy="1194435"/>
                    </a:xfrm>
                    <a:prstGeom prst="rect">
                      <a:avLst/>
                    </a:prstGeom>
                    <a:noFill/>
                    <a:ln>
                      <a:noFill/>
                    </a:ln>
                  </pic:spPr>
                </pic:pic>
              </a:graphicData>
            </a:graphic>
          </wp:inline>
        </w:drawing>
      </w:r>
      <w:r>
        <w:t xml:space="preserve">     </w:t>
      </w:r>
      <w:r>
        <w:drawing>
          <wp:inline distT="0" distB="0" distL="0" distR="0">
            <wp:extent cx="1692275" cy="1118870"/>
            <wp:effectExtent l="0" t="0" r="3175" b="5080"/>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92275" cy="1118870"/>
                    </a:xfrm>
                    <a:prstGeom prst="rect">
                      <a:avLst/>
                    </a:prstGeom>
                    <a:noFill/>
                    <a:ln>
                      <a:noFill/>
                    </a:ln>
                  </pic:spPr>
                </pic:pic>
              </a:graphicData>
            </a:graphic>
          </wp:inline>
        </w:drawing>
      </w:r>
    </w:p>
    <w:p>
      <w:pPr>
        <w:spacing w:line="0" w:lineRule="atLeast"/>
        <w:jc w:val="left"/>
        <w:rPr>
          <w:rFonts w:ascii="宋体" w:hAnsi="宋体"/>
        </w:rPr>
      </w:pPr>
      <w:r>
        <w:rPr>
          <w:rFonts w:hint="eastAsia" w:ascii="宋体" w:hAnsi="宋体"/>
        </w:rPr>
        <w:t>说明:</w:t>
      </w:r>
    </w:p>
    <w:p>
      <w:pPr>
        <w:spacing w:line="0" w:lineRule="atLeast"/>
        <w:ind w:left="630" w:leftChars="300"/>
        <w:jc w:val="left"/>
        <w:rPr>
          <w:rFonts w:ascii="宋体" w:hAnsi="宋体"/>
        </w:rPr>
      </w:pPr>
      <w:r>
        <w:rPr>
          <w:rFonts w:hint="eastAsia" w:ascii="宋体" w:hAnsi="宋体"/>
        </w:rPr>
        <w:t>1、中位数1（观测值）</w:t>
      </w:r>
    </w:p>
    <w:p>
      <w:pPr>
        <w:spacing w:line="0" w:lineRule="atLeast"/>
        <w:ind w:left="630" w:leftChars="300"/>
        <w:jc w:val="left"/>
        <w:rPr>
          <w:rFonts w:ascii="宋体" w:hAnsi="宋体"/>
        </w:rPr>
      </w:pPr>
      <w:r>
        <w:rPr>
          <w:rFonts w:hint="eastAsia" w:ascii="宋体" w:hAnsi="宋体"/>
        </w:rPr>
        <w:t>2、中位数2（计算值）</w:t>
      </w:r>
    </w:p>
    <w:p>
      <w:pPr>
        <w:pStyle w:val="23"/>
      </w:pPr>
    </w:p>
    <w:p>
      <w:pPr>
        <w:pStyle w:val="129"/>
        <w:spacing w:after="0" w:afterLines="0"/>
      </w:pPr>
      <w:r>
        <w:rPr>
          <w:rFonts w:hint="eastAsia" w:hAnsi="黑体"/>
        </w:rPr>
        <w:t>三种混炼胶平均值和中位数数据的图形展示</w:t>
      </w:r>
    </w:p>
    <w:p>
      <w:pPr>
        <w:pStyle w:val="23"/>
        <w:jc w:val="center"/>
      </w:pPr>
      <w:r>
        <w:rPr>
          <w:rFonts w:hint="eastAsia" w:hAnsi="宋体"/>
        </w:rPr>
        <w:t>（使用表6的拉伸强度数据）</w:t>
      </w:r>
    </w:p>
    <w:p>
      <w:pPr>
        <w:pStyle w:val="46"/>
        <w:spacing w:before="156" w:after="156"/>
      </w:pPr>
      <w:r>
        <w:rPr>
          <w:rFonts w:hint="eastAsia"/>
        </w:rPr>
        <w:t>疲劳</w:t>
      </w:r>
    </w:p>
    <w:p>
      <w:pPr>
        <w:pStyle w:val="113"/>
      </w:pPr>
      <w:r>
        <w:rPr>
          <w:rFonts w:hint="eastAsia"/>
        </w:rPr>
        <w:t>按ISO 6943在10个平行试样上进行的拉伸疲劳试验得到的观察值列于表7.</w:t>
      </w:r>
    </w:p>
    <w:p>
      <w:pPr>
        <w:pStyle w:val="127"/>
        <w:ind w:left="0"/>
      </w:pPr>
      <w:r>
        <w:t>拉伸疲劳试验测量值</w:t>
      </w:r>
    </w:p>
    <w:tbl>
      <w:tblPr>
        <w:tblStyle w:val="33"/>
        <w:tblW w:w="5000" w:type="pct"/>
        <w:jc w:val="center"/>
        <w:tblLayout w:type="autofit"/>
        <w:tblCellMar>
          <w:top w:w="0" w:type="dxa"/>
          <w:left w:w="108" w:type="dxa"/>
          <w:bottom w:w="0" w:type="dxa"/>
          <w:right w:w="108" w:type="dxa"/>
        </w:tblCellMar>
      </w:tblPr>
      <w:tblGrid>
        <w:gridCol w:w="4785"/>
        <w:gridCol w:w="4785"/>
      </w:tblGrid>
      <w:tr>
        <w:tblPrEx>
          <w:tblCellMar>
            <w:top w:w="0" w:type="dxa"/>
            <w:left w:w="108" w:type="dxa"/>
            <w:bottom w:w="0" w:type="dxa"/>
            <w:right w:w="108" w:type="dxa"/>
          </w:tblCellMar>
        </w:tblPrEx>
        <w:trPr>
          <w:trHeight w:val="285" w:hRule="atLeast"/>
          <w:jc w:val="center"/>
        </w:trPr>
        <w:tc>
          <w:tcPr>
            <w:tcW w:w="2500" w:type="pct"/>
            <w:tcBorders>
              <w:top w:val="single" w:color="auto" w:sz="8" w:space="0"/>
              <w:left w:val="single" w:color="auto" w:sz="8" w:space="0"/>
              <w:bottom w:val="single" w:color="auto" w:sz="8" w:space="0"/>
              <w:right w:val="single" w:color="auto" w:sz="8" w:space="0"/>
            </w:tcBorders>
            <w:noWrap/>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试样</w:t>
            </w:r>
          </w:p>
        </w:tc>
        <w:tc>
          <w:tcPr>
            <w:tcW w:w="2500" w:type="pct"/>
            <w:tcBorders>
              <w:top w:val="single" w:color="auto" w:sz="8" w:space="0"/>
              <w:left w:val="nil"/>
              <w:bottom w:val="single" w:color="auto" w:sz="8" w:space="0"/>
              <w:right w:val="single" w:color="auto" w:sz="8" w:space="0"/>
            </w:tcBorders>
            <w:noWrap/>
            <w:vAlign w:val="center"/>
          </w:tcPr>
          <w:p>
            <w:pPr>
              <w:widowControl/>
              <w:jc w:val="center"/>
              <w:rPr>
                <w:rFonts w:ascii="黑体" w:hAnsi="黑体" w:eastAsia="黑体" w:cs="宋体"/>
                <w:color w:val="000000"/>
                <w:kern w:val="0"/>
                <w:sz w:val="18"/>
                <w:szCs w:val="18"/>
              </w:rPr>
            </w:pPr>
            <w:r>
              <w:rPr>
                <w:rFonts w:hint="eastAsia" w:ascii="黑体" w:hAnsi="黑体" w:eastAsia="黑体" w:cs="宋体"/>
                <w:color w:val="000000"/>
                <w:kern w:val="0"/>
                <w:sz w:val="18"/>
                <w:szCs w:val="18"/>
              </w:rPr>
              <w:t>疲劳次数</w:t>
            </w:r>
          </w:p>
        </w:tc>
      </w:tr>
      <w:tr>
        <w:tblPrEx>
          <w:tblCellMar>
            <w:top w:w="0" w:type="dxa"/>
            <w:left w:w="108" w:type="dxa"/>
            <w:bottom w:w="0" w:type="dxa"/>
            <w:right w:w="108" w:type="dxa"/>
          </w:tblCellMar>
        </w:tblPrEx>
        <w:trPr>
          <w:trHeight w:val="285" w:hRule="atLeast"/>
          <w:jc w:val="center"/>
        </w:trPr>
        <w:tc>
          <w:tcPr>
            <w:tcW w:w="2500" w:type="pct"/>
            <w:tcBorders>
              <w:top w:val="nil"/>
              <w:left w:val="single" w:color="auto" w:sz="8" w:space="0"/>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1</w:t>
            </w:r>
          </w:p>
        </w:tc>
        <w:tc>
          <w:tcPr>
            <w:tcW w:w="2500" w:type="pct"/>
            <w:tcBorders>
              <w:top w:val="nil"/>
              <w:left w:val="nil"/>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219</w:t>
            </w:r>
          </w:p>
        </w:tc>
      </w:tr>
      <w:tr>
        <w:tblPrEx>
          <w:tblCellMar>
            <w:top w:w="0" w:type="dxa"/>
            <w:left w:w="108" w:type="dxa"/>
            <w:bottom w:w="0" w:type="dxa"/>
            <w:right w:w="108" w:type="dxa"/>
          </w:tblCellMar>
        </w:tblPrEx>
        <w:trPr>
          <w:trHeight w:val="285" w:hRule="atLeast"/>
          <w:jc w:val="center"/>
        </w:trPr>
        <w:tc>
          <w:tcPr>
            <w:tcW w:w="2500" w:type="pct"/>
            <w:tcBorders>
              <w:top w:val="nil"/>
              <w:left w:val="single" w:color="auto" w:sz="8" w:space="0"/>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2</w:t>
            </w:r>
          </w:p>
        </w:tc>
        <w:tc>
          <w:tcPr>
            <w:tcW w:w="2500" w:type="pct"/>
            <w:tcBorders>
              <w:top w:val="nil"/>
              <w:left w:val="nil"/>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347</w:t>
            </w:r>
          </w:p>
        </w:tc>
      </w:tr>
      <w:tr>
        <w:tblPrEx>
          <w:tblCellMar>
            <w:top w:w="0" w:type="dxa"/>
            <w:left w:w="108" w:type="dxa"/>
            <w:bottom w:w="0" w:type="dxa"/>
            <w:right w:w="108" w:type="dxa"/>
          </w:tblCellMar>
        </w:tblPrEx>
        <w:trPr>
          <w:trHeight w:val="285" w:hRule="atLeast"/>
          <w:jc w:val="center"/>
        </w:trPr>
        <w:tc>
          <w:tcPr>
            <w:tcW w:w="2500" w:type="pct"/>
            <w:tcBorders>
              <w:top w:val="nil"/>
              <w:left w:val="single" w:color="auto" w:sz="8" w:space="0"/>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3</w:t>
            </w:r>
          </w:p>
        </w:tc>
        <w:tc>
          <w:tcPr>
            <w:tcW w:w="2500" w:type="pct"/>
            <w:tcBorders>
              <w:top w:val="nil"/>
              <w:left w:val="nil"/>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494</w:t>
            </w:r>
          </w:p>
        </w:tc>
      </w:tr>
      <w:tr>
        <w:tblPrEx>
          <w:tblCellMar>
            <w:top w:w="0" w:type="dxa"/>
            <w:left w:w="108" w:type="dxa"/>
            <w:bottom w:w="0" w:type="dxa"/>
            <w:right w:w="108" w:type="dxa"/>
          </w:tblCellMar>
        </w:tblPrEx>
        <w:trPr>
          <w:trHeight w:val="285" w:hRule="atLeast"/>
          <w:jc w:val="center"/>
        </w:trPr>
        <w:tc>
          <w:tcPr>
            <w:tcW w:w="2500" w:type="pct"/>
            <w:tcBorders>
              <w:top w:val="nil"/>
              <w:left w:val="single" w:color="auto" w:sz="8" w:space="0"/>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4</w:t>
            </w:r>
          </w:p>
        </w:tc>
        <w:tc>
          <w:tcPr>
            <w:tcW w:w="2500" w:type="pct"/>
            <w:tcBorders>
              <w:top w:val="nil"/>
              <w:left w:val="nil"/>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593</w:t>
            </w:r>
          </w:p>
        </w:tc>
      </w:tr>
      <w:tr>
        <w:tblPrEx>
          <w:tblCellMar>
            <w:top w:w="0" w:type="dxa"/>
            <w:left w:w="108" w:type="dxa"/>
            <w:bottom w:w="0" w:type="dxa"/>
            <w:right w:w="108" w:type="dxa"/>
          </w:tblCellMar>
        </w:tblPrEx>
        <w:trPr>
          <w:trHeight w:val="285" w:hRule="atLeast"/>
          <w:jc w:val="center"/>
        </w:trPr>
        <w:tc>
          <w:tcPr>
            <w:tcW w:w="2500" w:type="pct"/>
            <w:tcBorders>
              <w:top w:val="nil"/>
              <w:left w:val="single" w:color="auto" w:sz="8" w:space="0"/>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5</w:t>
            </w:r>
          </w:p>
        </w:tc>
        <w:tc>
          <w:tcPr>
            <w:tcW w:w="2500" w:type="pct"/>
            <w:tcBorders>
              <w:top w:val="nil"/>
              <w:left w:val="nil"/>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700</w:t>
            </w:r>
          </w:p>
        </w:tc>
      </w:tr>
      <w:tr>
        <w:tblPrEx>
          <w:tblCellMar>
            <w:top w:w="0" w:type="dxa"/>
            <w:left w:w="108" w:type="dxa"/>
            <w:bottom w:w="0" w:type="dxa"/>
            <w:right w:w="108" w:type="dxa"/>
          </w:tblCellMar>
        </w:tblPrEx>
        <w:trPr>
          <w:trHeight w:val="285" w:hRule="atLeast"/>
          <w:jc w:val="center"/>
        </w:trPr>
        <w:tc>
          <w:tcPr>
            <w:tcW w:w="2500" w:type="pct"/>
            <w:tcBorders>
              <w:top w:val="nil"/>
              <w:left w:val="single" w:color="auto" w:sz="8" w:space="0"/>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6</w:t>
            </w:r>
          </w:p>
        </w:tc>
        <w:tc>
          <w:tcPr>
            <w:tcW w:w="2500" w:type="pct"/>
            <w:tcBorders>
              <w:top w:val="nil"/>
              <w:left w:val="nil"/>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858</w:t>
            </w:r>
          </w:p>
        </w:tc>
      </w:tr>
      <w:tr>
        <w:tblPrEx>
          <w:tblCellMar>
            <w:top w:w="0" w:type="dxa"/>
            <w:left w:w="108" w:type="dxa"/>
            <w:bottom w:w="0" w:type="dxa"/>
            <w:right w:w="108" w:type="dxa"/>
          </w:tblCellMar>
        </w:tblPrEx>
        <w:trPr>
          <w:trHeight w:val="285" w:hRule="atLeast"/>
          <w:jc w:val="center"/>
        </w:trPr>
        <w:tc>
          <w:tcPr>
            <w:tcW w:w="2500" w:type="pct"/>
            <w:tcBorders>
              <w:top w:val="nil"/>
              <w:left w:val="single" w:color="auto" w:sz="8" w:space="0"/>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7</w:t>
            </w:r>
          </w:p>
        </w:tc>
        <w:tc>
          <w:tcPr>
            <w:tcW w:w="2500" w:type="pct"/>
            <w:tcBorders>
              <w:top w:val="nil"/>
              <w:left w:val="nil"/>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 xml:space="preserve"> 1 037  </w:t>
            </w:r>
          </w:p>
        </w:tc>
      </w:tr>
      <w:tr>
        <w:tblPrEx>
          <w:tblCellMar>
            <w:top w:w="0" w:type="dxa"/>
            <w:left w:w="108" w:type="dxa"/>
            <w:bottom w:w="0" w:type="dxa"/>
            <w:right w:w="108" w:type="dxa"/>
          </w:tblCellMar>
        </w:tblPrEx>
        <w:trPr>
          <w:trHeight w:val="285" w:hRule="atLeast"/>
          <w:jc w:val="center"/>
        </w:trPr>
        <w:tc>
          <w:tcPr>
            <w:tcW w:w="2500" w:type="pct"/>
            <w:tcBorders>
              <w:top w:val="nil"/>
              <w:left w:val="single" w:color="auto" w:sz="8" w:space="0"/>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8</w:t>
            </w:r>
          </w:p>
        </w:tc>
        <w:tc>
          <w:tcPr>
            <w:tcW w:w="2500" w:type="pct"/>
            <w:tcBorders>
              <w:top w:val="nil"/>
              <w:left w:val="nil"/>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 xml:space="preserve"> 1 146  </w:t>
            </w:r>
          </w:p>
        </w:tc>
      </w:tr>
      <w:tr>
        <w:tblPrEx>
          <w:tblCellMar>
            <w:top w:w="0" w:type="dxa"/>
            <w:left w:w="108" w:type="dxa"/>
            <w:bottom w:w="0" w:type="dxa"/>
            <w:right w:w="108" w:type="dxa"/>
          </w:tblCellMar>
        </w:tblPrEx>
        <w:trPr>
          <w:trHeight w:val="285" w:hRule="atLeast"/>
          <w:jc w:val="center"/>
        </w:trPr>
        <w:tc>
          <w:tcPr>
            <w:tcW w:w="2500" w:type="pct"/>
            <w:tcBorders>
              <w:top w:val="nil"/>
              <w:left w:val="single" w:color="auto" w:sz="8" w:space="0"/>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9</w:t>
            </w:r>
          </w:p>
        </w:tc>
        <w:tc>
          <w:tcPr>
            <w:tcW w:w="2500" w:type="pct"/>
            <w:tcBorders>
              <w:top w:val="nil"/>
              <w:left w:val="nil"/>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 xml:space="preserve"> 1 461  </w:t>
            </w:r>
          </w:p>
        </w:tc>
      </w:tr>
      <w:tr>
        <w:tblPrEx>
          <w:tblCellMar>
            <w:top w:w="0" w:type="dxa"/>
            <w:left w:w="108" w:type="dxa"/>
            <w:bottom w:w="0" w:type="dxa"/>
            <w:right w:w="108" w:type="dxa"/>
          </w:tblCellMar>
        </w:tblPrEx>
        <w:trPr>
          <w:trHeight w:val="285" w:hRule="atLeast"/>
          <w:jc w:val="center"/>
        </w:trPr>
        <w:tc>
          <w:tcPr>
            <w:tcW w:w="2500" w:type="pct"/>
            <w:tcBorders>
              <w:top w:val="nil"/>
              <w:left w:val="single" w:color="auto" w:sz="8" w:space="0"/>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10</w:t>
            </w:r>
          </w:p>
        </w:tc>
        <w:tc>
          <w:tcPr>
            <w:tcW w:w="2500" w:type="pct"/>
            <w:tcBorders>
              <w:top w:val="nil"/>
              <w:left w:val="nil"/>
              <w:bottom w:val="single" w:color="auto" w:sz="8" w:space="0"/>
              <w:right w:val="single" w:color="auto" w:sz="8" w:space="0"/>
            </w:tcBorders>
            <w:noWrap/>
            <w:vAlign w:val="center"/>
          </w:tcPr>
          <w:p>
            <w:pPr>
              <w:widowControl/>
              <w:jc w:val="center"/>
              <w:rPr>
                <w:color w:val="000000"/>
                <w:kern w:val="0"/>
                <w:sz w:val="18"/>
                <w:szCs w:val="18"/>
              </w:rPr>
            </w:pPr>
            <w:r>
              <w:rPr>
                <w:color w:val="000000"/>
                <w:kern w:val="0"/>
                <w:sz w:val="18"/>
                <w:szCs w:val="18"/>
              </w:rPr>
              <w:t xml:space="preserve"> 1 795  </w:t>
            </w:r>
          </w:p>
        </w:tc>
      </w:tr>
    </w:tbl>
    <w:p>
      <w:pPr>
        <w:pStyle w:val="23"/>
      </w:pPr>
    </w:p>
    <w:p>
      <w:pPr>
        <w:pStyle w:val="113"/>
      </w:pPr>
      <w:r>
        <w:rPr>
          <w:rFonts w:hint="eastAsia"/>
        </w:rPr>
        <w:t>当将表7中的数据按成正态分布函数作图时，观察到了与预望曲线的系统偏离，如图6所示，其中为方便使用了对数-对数比例尺。寿命的期望正态分布如全曲线所示。</w:t>
      </w:r>
    </w:p>
    <w:p>
      <w:pPr>
        <w:pStyle w:val="113"/>
      </w:pPr>
      <w:r>
        <w:rPr>
          <w:rFonts w:hint="eastAsia"/>
        </w:rPr>
        <w:t>从所实施的试验类型来看，威布尔分布可以很好地展示数据。因此，按附录E构建的威布尔图的结果如图7所示。使用威布尔纵坐标作为y值，用疲劳寿命的对数作为x值进行线性回归分析(见第11章)，得到如下值:</w:t>
      </w:r>
    </w:p>
    <w:p>
      <w:pPr>
        <w:pStyle w:val="23"/>
      </w:pPr>
      <w:r>
        <w:rPr>
          <w:i/>
          <w:iCs/>
        </w:rPr>
        <w:t>k</w:t>
      </w:r>
      <w:r>
        <w:t xml:space="preserve"> = 1.53;</w:t>
      </w:r>
    </w:p>
    <w:p>
      <w:pPr>
        <w:pStyle w:val="23"/>
      </w:pPr>
      <w:r>
        <w:rPr>
          <w:i/>
          <w:iCs/>
        </w:rPr>
        <w:t>b</w:t>
      </w:r>
      <w:r>
        <w:rPr>
          <w:iCs/>
        </w:rPr>
        <w:t xml:space="preserve"> = </w:t>
      </w:r>
      <w:r>
        <w:t>1 006</w:t>
      </w:r>
    </w:p>
    <w:p>
      <w:pPr>
        <w:pStyle w:val="23"/>
        <w:rPr>
          <w:kern w:val="2"/>
          <w:szCs w:val="22"/>
        </w:rPr>
      </w:pPr>
      <w:r>
        <w:rPr>
          <w:rFonts w:hint="eastAsia"/>
        </w:rPr>
        <w:t>该图的强线性</w:t>
      </w:r>
      <w:r>
        <w:t>(</w:t>
      </w:r>
      <w:r>
        <w:rPr>
          <w:rFonts w:hint="eastAsia"/>
        </w:rPr>
        <w:t>方差比值大于</w:t>
      </w:r>
      <w:r>
        <w:t>5000</w:t>
      </w:r>
      <w:r>
        <w:rPr>
          <w:rFonts w:hint="eastAsia"/>
        </w:rPr>
        <w:t>，因此回归是高显著的</w:t>
      </w:r>
      <w:r>
        <w:t>)</w:t>
      </w:r>
      <w:r>
        <w:rPr>
          <w:rFonts w:hint="eastAsia"/>
        </w:rPr>
        <w:t>表明，威布尔方程中的系数</w:t>
      </w:r>
      <w:r>
        <w:rPr>
          <w:i/>
        </w:rPr>
        <w:t>α</w:t>
      </w:r>
      <w:r>
        <w:rPr>
          <w:rFonts w:hint="eastAsia"/>
        </w:rPr>
        <w:t>为零。</w:t>
      </w:r>
    </w:p>
    <w:p>
      <w:pPr>
        <w:pStyle w:val="23"/>
      </w:pPr>
    </w:p>
    <w:p>
      <w:pPr>
        <w:pStyle w:val="23"/>
      </w:pPr>
      <w:r>
        <w:drawing>
          <wp:inline distT="0" distB="0" distL="0" distR="0">
            <wp:extent cx="5274945" cy="3602990"/>
            <wp:effectExtent l="0" t="0" r="1905" b="0"/>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945" cy="3602990"/>
                    </a:xfrm>
                    <a:prstGeom prst="rect">
                      <a:avLst/>
                    </a:prstGeom>
                    <a:noFill/>
                    <a:ln>
                      <a:noFill/>
                    </a:ln>
                  </pic:spPr>
                </pic:pic>
              </a:graphicData>
            </a:graphic>
          </wp:inline>
        </w:drawing>
      </w:r>
    </w:p>
    <w:p>
      <w:pPr>
        <w:tabs>
          <w:tab w:val="left" w:pos="567"/>
          <w:tab w:val="left" w:pos="993"/>
          <w:tab w:val="left" w:pos="1276"/>
        </w:tabs>
        <w:jc w:val="left"/>
        <w:rPr>
          <w:sz w:val="18"/>
          <w:szCs w:val="18"/>
        </w:rPr>
      </w:pPr>
      <w:r>
        <w:rPr>
          <w:rFonts w:hint="eastAsia"/>
          <w:sz w:val="18"/>
          <w:szCs w:val="18"/>
        </w:rPr>
        <w:t>说明：</w:t>
      </w:r>
    </w:p>
    <w:p>
      <w:pPr>
        <w:tabs>
          <w:tab w:val="left" w:pos="567"/>
          <w:tab w:val="left" w:pos="993"/>
          <w:tab w:val="left" w:pos="1276"/>
        </w:tabs>
        <w:ind w:left="420" w:leftChars="200"/>
        <w:jc w:val="left"/>
        <w:rPr>
          <w:sz w:val="18"/>
          <w:szCs w:val="18"/>
        </w:rPr>
      </w:pPr>
      <w:r>
        <w:rPr>
          <w:sz w:val="18"/>
          <w:szCs w:val="18"/>
        </w:rPr>
        <w:t xml:space="preserve">X —— </w:t>
      </w:r>
      <w:r>
        <w:rPr>
          <w:rFonts w:hint="eastAsia"/>
          <w:sz w:val="18"/>
          <w:szCs w:val="18"/>
        </w:rPr>
        <w:t>疲劳寿命；</w:t>
      </w:r>
    </w:p>
    <w:p>
      <w:pPr>
        <w:tabs>
          <w:tab w:val="left" w:pos="567"/>
          <w:tab w:val="left" w:pos="993"/>
          <w:tab w:val="left" w:pos="1276"/>
        </w:tabs>
        <w:ind w:left="420" w:leftChars="200"/>
        <w:jc w:val="left"/>
        <w:rPr>
          <w:sz w:val="18"/>
          <w:szCs w:val="18"/>
        </w:rPr>
      </w:pPr>
      <w:r>
        <w:rPr>
          <w:sz w:val="18"/>
          <w:szCs w:val="18"/>
        </w:rPr>
        <w:t xml:space="preserve">Y—— </w:t>
      </w:r>
      <w:r>
        <w:rPr>
          <w:rFonts w:hint="eastAsia"/>
          <w:sz w:val="18"/>
          <w:szCs w:val="18"/>
        </w:rPr>
        <w:t>正态纵坐标。</w:t>
      </w:r>
    </w:p>
    <w:p>
      <w:pPr>
        <w:pStyle w:val="129"/>
      </w:pPr>
      <w:r>
        <w:rPr>
          <w:rFonts w:hint="eastAsia" w:hAnsi="黑体"/>
        </w:rPr>
        <w:t>疲劳数据：正态图（</w:t>
      </w:r>
      <w:r>
        <w:rPr>
          <w:rFonts w:hint="eastAsia" w:ascii="宋体" w:hAnsi="宋体" w:eastAsia="宋体"/>
        </w:rPr>
        <w:t>使用表7数据</w:t>
      </w:r>
      <w:r>
        <w:rPr>
          <w:rFonts w:hint="eastAsia" w:hAnsi="黑体"/>
        </w:rPr>
        <w:t>）</w:t>
      </w:r>
    </w:p>
    <w:p>
      <w:pPr>
        <w:pStyle w:val="23"/>
      </w:pPr>
      <w:r>
        <w:drawing>
          <wp:inline distT="0" distB="0" distL="0" distR="0">
            <wp:extent cx="5274945" cy="3548380"/>
            <wp:effectExtent l="0" t="0" r="1905"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945" cy="3548380"/>
                    </a:xfrm>
                    <a:prstGeom prst="rect">
                      <a:avLst/>
                    </a:prstGeom>
                    <a:noFill/>
                    <a:ln>
                      <a:noFill/>
                    </a:ln>
                  </pic:spPr>
                </pic:pic>
              </a:graphicData>
            </a:graphic>
          </wp:inline>
        </w:drawing>
      </w:r>
    </w:p>
    <w:p>
      <w:pPr>
        <w:tabs>
          <w:tab w:val="left" w:pos="567"/>
          <w:tab w:val="left" w:pos="993"/>
          <w:tab w:val="left" w:pos="1276"/>
        </w:tabs>
        <w:jc w:val="left"/>
        <w:rPr>
          <w:sz w:val="18"/>
          <w:szCs w:val="18"/>
        </w:rPr>
      </w:pPr>
      <w:r>
        <w:rPr>
          <w:rFonts w:hint="eastAsia"/>
          <w:sz w:val="18"/>
          <w:szCs w:val="18"/>
        </w:rPr>
        <w:t>说明：</w:t>
      </w:r>
    </w:p>
    <w:p>
      <w:pPr>
        <w:tabs>
          <w:tab w:val="left" w:pos="567"/>
          <w:tab w:val="left" w:pos="993"/>
          <w:tab w:val="left" w:pos="1276"/>
        </w:tabs>
        <w:ind w:left="420" w:leftChars="200"/>
        <w:jc w:val="left"/>
        <w:rPr>
          <w:sz w:val="18"/>
          <w:szCs w:val="18"/>
        </w:rPr>
      </w:pPr>
      <w:r>
        <w:rPr>
          <w:sz w:val="18"/>
          <w:szCs w:val="18"/>
        </w:rPr>
        <w:t xml:space="preserve">X — </w:t>
      </w:r>
      <w:r>
        <w:rPr>
          <w:rFonts w:hint="eastAsia"/>
          <w:sz w:val="18"/>
          <w:szCs w:val="18"/>
        </w:rPr>
        <w:t>疲劳寿命；</w:t>
      </w:r>
    </w:p>
    <w:p>
      <w:pPr>
        <w:tabs>
          <w:tab w:val="left" w:pos="567"/>
          <w:tab w:val="left" w:pos="993"/>
          <w:tab w:val="left" w:pos="1276"/>
        </w:tabs>
        <w:ind w:left="420" w:leftChars="200"/>
        <w:jc w:val="left"/>
        <w:rPr>
          <w:sz w:val="18"/>
          <w:szCs w:val="18"/>
        </w:rPr>
      </w:pPr>
      <w:r>
        <w:rPr>
          <w:sz w:val="18"/>
          <w:szCs w:val="18"/>
        </w:rPr>
        <w:t xml:space="preserve">Y — </w:t>
      </w:r>
      <w:r>
        <w:rPr>
          <w:rFonts w:hint="eastAsia"/>
          <w:sz w:val="18"/>
          <w:szCs w:val="18"/>
        </w:rPr>
        <w:t>威布尔纵坐标。</w:t>
      </w:r>
    </w:p>
    <w:p>
      <w:pPr>
        <w:pStyle w:val="129"/>
      </w:pPr>
      <w:r>
        <w:rPr>
          <w:rFonts w:hint="eastAsia" w:hAnsi="黑体"/>
        </w:rPr>
        <w:t>疲劳数据：威布尔图</w:t>
      </w:r>
      <w:r>
        <w:rPr>
          <w:rFonts w:hint="eastAsia" w:ascii="Times New Roman" w:eastAsia="宋体"/>
        </w:rPr>
        <w:t>（使用表</w:t>
      </w:r>
      <w:r>
        <w:rPr>
          <w:rFonts w:ascii="Times New Roman" w:eastAsia="宋体"/>
        </w:rPr>
        <w:t>7</w:t>
      </w:r>
      <w:r>
        <w:rPr>
          <w:rFonts w:hint="eastAsia" w:ascii="Times New Roman" w:eastAsia="宋体"/>
        </w:rPr>
        <w:t>的数据）</w:t>
      </w:r>
    </w:p>
    <w:p>
      <w:pPr>
        <w:pStyle w:val="46"/>
        <w:spacing w:before="156" w:after="156"/>
      </w:pPr>
      <w:r>
        <w:rPr>
          <w:rFonts w:hint="eastAsia"/>
        </w:rPr>
        <w:t>转换为正态分布</w:t>
      </w:r>
    </w:p>
    <w:p>
      <w:pPr>
        <w:pStyle w:val="113"/>
      </w:pPr>
      <w:r>
        <w:rPr>
          <w:rFonts w:hint="eastAsia"/>
        </w:rPr>
        <w:t>电阻试验的数据给出的结果见表8。</w:t>
      </w:r>
    </w:p>
    <w:p>
      <w:pPr>
        <w:pStyle w:val="127"/>
        <w:ind w:left="0"/>
      </w:pPr>
      <w:r>
        <w:rPr>
          <w:rFonts w:hint="eastAsia" w:hAnsi="黑体"/>
        </w:rPr>
        <w:t>电阻的测量值</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85"/>
        <w:gridCol w:w="4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sz w:val="18"/>
                <w:szCs w:val="18"/>
              </w:rPr>
            </w:pPr>
            <w:r>
              <w:rPr>
                <w:rFonts w:hint="eastAsia"/>
                <w:sz w:val="18"/>
                <w:szCs w:val="18"/>
              </w:rPr>
              <w:t>试样</w:t>
            </w:r>
          </w:p>
        </w:tc>
        <w:tc>
          <w:tcPr>
            <w:tcW w:w="250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sz w:val="18"/>
                <w:szCs w:val="18"/>
              </w:rPr>
            </w:pPr>
            <w:r>
              <w:rPr>
                <w:rFonts w:hint="eastAsia"/>
                <w:sz w:val="18"/>
                <w:szCs w:val="18"/>
              </w:rPr>
              <w:t>电阻</w:t>
            </w:r>
          </w:p>
          <w:p>
            <w:pPr>
              <w:tabs>
                <w:tab w:val="center" w:pos="4201"/>
                <w:tab w:val="right" w:leader="dot" w:pos="9298"/>
              </w:tabs>
              <w:autoSpaceDE w:val="0"/>
              <w:autoSpaceDN w:val="0"/>
              <w:spacing w:line="0" w:lineRule="atLeast"/>
              <w:ind w:firstLine="360" w:firstLineChars="200"/>
              <w:jc w:val="center"/>
              <w:rPr>
                <w:sz w:val="18"/>
                <w:szCs w:val="18"/>
              </w:rPr>
            </w:pPr>
            <w:r>
              <w:rPr>
                <w:sz w:val="18"/>
                <w:szCs w:val="18"/>
              </w:rPr>
              <w:t>Ω·cm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2500"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ind w:firstLine="360" w:firstLineChars="200"/>
              <w:jc w:val="center"/>
              <w:rPr>
                <w:sz w:val="18"/>
                <w:szCs w:val="18"/>
              </w:rPr>
            </w:pPr>
            <w:r>
              <w:rPr>
                <w:sz w:val="18"/>
                <w:szCs w:val="18"/>
              </w:rPr>
              <w:t>1</w:t>
            </w:r>
          </w:p>
        </w:tc>
        <w:tc>
          <w:tcPr>
            <w:tcW w:w="2500"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ind w:firstLine="360" w:firstLineChars="200"/>
              <w:jc w:val="center"/>
              <w:rPr>
                <w:sz w:val="18"/>
                <w:szCs w:val="18"/>
              </w:rPr>
            </w:pPr>
            <w:r>
              <w:rPr>
                <w:sz w:val="18"/>
                <w:szCs w:val="18"/>
              </w:rPr>
              <w:t>2.81×10</w:t>
            </w:r>
            <w:r>
              <w:rPr>
                <w:sz w:val="18"/>
                <w:szCs w:val="18"/>
                <w:vertAlign w:val="superscript"/>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2500"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ind w:firstLine="360" w:firstLineChars="200"/>
              <w:jc w:val="center"/>
              <w:rPr>
                <w:sz w:val="18"/>
                <w:szCs w:val="18"/>
              </w:rPr>
            </w:pPr>
            <w:r>
              <w:rPr>
                <w:sz w:val="18"/>
                <w:szCs w:val="18"/>
              </w:rPr>
              <w:t>2</w:t>
            </w:r>
          </w:p>
        </w:tc>
        <w:tc>
          <w:tcPr>
            <w:tcW w:w="2500"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ind w:firstLine="360" w:firstLineChars="200"/>
              <w:jc w:val="center"/>
              <w:rPr>
                <w:sz w:val="18"/>
                <w:szCs w:val="18"/>
              </w:rPr>
            </w:pPr>
            <w:r>
              <w:rPr>
                <w:sz w:val="18"/>
                <w:szCs w:val="18"/>
              </w:rPr>
              <w:t>3.54×10</w:t>
            </w:r>
            <w:r>
              <w:rPr>
                <w:sz w:val="18"/>
                <w:szCs w:val="18"/>
                <w:vertAlign w:val="superscript"/>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2500"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ind w:firstLine="360" w:firstLineChars="200"/>
              <w:jc w:val="center"/>
              <w:rPr>
                <w:sz w:val="18"/>
                <w:szCs w:val="18"/>
              </w:rPr>
            </w:pPr>
            <w:r>
              <w:rPr>
                <w:sz w:val="18"/>
                <w:szCs w:val="18"/>
              </w:rPr>
              <w:t>3</w:t>
            </w:r>
          </w:p>
        </w:tc>
        <w:tc>
          <w:tcPr>
            <w:tcW w:w="2500"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ind w:firstLine="360" w:firstLineChars="200"/>
              <w:jc w:val="center"/>
              <w:rPr>
                <w:sz w:val="18"/>
                <w:szCs w:val="18"/>
              </w:rPr>
            </w:pPr>
            <w:r>
              <w:rPr>
                <w:sz w:val="18"/>
                <w:szCs w:val="18"/>
              </w:rPr>
              <w:t>2.68×10</w:t>
            </w:r>
            <w:r>
              <w:rPr>
                <w:sz w:val="18"/>
                <w:szCs w:val="18"/>
                <w:vertAlign w:val="superscript"/>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2500"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ind w:firstLine="360" w:firstLineChars="200"/>
              <w:jc w:val="center"/>
              <w:rPr>
                <w:sz w:val="18"/>
                <w:szCs w:val="18"/>
              </w:rPr>
            </w:pPr>
            <w:r>
              <w:rPr>
                <w:sz w:val="18"/>
                <w:szCs w:val="18"/>
              </w:rPr>
              <w:t>4</w:t>
            </w:r>
          </w:p>
        </w:tc>
        <w:tc>
          <w:tcPr>
            <w:tcW w:w="2500"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ind w:firstLine="360" w:firstLineChars="200"/>
              <w:jc w:val="center"/>
              <w:rPr>
                <w:sz w:val="18"/>
                <w:szCs w:val="18"/>
              </w:rPr>
            </w:pPr>
            <w:r>
              <w:rPr>
                <w:sz w:val="18"/>
                <w:szCs w:val="18"/>
              </w:rPr>
              <w:t>2.75×10</w:t>
            </w:r>
            <w:r>
              <w:rPr>
                <w:sz w:val="18"/>
                <w:szCs w:val="18"/>
                <w:vertAlign w:val="superscript"/>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2500"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ind w:firstLine="360" w:firstLineChars="200"/>
              <w:jc w:val="center"/>
              <w:rPr>
                <w:sz w:val="18"/>
                <w:szCs w:val="18"/>
              </w:rPr>
            </w:pPr>
            <w:r>
              <w:rPr>
                <w:sz w:val="18"/>
                <w:szCs w:val="18"/>
              </w:rPr>
              <w:t>5</w:t>
            </w:r>
          </w:p>
        </w:tc>
        <w:tc>
          <w:tcPr>
            <w:tcW w:w="2500"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ind w:firstLine="360" w:firstLineChars="200"/>
              <w:jc w:val="center"/>
              <w:rPr>
                <w:sz w:val="18"/>
                <w:szCs w:val="18"/>
              </w:rPr>
            </w:pPr>
            <w:r>
              <w:rPr>
                <w:sz w:val="18"/>
                <w:szCs w:val="18"/>
              </w:rPr>
              <w:t>1.20×10</w:t>
            </w:r>
            <w:r>
              <w:rPr>
                <w:sz w:val="18"/>
                <w:szCs w:val="18"/>
                <w:vertAlign w:val="superscript"/>
              </w:rPr>
              <w:t>10</w:t>
            </w:r>
          </w:p>
        </w:tc>
      </w:tr>
    </w:tbl>
    <w:p>
      <w:pPr>
        <w:pStyle w:val="23"/>
        <w:ind w:firstLine="0" w:firstLineChars="0"/>
      </w:pPr>
    </w:p>
    <w:p>
      <w:pPr>
        <w:spacing w:before="156" w:beforeLines="50" w:after="156" w:afterLines="50"/>
        <w:rPr>
          <w:rFonts w:ascii="宋体" w:hAnsi="宋体"/>
        </w:rPr>
      </w:pPr>
      <w:r>
        <w:rPr>
          <w:rFonts w:hint="eastAsia" w:ascii="宋体" w:hAnsi="宋体"/>
        </w:rPr>
        <w:t>如果假设数据为正态分布，分析给出值：</w:t>
      </w:r>
    </w:p>
    <w:p>
      <w:pPr>
        <w:pStyle w:val="59"/>
        <w:numPr>
          <w:ilvl w:val="0"/>
          <w:numId w:val="22"/>
        </w:numPr>
      </w:pPr>
      <w:r>
        <w:rPr>
          <w:rFonts w:hint="eastAsia"/>
        </w:rPr>
        <w:t>平均值</w:t>
      </w:r>
      <w:r>
        <w:t xml:space="preserve"> = 6.46×10</w:t>
      </w:r>
      <w:r>
        <w:rPr>
          <w:vertAlign w:val="superscript"/>
        </w:rPr>
        <w:t>10</w:t>
      </w:r>
      <w:r>
        <w:rPr>
          <w:rFonts w:hint="eastAsia"/>
        </w:rPr>
        <w:t>；</w:t>
      </w:r>
    </w:p>
    <w:p>
      <w:pPr>
        <w:pStyle w:val="59"/>
        <w:numPr>
          <w:ilvl w:val="0"/>
          <w:numId w:val="22"/>
        </w:numPr>
      </w:pPr>
      <w:r>
        <w:rPr>
          <w:rFonts w:hint="eastAsia"/>
        </w:rPr>
        <w:t>标准差，</w:t>
      </w:r>
      <w:r>
        <w:t xml:space="preserve"> </w:t>
      </w:r>
      <w:r>
        <w:rPr>
          <w:i/>
        </w:rPr>
        <w:t>s</w:t>
      </w:r>
      <w:r>
        <w:t xml:space="preserve"> =1.21×10</w:t>
      </w:r>
      <w:r>
        <w:rPr>
          <w:vertAlign w:val="superscript"/>
        </w:rPr>
        <w:t>11</w:t>
      </w:r>
      <w:r>
        <w:rPr>
          <w:rFonts w:hint="eastAsia"/>
        </w:rPr>
        <w:t>。</w:t>
      </w:r>
    </w:p>
    <w:p>
      <w:pPr>
        <w:pStyle w:val="113"/>
        <w:spacing w:before="156" w:beforeLines="50"/>
      </w:pPr>
      <w:r>
        <w:rPr>
          <w:rFonts w:hint="eastAsia"/>
        </w:rPr>
        <w:t>很明显，从观测到的平均值和标准差来看，这些数据并不是正态分布的，这一事实很容易通过绘制电阻率来得到证实，电阻率按升序排列，与标准概率纸上标绘的17、33、50、67、83对应。斜率随概率值的增大而迅速增大，而不是直线。</w:t>
      </w:r>
    </w:p>
    <w:p>
      <w:pPr>
        <w:pStyle w:val="113"/>
      </w:pPr>
      <w:r>
        <w:rPr>
          <w:rFonts w:hint="eastAsia"/>
        </w:rPr>
        <w:t>当相同的数据 (为方便在对数概率纸上) 绘制电阻率的对数图时，得到一个很好的直线，其平均值约为10</w:t>
      </w:r>
      <w:r>
        <w:rPr>
          <w:rFonts w:hint="eastAsia"/>
          <w:vertAlign w:val="superscript"/>
        </w:rPr>
        <w:t>10</w:t>
      </w:r>
      <w:r>
        <w:rPr>
          <w:rFonts w:hint="eastAsia"/>
        </w:rPr>
        <w:t>Ω·cm。这非常接近于几何平均值9.75×10</w:t>
      </w:r>
      <w:r>
        <w:rPr>
          <w:rFonts w:hint="eastAsia"/>
          <w:vertAlign w:val="superscript"/>
        </w:rPr>
        <w:t>9</w:t>
      </w:r>
      <w:r>
        <w:rPr>
          <w:rFonts w:hint="eastAsia"/>
        </w:rPr>
        <w:t>，如用附录B所预期。</w:t>
      </w:r>
    </w:p>
    <w:p>
      <w:pPr>
        <w:pStyle w:val="46"/>
        <w:spacing w:before="156" w:after="156"/>
      </w:pPr>
      <w:r>
        <w:rPr>
          <w:rFonts w:hint="eastAsia"/>
        </w:rPr>
        <w:t>中位数的其他使用</w:t>
      </w:r>
    </w:p>
    <w:p>
      <w:pPr>
        <w:pStyle w:val="113"/>
      </w:pPr>
      <w:r>
        <w:rPr>
          <w:rFonts w:hint="eastAsia"/>
        </w:rPr>
        <w:t>在所有试验中，橡胶混炼胶的硬度测量可能是最常见的。这项技术不是很精确，结果通常以整数引用。硬度几乎总是规定为所要求的标称值的±5硬度度。</w:t>
      </w:r>
    </w:p>
    <w:p>
      <w:pPr>
        <w:pStyle w:val="113"/>
      </w:pPr>
      <w:r>
        <w:rPr>
          <w:rFonts w:hint="eastAsia"/>
        </w:rPr>
        <w:t>在这种情况下，计算一组（几乎总是）在一个试样上得到的五个结果的平均值没有数学优势。相反，中位数是优选使用的集中趋势度量，能在几秒钟内被推断出来而且不使用计算器。例如，表9中的结果是按ISO 48对三种标称硬度为50 IRHD的混炼胶进行测试后得出的。</w:t>
      </w:r>
    </w:p>
    <w:p>
      <w:pPr>
        <w:pStyle w:val="127"/>
        <w:ind w:left="0"/>
        <w:rPr>
          <w:rFonts w:hAnsi="黑体"/>
        </w:rPr>
      </w:pPr>
      <w:r>
        <w:rPr>
          <w:rFonts w:hint="eastAsia" w:hAnsi="黑体"/>
        </w:rPr>
        <w:t>硬度的测量值</w:t>
      </w:r>
    </w:p>
    <w:p>
      <w:pPr>
        <w:spacing w:line="0" w:lineRule="atLeast"/>
        <w:jc w:val="right"/>
        <w:rPr>
          <w:sz w:val="18"/>
        </w:rPr>
      </w:pPr>
      <w:r>
        <w:rPr>
          <w:rFonts w:hint="eastAsia" w:ascii="宋体" w:hAnsi="宋体"/>
          <w:sz w:val="18"/>
        </w:rPr>
        <w:t>单位：IRHD</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92"/>
        <w:gridCol w:w="2392"/>
        <w:gridCol w:w="2393"/>
        <w:gridCol w:w="2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结果</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混炼胶1</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混炼胶2</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混炼胶3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w:t>
            </w:r>
          </w:p>
        </w:tc>
        <w:tc>
          <w:tcPr>
            <w:tcW w:w="1250" w:type="pct"/>
            <w:tcBorders>
              <w:top w:val="single" w:color="auto" w:sz="4" w:space="0"/>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50</w:t>
            </w:r>
          </w:p>
        </w:tc>
        <w:tc>
          <w:tcPr>
            <w:tcW w:w="1250" w:type="pct"/>
            <w:tcBorders>
              <w:top w:val="single" w:color="auto" w:sz="4" w:space="0"/>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52</w:t>
            </w:r>
          </w:p>
        </w:tc>
        <w:tc>
          <w:tcPr>
            <w:tcW w:w="1250" w:type="pct"/>
            <w:tcBorders>
              <w:top w:val="single" w:color="auto" w:sz="4" w:space="0"/>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2</w:t>
            </w:r>
          </w:p>
        </w:tc>
        <w:tc>
          <w:tcPr>
            <w:tcW w:w="1250" w:type="pct"/>
            <w:tcBorders>
              <w:top w:val="nil"/>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51</w:t>
            </w:r>
          </w:p>
        </w:tc>
        <w:tc>
          <w:tcPr>
            <w:tcW w:w="1250" w:type="pct"/>
            <w:tcBorders>
              <w:top w:val="nil"/>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53</w:t>
            </w:r>
          </w:p>
        </w:tc>
        <w:tc>
          <w:tcPr>
            <w:tcW w:w="1250" w:type="pct"/>
            <w:tcBorders>
              <w:top w:val="nil"/>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3</w:t>
            </w:r>
          </w:p>
        </w:tc>
        <w:tc>
          <w:tcPr>
            <w:tcW w:w="1250" w:type="pct"/>
            <w:tcBorders>
              <w:top w:val="nil"/>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49</w:t>
            </w:r>
          </w:p>
        </w:tc>
        <w:tc>
          <w:tcPr>
            <w:tcW w:w="1250" w:type="pct"/>
            <w:tcBorders>
              <w:top w:val="nil"/>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51</w:t>
            </w:r>
          </w:p>
        </w:tc>
        <w:tc>
          <w:tcPr>
            <w:tcW w:w="1250" w:type="pct"/>
            <w:tcBorders>
              <w:top w:val="nil"/>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4</w:t>
            </w:r>
          </w:p>
        </w:tc>
        <w:tc>
          <w:tcPr>
            <w:tcW w:w="1250" w:type="pct"/>
            <w:tcBorders>
              <w:top w:val="nil"/>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51</w:t>
            </w:r>
          </w:p>
        </w:tc>
        <w:tc>
          <w:tcPr>
            <w:tcW w:w="1250" w:type="pct"/>
            <w:tcBorders>
              <w:top w:val="nil"/>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50</w:t>
            </w:r>
          </w:p>
        </w:tc>
        <w:tc>
          <w:tcPr>
            <w:tcW w:w="1250" w:type="pct"/>
            <w:tcBorders>
              <w:top w:val="nil"/>
              <w:left w:val="single" w:color="auto" w:sz="4" w:space="0"/>
              <w:bottom w:val="nil"/>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w:t>
            </w:r>
          </w:p>
        </w:tc>
        <w:tc>
          <w:tcPr>
            <w:tcW w:w="1250" w:type="pct"/>
            <w:tcBorders>
              <w:top w:val="nil"/>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50</w:t>
            </w:r>
          </w:p>
        </w:tc>
        <w:tc>
          <w:tcPr>
            <w:tcW w:w="1250" w:type="pct"/>
            <w:tcBorders>
              <w:top w:val="nil"/>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55</w:t>
            </w:r>
          </w:p>
        </w:tc>
        <w:tc>
          <w:tcPr>
            <w:tcW w:w="1250" w:type="pct"/>
            <w:tcBorders>
              <w:top w:val="nil"/>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46</w:t>
            </w:r>
          </w:p>
        </w:tc>
      </w:tr>
    </w:tbl>
    <w:p>
      <w:pPr>
        <w:pStyle w:val="23"/>
      </w:pPr>
    </w:p>
    <w:p>
      <w:pPr>
        <w:pStyle w:val="113"/>
      </w:pPr>
      <w:r>
        <w:rPr>
          <w:rFonts w:hint="eastAsia"/>
        </w:rPr>
        <w:t>表10给出的值是用表9的值计算出来的。</w:t>
      </w:r>
    </w:p>
    <w:p>
      <w:pPr>
        <w:pStyle w:val="127"/>
        <w:ind w:left="0"/>
        <w:rPr>
          <w:rFonts w:hAnsi="黑体"/>
        </w:rPr>
      </w:pPr>
      <w:r>
        <w:rPr>
          <w:rFonts w:hint="eastAsia" w:hAnsi="黑体"/>
        </w:rPr>
        <w:t>用硬度测量值计算出来的值</w:t>
      </w:r>
    </w:p>
    <w:p>
      <w:pPr>
        <w:spacing w:line="0" w:lineRule="atLeast"/>
        <w:jc w:val="right"/>
        <w:rPr>
          <w:sz w:val="18"/>
        </w:rPr>
      </w:pPr>
      <w:r>
        <w:rPr>
          <w:rFonts w:hint="eastAsia" w:ascii="宋体" w:hAnsi="宋体"/>
          <w:sz w:val="18"/>
        </w:rPr>
        <w:t>单位：IRHD</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92"/>
        <w:gridCol w:w="2392"/>
        <w:gridCol w:w="2393"/>
        <w:gridCol w:w="2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混炼胶</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平均值</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标准差</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中位数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50</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2</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52</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2</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3</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47</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w:t>
            </w:r>
          </w:p>
        </w:tc>
        <w:tc>
          <w:tcPr>
            <w:tcW w:w="1250" w:type="pct"/>
            <w:tcBorders>
              <w:top w:val="single" w:color="auto" w:sz="4" w:space="0"/>
              <w:left w:val="single" w:color="auto" w:sz="4" w:space="0"/>
              <w:bottom w:val="single" w:color="auto" w:sz="4" w:space="0"/>
              <w:right w:val="single" w:color="auto" w:sz="4" w:space="0"/>
            </w:tcBorders>
          </w:tcPr>
          <w:p>
            <w:pPr>
              <w:tabs>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47</w:t>
            </w:r>
          </w:p>
        </w:tc>
      </w:tr>
    </w:tbl>
    <w:p>
      <w:pPr>
        <w:pStyle w:val="23"/>
      </w:pPr>
    </w:p>
    <w:p>
      <w:pPr>
        <w:pStyle w:val="23"/>
      </w:pPr>
      <w:r>
        <w:rPr>
          <w:rFonts w:hint="eastAsia"/>
        </w:rPr>
        <w:t>在所有情况下，中位数都在平均值的</w:t>
      </w:r>
      <w:r>
        <w:t>95%</w:t>
      </w:r>
      <w:r>
        <w:rPr>
          <w:rFonts w:hint="eastAsia"/>
        </w:rPr>
        <w:t>置信区间内</w:t>
      </w:r>
      <w:r>
        <w:t>(</w:t>
      </w:r>
      <w:r>
        <w:rPr>
          <w:rFonts w:hint="eastAsia"/>
        </w:rPr>
        <w:t>见</w:t>
      </w:r>
      <w:r>
        <w:t>7.2.1)</w:t>
      </w:r>
      <w:r>
        <w:rPr>
          <w:rFonts w:hint="eastAsia"/>
        </w:rPr>
        <w:t>，并且在实际应用中给出了相同的结果。在某些情况下，可能需要进行正式的统计检验，在这种情况下需要标准差和平均值，从列表中提取中位数没有优势。此外，如果要处理大量的平行测量的硬度值，中位数可能比平均值更难以确定。</w:t>
      </w:r>
    </w:p>
    <w:p>
      <w:pPr>
        <w:pStyle w:val="64"/>
      </w:pPr>
      <w:r>
        <w:rPr>
          <w:rFonts w:hint="eastAsia"/>
        </w:rPr>
        <w:t>使用中位数纯粹是为了实用。没有迹象表明硬度是关于平均值的正态分布以外的任何东西。</w:t>
      </w:r>
    </w:p>
    <w:p>
      <w:pPr>
        <w:pStyle w:val="45"/>
      </w:pPr>
      <w:bookmarkStart w:id="221" w:name="_Toc124173931"/>
      <w:r>
        <w:rPr>
          <w:rFonts w:hint="eastAsia"/>
        </w:rPr>
        <w:t>置信限和显著性差异</w:t>
      </w:r>
      <w:bookmarkEnd w:id="221"/>
    </w:p>
    <w:p>
      <w:pPr>
        <w:pStyle w:val="42"/>
      </w:pPr>
      <w:bookmarkStart w:id="222" w:name="_Toc124173932"/>
      <w:r>
        <w:rPr>
          <w:rFonts w:hint="eastAsia"/>
        </w:rPr>
        <w:t>原理</w:t>
      </w:r>
      <w:bookmarkEnd w:id="222"/>
    </w:p>
    <w:p>
      <w:pPr>
        <w:pStyle w:val="23"/>
      </w:pPr>
      <w:r>
        <w:rPr>
          <w:rFonts w:hint="eastAsia"/>
        </w:rPr>
        <w:t>如第6章所述，一组给定观测值的均值和标准差只能是从中随机选取这些观测的整个总体平均值真值和标准差真值的估计。如果观察中没有系统性的偏差，可得到的结果越多，这些估计的准确性的不确定性就越小。</w:t>
      </w:r>
    </w:p>
    <w:p>
      <w:pPr>
        <w:pStyle w:val="23"/>
      </w:pPr>
      <w:r>
        <w:rPr>
          <w:rFonts w:hint="eastAsia"/>
        </w:rPr>
        <w:t xml:space="preserve">除非真均值(或标准差)可以通过某种先验推理推导出来，否则就不可能说明给出的计算平均值(或标准差)是多么接近真值的。但是，在已知的不确定性程度(置信水平)下，却可以显示真值将位于该计算值的特定区间内。需要的确定度越大，这个置信区间就越大，那么这个区间的极限(置信限)也就相距越远。 </w:t>
      </w:r>
    </w:p>
    <w:p>
      <w:pPr>
        <w:pStyle w:val="23"/>
      </w:pPr>
      <w:r>
        <w:rPr>
          <w:rFonts w:hint="eastAsia"/>
        </w:rPr>
        <w:t>由于任何计算出的集中趋势或分散的度量都有不确定性，因此在比较这两种度量时，不能指望它们能精确地一致。只有当它们之间的差异超过一个极限值时，它们之间的差异才会在统计学意义上变得显著，而这个极限值在给定的概率下，完全是偶然发生的。</w:t>
      </w:r>
    </w:p>
    <w:p>
      <w:pPr>
        <w:pStyle w:val="23"/>
      </w:pPr>
      <w:r>
        <w:rPr>
          <w:rFonts w:hint="eastAsia"/>
        </w:rPr>
        <w:t>应当指出，对一项性能的两种度量之间在统计上的显著差异并不意味着这种差异具有任何实际意义。后者只能根据所研究的应用和应用对所测性能的敏感性来判断。因此,撕裂强度为10 N/mm和15 N/mm的和两种混炼胶基于五个结果得到的1N/mm的标准差在99%置信水平明显不同，但如果规范要求最小撕裂强度为25N/mm，则两者都不满足要求，因此实际上它们之间的差异是不显著的（不相关的）。</w:t>
      </w:r>
    </w:p>
    <w:p>
      <w:pPr>
        <w:pStyle w:val="23"/>
      </w:pPr>
      <w:r>
        <w:rPr>
          <w:rFonts w:hint="eastAsia"/>
        </w:rPr>
        <w:t>显著性检验，如学生t检验，对所分析的数据做若干假设，为了成功地使用这项技术，了解这些假设是很重要的。首先，数据必须代表实际值，譬如拉伸强度或长度；主观值和等级不能用这种方法处理。第二，它们必须是正态分布的。最后，它们必须是独立的；这样，一个观察的误差不会影响另一个观察的误差。如果数据不是正态分布的，它们通常能被通过一个转换接近正态的（例如取对数）。检验还假设所比较的两个平均值来于相似的总体，即，其方差没有显著的不同（更多的信息见7.2.2.2）。</w:t>
      </w:r>
    </w:p>
    <w:p>
      <w:pPr>
        <w:pStyle w:val="42"/>
      </w:pPr>
      <w:bookmarkStart w:id="223" w:name="_Toc124173933"/>
      <w:r>
        <w:rPr>
          <w:rFonts w:hint="eastAsia"/>
        </w:rPr>
        <w:t>方法学</w:t>
      </w:r>
      <w:bookmarkEnd w:id="223"/>
    </w:p>
    <w:p>
      <w:pPr>
        <w:pStyle w:val="46"/>
        <w:spacing w:before="156" w:after="156"/>
      </w:pPr>
      <w:r>
        <w:rPr>
          <w:rFonts w:hint="eastAsia"/>
        </w:rPr>
        <w:t>置信限和置信区间</w:t>
      </w:r>
    </w:p>
    <w:p>
      <w:pPr>
        <w:pStyle w:val="51"/>
        <w:spacing w:before="156" w:after="156"/>
      </w:pPr>
      <w:r>
        <w:rPr>
          <w:rFonts w:hint="eastAsia"/>
        </w:rPr>
        <w:t>关于平均值</w:t>
      </w:r>
    </w:p>
    <w:p>
      <w:pPr>
        <w:pStyle w:val="118"/>
        <w:ind w:left="0"/>
      </w:pPr>
      <w:r>
        <w:rPr>
          <w:rFonts w:hint="eastAsia"/>
        </w:rPr>
        <w:t>如果已知总体平均值</w:t>
      </w:r>
      <w:r>
        <w:rPr>
          <w:i/>
        </w:rPr>
        <w:sym w:font="Symbol" w:char="006D"/>
      </w:r>
      <w:r>
        <w:rPr>
          <w:rFonts w:hint="eastAsia"/>
        </w:rPr>
        <w:t>和标准差</w:t>
      </w:r>
      <w:r>
        <w:rPr>
          <w:i/>
        </w:rPr>
        <w:sym w:font="Symbol" w:char="0073"/>
      </w:r>
      <w:r>
        <w:rPr>
          <w:rFonts w:hint="eastAsia"/>
        </w:rPr>
        <w:t>，那么计算出</w:t>
      </w:r>
      <w:r>
        <w:rPr>
          <w:rFonts w:ascii="Times New Roman"/>
          <w:i/>
        </w:rPr>
        <w:t>n</w:t>
      </w:r>
      <w:r>
        <w:rPr>
          <w:rFonts w:hint="eastAsia"/>
        </w:rPr>
        <w:t>个结果的平均值介于如</w:t>
      </w:r>
      <w:r>
        <w:rPr>
          <w:i/>
        </w:rPr>
        <w:sym w:font="Symbol" w:char="006D"/>
      </w:r>
      <w:r>
        <w:t>的</w:t>
      </w:r>
      <w:r>
        <w:rPr>
          <w:rFonts w:hint="eastAsia"/>
        </w:rPr>
        <w:t>三个标准差之间的概率就简单了（见6.2.1.1）。用正态符号（</w:t>
      </w:r>
      <w:r>
        <w:rPr>
          <w:rFonts w:ascii="Arial" w:hAnsi="Arial" w:cs="Arial"/>
          <w:sz w:val="20"/>
          <w:szCs w:val="20"/>
          <w:highlight w:val="yellow"/>
        </w:rPr>
        <w:t>normal notation</w:t>
      </w:r>
      <w:r>
        <w:t>）</w:t>
      </w:r>
      <w:r>
        <w:rPr/>
        <w:sym w:font="Symbol" w:char="0060"/>
      </w:r>
      <w:r>
        <w:rPr>
          <w:rFonts w:ascii="Times New Roman"/>
          <w:i/>
        </w:rPr>
        <w:t>x</w:t>
      </w:r>
      <w:r>
        <w:rPr>
          <w:rFonts w:hint="eastAsia"/>
        </w:rPr>
        <w:t>代表</w:t>
      </w:r>
      <w:r>
        <w:rPr>
          <w:rFonts w:ascii="Times New Roman"/>
          <w:i/>
        </w:rPr>
        <w:t>n</w:t>
      </w:r>
      <w:r>
        <w:rPr>
          <w:rFonts w:hint="eastAsia"/>
        </w:rPr>
        <w:t>个结果的平均值，那么在</w:t>
      </w:r>
      <w:r>
        <w:t>99.7%</w:t>
      </w:r>
      <w:r>
        <w:rPr>
          <w:rFonts w:hint="eastAsia"/>
        </w:rPr>
        <w:t>的情况下：</w:t>
      </w:r>
    </w:p>
    <w:p>
      <w:pPr>
        <w:tabs>
          <w:tab w:val="left" w:pos="993"/>
        </w:tabs>
        <w:spacing w:before="156" w:beforeLines="50" w:after="156" w:afterLines="50"/>
        <w:jc w:val="center"/>
        <w:rPr>
          <w:szCs w:val="21"/>
        </w:rPr>
      </w:pPr>
      <w:r>
        <w:rPr>
          <w:i/>
          <w:szCs w:val="21"/>
        </w:rPr>
        <w:t>μ</w:t>
      </w:r>
      <w:r>
        <w:rPr>
          <w:szCs w:val="21"/>
        </w:rPr>
        <w:t xml:space="preserve"> − 3</w:t>
      </w:r>
      <w:r>
        <w:rPr>
          <w:i/>
          <w:szCs w:val="21"/>
        </w:rPr>
        <w:t>σ</w:t>
      </w:r>
      <w:r>
        <w:rPr>
          <w:szCs w:val="21"/>
        </w:rPr>
        <w:t xml:space="preserve"> /</w:t>
      </w:r>
      <w:r>
        <w:rPr>
          <w:i/>
          <w:szCs w:val="21"/>
        </w:rPr>
        <w:fldChar w:fldCharType="begin"/>
      </w:r>
      <w:r>
        <w:rPr>
          <w:i/>
          <w:szCs w:val="21"/>
        </w:rPr>
        <w:instrText xml:space="preserve"> EQ \R(,n)</w:instrText>
      </w:r>
      <w:r>
        <w:rPr>
          <w:i/>
          <w:szCs w:val="21"/>
        </w:rPr>
        <w:fldChar w:fldCharType="end"/>
      </w:r>
      <w:r>
        <w:rPr>
          <w:szCs w:val="21"/>
        </w:rPr>
        <w:t xml:space="preserve"> &lt; </w:t>
      </w:r>
      <w:r>
        <w:rPr>
          <w:szCs w:val="21"/>
        </w:rPr>
        <w:sym w:font="Symbol" w:char="0060"/>
      </w:r>
      <w:r>
        <w:rPr>
          <w:i/>
          <w:szCs w:val="21"/>
        </w:rPr>
        <w:t>x</w:t>
      </w:r>
      <w:r>
        <w:rPr>
          <w:szCs w:val="21"/>
        </w:rPr>
        <w:t xml:space="preserve">  &lt; </w:t>
      </w:r>
      <w:r>
        <w:rPr>
          <w:i/>
          <w:szCs w:val="21"/>
        </w:rPr>
        <w:t>μ</w:t>
      </w:r>
      <w:r>
        <w:rPr>
          <w:szCs w:val="21"/>
        </w:rPr>
        <w:t xml:space="preserve"> + 3σ /</w:t>
      </w:r>
      <w:r>
        <w:rPr>
          <w:i/>
          <w:szCs w:val="21"/>
        </w:rPr>
        <w:fldChar w:fldCharType="begin"/>
      </w:r>
      <w:r>
        <w:rPr>
          <w:i/>
          <w:szCs w:val="21"/>
        </w:rPr>
        <w:instrText xml:space="preserve"> EQ \R(,n) </w:instrText>
      </w:r>
      <w:r>
        <w:rPr>
          <w:i/>
          <w:szCs w:val="21"/>
        </w:rPr>
        <w:fldChar w:fldCharType="end"/>
      </w:r>
    </w:p>
    <w:p>
      <w:pPr>
        <w:tabs>
          <w:tab w:val="left" w:pos="993"/>
        </w:tabs>
        <w:spacing w:before="156" w:beforeLines="50" w:after="156" w:afterLines="50"/>
        <w:jc w:val="left"/>
        <w:rPr>
          <w:kern w:val="0"/>
          <w:szCs w:val="21"/>
        </w:rPr>
      </w:pPr>
      <w:r>
        <w:rPr>
          <w:rFonts w:hint="eastAsia"/>
          <w:szCs w:val="21"/>
        </w:rPr>
        <w:t>相似的推理，如果</w:t>
      </w:r>
      <w:r>
        <w:rPr>
          <w:i/>
          <w:kern w:val="0"/>
          <w:szCs w:val="21"/>
        </w:rPr>
        <w:t>μ</w:t>
      </w:r>
      <w:r>
        <w:rPr>
          <w:rFonts w:hint="eastAsia"/>
          <w:kern w:val="0"/>
          <w:szCs w:val="21"/>
        </w:rPr>
        <w:t>未知，而</w:t>
      </w:r>
      <w:r>
        <w:rPr>
          <w:i/>
          <w:kern w:val="0"/>
          <w:szCs w:val="21"/>
        </w:rPr>
        <w:t>σ</w:t>
      </w:r>
      <w:r>
        <w:rPr>
          <w:rFonts w:hint="eastAsia"/>
          <w:kern w:val="0"/>
          <w:szCs w:val="21"/>
        </w:rPr>
        <w:t>已知，可推断出：</w:t>
      </w:r>
      <w:r>
        <w:rPr>
          <w:kern w:val="0"/>
          <w:szCs w:val="21"/>
        </w:rPr>
        <w:t xml:space="preserve"> </w:t>
      </w:r>
    </w:p>
    <w:p>
      <w:pPr>
        <w:tabs>
          <w:tab w:val="left" w:pos="993"/>
        </w:tabs>
        <w:spacing w:before="156" w:beforeLines="50" w:after="156" w:afterLines="50"/>
        <w:jc w:val="center"/>
        <w:rPr>
          <w:kern w:val="0"/>
          <w:szCs w:val="21"/>
        </w:rPr>
      </w:pPr>
      <w:r>
        <w:rPr>
          <w:szCs w:val="21"/>
        </w:rPr>
        <w:sym w:font="Symbol" w:char="0060"/>
      </w:r>
      <w:r>
        <w:rPr>
          <w:i/>
          <w:szCs w:val="21"/>
        </w:rPr>
        <w:t>x</w:t>
      </w:r>
      <w:r>
        <w:rPr>
          <w:szCs w:val="21"/>
        </w:rPr>
        <w:t xml:space="preserve"> − 3</w:t>
      </w:r>
      <w:r>
        <w:rPr>
          <w:i/>
          <w:szCs w:val="21"/>
        </w:rPr>
        <w:t>σ</w:t>
      </w:r>
      <w:r>
        <w:rPr>
          <w:szCs w:val="21"/>
        </w:rPr>
        <w:t xml:space="preserve"> /</w:t>
      </w:r>
      <w:r>
        <w:rPr>
          <w:kern w:val="0"/>
          <w:szCs w:val="21"/>
        </w:rPr>
        <w:fldChar w:fldCharType="begin"/>
      </w:r>
      <w:r>
        <w:rPr>
          <w:kern w:val="0"/>
          <w:szCs w:val="21"/>
        </w:rPr>
        <w:instrText xml:space="preserve"> EQ \R(,</w:instrText>
      </w:r>
      <w:r>
        <w:rPr>
          <w:i/>
          <w:kern w:val="0"/>
          <w:szCs w:val="21"/>
        </w:rPr>
        <w:instrText xml:space="preserve">n</w:instrText>
      </w:r>
      <w:r>
        <w:rPr>
          <w:kern w:val="0"/>
          <w:szCs w:val="21"/>
        </w:rPr>
        <w:instrText xml:space="preserve">)</w:instrText>
      </w:r>
      <w:r>
        <w:rPr>
          <w:kern w:val="0"/>
          <w:szCs w:val="21"/>
        </w:rPr>
        <w:fldChar w:fldCharType="end"/>
      </w:r>
      <w:r>
        <w:rPr>
          <w:kern w:val="0"/>
          <w:szCs w:val="21"/>
        </w:rPr>
        <w:t xml:space="preserve"> &lt; </w:t>
      </w:r>
      <w:r>
        <w:rPr>
          <w:i/>
          <w:spacing w:val="-80"/>
          <w:kern w:val="0"/>
          <w:szCs w:val="21"/>
        </w:rPr>
        <w:t>μ</w:t>
      </w:r>
      <w:r>
        <w:rPr>
          <w:kern w:val="0"/>
          <w:szCs w:val="21"/>
        </w:rPr>
        <w:t xml:space="preserve">ˆ &lt; </w:t>
      </w:r>
      <w:r>
        <w:rPr>
          <w:szCs w:val="21"/>
        </w:rPr>
        <w:sym w:font="Symbol" w:char="0060"/>
      </w:r>
      <w:r>
        <w:rPr>
          <w:i/>
          <w:szCs w:val="21"/>
        </w:rPr>
        <w:t>x</w:t>
      </w:r>
      <w:r>
        <w:rPr>
          <w:kern w:val="0"/>
          <w:szCs w:val="21"/>
        </w:rPr>
        <w:t xml:space="preserve"> + 3</w:t>
      </w:r>
      <w:r>
        <w:rPr>
          <w:i/>
          <w:kern w:val="0"/>
          <w:szCs w:val="21"/>
        </w:rPr>
        <w:t>σ</w:t>
      </w:r>
      <w:r>
        <w:rPr>
          <w:kern w:val="0"/>
          <w:szCs w:val="21"/>
        </w:rPr>
        <w:t>/</w:t>
      </w:r>
      <w:r>
        <w:rPr>
          <w:kern w:val="0"/>
          <w:szCs w:val="21"/>
        </w:rPr>
        <w:fldChar w:fldCharType="begin"/>
      </w:r>
      <w:r>
        <w:rPr>
          <w:kern w:val="0"/>
          <w:szCs w:val="21"/>
        </w:rPr>
        <w:instrText xml:space="preserve"> EQ \R(,</w:instrText>
      </w:r>
      <w:r>
        <w:rPr>
          <w:i/>
          <w:kern w:val="0"/>
          <w:szCs w:val="21"/>
        </w:rPr>
        <w:instrText xml:space="preserve">n</w:instrText>
      </w:r>
      <w:r>
        <w:rPr>
          <w:kern w:val="0"/>
          <w:szCs w:val="21"/>
        </w:rPr>
        <w:instrText xml:space="preserve">)</w:instrText>
      </w:r>
      <w:r>
        <w:rPr>
          <w:kern w:val="0"/>
          <w:szCs w:val="21"/>
        </w:rPr>
        <w:fldChar w:fldCharType="end"/>
      </w:r>
    </w:p>
    <w:p>
      <w:pPr>
        <w:tabs>
          <w:tab w:val="left" w:pos="993"/>
        </w:tabs>
        <w:spacing w:before="156" w:beforeLines="50" w:after="156" w:afterLines="50"/>
        <w:jc w:val="left"/>
        <w:rPr>
          <w:kern w:val="0"/>
          <w:szCs w:val="21"/>
        </w:rPr>
      </w:pPr>
      <w:r>
        <w:rPr>
          <w:rFonts w:hint="eastAsia"/>
          <w:kern w:val="0"/>
          <w:szCs w:val="21"/>
        </w:rPr>
        <w:t>因此，置信水平</w:t>
      </w:r>
      <w:r>
        <w:rPr>
          <w:kern w:val="0"/>
          <w:szCs w:val="21"/>
        </w:rPr>
        <w:t>99.7%</w:t>
      </w:r>
      <w:r>
        <w:rPr>
          <w:rFonts w:hint="eastAsia"/>
          <w:kern w:val="0"/>
          <w:szCs w:val="21"/>
        </w:rPr>
        <w:t>时，总体平均值会在介于样本平均值的±</w:t>
      </w:r>
      <w:r>
        <w:rPr>
          <w:kern w:val="0"/>
          <w:szCs w:val="21"/>
        </w:rPr>
        <w:t>3</w:t>
      </w:r>
      <w:r>
        <w:rPr>
          <w:rFonts w:hint="eastAsia"/>
          <w:i/>
          <w:kern w:val="0"/>
          <w:szCs w:val="21"/>
        </w:rPr>
        <w:t>σ</w:t>
      </w:r>
      <w:r>
        <w:rPr>
          <w:kern w:val="0"/>
          <w:szCs w:val="21"/>
        </w:rPr>
        <w:t>/</w:t>
      </w:r>
      <w:r>
        <w:rPr>
          <w:kern w:val="0"/>
          <w:szCs w:val="21"/>
        </w:rPr>
        <w:fldChar w:fldCharType="begin"/>
      </w:r>
      <w:r>
        <w:rPr>
          <w:kern w:val="0"/>
          <w:szCs w:val="21"/>
        </w:rPr>
        <w:instrText xml:space="preserve"> EQ \R(,</w:instrText>
      </w:r>
      <w:r>
        <w:rPr>
          <w:i/>
          <w:kern w:val="0"/>
          <w:szCs w:val="21"/>
        </w:rPr>
        <w:instrText xml:space="preserve">n</w:instrText>
      </w:r>
      <w:r>
        <w:rPr>
          <w:kern w:val="0"/>
          <w:szCs w:val="21"/>
        </w:rPr>
        <w:instrText xml:space="preserve">)</w:instrText>
      </w:r>
      <w:r>
        <w:rPr>
          <w:kern w:val="0"/>
          <w:szCs w:val="21"/>
        </w:rPr>
        <w:fldChar w:fldCharType="end"/>
      </w:r>
      <w:r>
        <w:rPr>
          <w:rFonts w:hint="eastAsia"/>
          <w:kern w:val="0"/>
          <w:szCs w:val="21"/>
        </w:rPr>
        <w:t>置信区间内。如果选更小的置信水平，如</w:t>
      </w:r>
      <w:r>
        <w:rPr>
          <w:kern w:val="0"/>
          <w:szCs w:val="21"/>
        </w:rPr>
        <w:t>95%</w:t>
      </w:r>
      <w:r>
        <w:rPr>
          <w:rFonts w:hint="eastAsia"/>
          <w:kern w:val="0"/>
          <w:szCs w:val="21"/>
        </w:rPr>
        <w:t>，置信区间则为</w:t>
      </w:r>
      <w:r>
        <w:rPr>
          <w:kern w:val="0"/>
          <w:szCs w:val="21"/>
        </w:rPr>
        <w:t>±1.96σ/</w:t>
      </w:r>
      <w:r>
        <w:rPr>
          <w:kern w:val="0"/>
          <w:szCs w:val="21"/>
        </w:rPr>
        <w:fldChar w:fldCharType="begin"/>
      </w:r>
      <w:r>
        <w:rPr>
          <w:kern w:val="0"/>
          <w:szCs w:val="21"/>
        </w:rPr>
        <w:instrText xml:space="preserve"> EQ \R(,n)</w:instrText>
      </w:r>
      <w:r>
        <w:rPr>
          <w:kern w:val="0"/>
          <w:szCs w:val="21"/>
        </w:rPr>
        <w:fldChar w:fldCharType="end"/>
      </w:r>
      <w:r>
        <w:rPr>
          <w:rFonts w:hint="eastAsia"/>
          <w:kern w:val="0"/>
          <w:szCs w:val="21"/>
        </w:rPr>
        <w:t>。</w:t>
      </w:r>
    </w:p>
    <w:p>
      <w:pPr>
        <w:pStyle w:val="118"/>
        <w:ind w:left="0"/>
      </w:pPr>
      <w:r>
        <w:rPr>
          <w:rFonts w:hint="eastAsia"/>
        </w:rPr>
        <w:t>不幸的是不知道准确的</w:t>
      </w:r>
      <w:r>
        <w:rPr>
          <w:i/>
        </w:rPr>
        <w:sym w:font="Symbol" w:char="006D"/>
      </w:r>
      <w:r>
        <w:rPr>
          <w:rFonts w:hint="eastAsia"/>
        </w:rPr>
        <w:t>和</w:t>
      </w:r>
      <w:r>
        <w:rPr>
          <w:i/>
        </w:rPr>
        <w:sym w:font="Symbol" w:char="0073"/>
      </w:r>
      <w:r>
        <w:rPr>
          <w:rFonts w:hint="eastAsia"/>
        </w:rPr>
        <w:t>值。仅知道检验样本的估计值</w:t>
      </w:r>
      <w:r>
        <w:rPr>
          <w:i/>
        </w:rPr>
        <w:t>s</w:t>
      </w:r>
      <w:r>
        <w:rPr>
          <w:rFonts w:hint="eastAsia"/>
        </w:rPr>
        <w:t>。对于相同的置信水平99.7%，考虑到</w:t>
      </w:r>
      <w:r>
        <w:rPr>
          <w:i/>
        </w:rPr>
        <w:sym w:font="Symbol" w:char="0073"/>
      </w:r>
      <w:r>
        <w:rPr>
          <w:rFonts w:hint="eastAsia"/>
        </w:rPr>
        <w:t>值的不确定度不得不增加</w:t>
      </w:r>
      <w:r>
        <w:t>3</w:t>
      </w:r>
      <w:r>
        <w:rPr>
          <w:rFonts w:hint="eastAsia"/>
          <w:i/>
        </w:rPr>
        <w:t>σ</w:t>
      </w:r>
      <w:r>
        <w:t>/</w:t>
      </w:r>
      <w:r>
        <w:rPr>
          <w:rFonts w:ascii="Times New Roman"/>
        </w:rPr>
        <w:fldChar w:fldCharType="begin"/>
      </w:r>
      <w:r>
        <w:rPr>
          <w:rFonts w:ascii="Times New Roman"/>
        </w:rPr>
        <w:instrText xml:space="preserve"> EQ \R(,</w:instrText>
      </w:r>
      <w:r>
        <w:rPr>
          <w:rFonts w:ascii="Times New Roman"/>
          <w:i/>
        </w:rPr>
        <w:instrText xml:space="preserve">n</w:instrText>
      </w:r>
      <w:r>
        <w:rPr>
          <w:rFonts w:ascii="Times New Roman"/>
        </w:rPr>
        <w:instrText xml:space="preserve">)</w:instrText>
      </w:r>
      <w:r>
        <w:rPr>
          <w:rFonts w:ascii="Times New Roman"/>
        </w:rPr>
        <w:fldChar w:fldCharType="end"/>
      </w:r>
      <w:r>
        <w:rPr>
          <w:rFonts w:hint="eastAsia"/>
        </w:rPr>
        <w:t>值，增加的量取决于</w:t>
      </w:r>
      <w:r>
        <w:rPr>
          <w:rFonts w:ascii="Times New Roman"/>
          <w:i/>
        </w:rPr>
        <w:t>n</w:t>
      </w:r>
      <w:r>
        <w:rPr>
          <w:rFonts w:hint="eastAsia"/>
        </w:rPr>
        <w:t>值。使用的因子是由学生</w:t>
      </w:r>
      <w:r>
        <w:rPr>
          <w:i/>
        </w:rPr>
        <w:t>t</w:t>
      </w:r>
      <w:r>
        <w:t>-</w:t>
      </w:r>
      <w:r>
        <w:rPr>
          <w:rFonts w:hint="eastAsia"/>
        </w:rPr>
        <w:t>分布给出的，而不是正态分布</w:t>
      </w:r>
      <w:r>
        <w:t>(</w:t>
      </w:r>
      <w:r>
        <w:rPr>
          <w:rFonts w:hint="eastAsia"/>
        </w:rPr>
        <w:t>当</w:t>
      </w:r>
      <w:r>
        <w:rPr>
          <w:rFonts w:ascii="Times New Roman"/>
          <w:i/>
        </w:rPr>
        <w:t>n</w:t>
      </w:r>
      <w:r>
        <w:rPr>
          <w:rFonts w:hint="eastAsia"/>
        </w:rPr>
        <w:t>趋于无穷时，</w:t>
      </w:r>
      <w:r>
        <w:rPr>
          <w:i/>
        </w:rPr>
        <w:t>t</w:t>
      </w:r>
      <w:r>
        <w:t>-</w:t>
      </w:r>
      <w:r>
        <w:rPr>
          <w:rFonts w:hint="eastAsia"/>
        </w:rPr>
        <w:t>分布的极限值</w:t>
      </w:r>
      <w:r>
        <w:t>)</w:t>
      </w:r>
      <w:r>
        <w:rPr>
          <w:rFonts w:hint="eastAsia"/>
        </w:rPr>
        <w:t>。对</w:t>
      </w:r>
      <w:r>
        <w:rPr>
          <w:i/>
        </w:rPr>
        <w:t>t</w:t>
      </w:r>
      <w:r>
        <w:t>-</w:t>
      </w:r>
      <w:r>
        <w:rPr>
          <w:rFonts w:hint="eastAsia"/>
        </w:rPr>
        <w:t>分布的进一步考虑超出了本文件的范围，应参考现有的许多统计教科书之一。参考书目中包括了一些有用的参考书。</w:t>
      </w:r>
    </w:p>
    <w:p>
      <w:pPr>
        <w:pStyle w:val="118"/>
        <w:ind w:left="0"/>
      </w:pPr>
      <w:r>
        <w:rPr>
          <w:rFonts w:hint="eastAsia"/>
        </w:rPr>
        <w:t>因此，在下面的章条中，假定平均值和标准差的真值是未知的，只有平均值</w:t>
      </w:r>
      <w:r>
        <w:rPr/>
        <w:sym w:font="Symbol" w:char="0060"/>
      </w:r>
      <w:r>
        <w:rPr>
          <w:rFonts w:ascii="Times New Roman"/>
          <w:i/>
        </w:rPr>
        <w:t>x</w:t>
      </w:r>
      <w:r>
        <w:rPr>
          <w:rFonts w:ascii="Times New Roman"/>
        </w:rPr>
        <w:t>和标准差</w:t>
      </w:r>
      <w:r>
        <w:rPr>
          <w:rFonts w:ascii="Times New Roman"/>
          <w:i/>
        </w:rPr>
        <w:t>s</w:t>
      </w:r>
      <w:r>
        <w:rPr>
          <w:rFonts w:hint="eastAsia"/>
        </w:rPr>
        <w:t>的估计值是已知的。若要阐述某一参数真值已知的情境，请参阅</w:t>
      </w:r>
      <w:r>
        <w:t>ISO 2602</w:t>
      </w:r>
      <w:r>
        <w:rPr>
          <w:rFonts w:hint="eastAsia"/>
        </w:rPr>
        <w:t>和</w:t>
      </w:r>
      <w:r>
        <w:t>ISO 2854</w:t>
      </w:r>
      <w:r>
        <w:rPr>
          <w:rFonts w:hint="eastAsia"/>
        </w:rPr>
        <w:t>。平均值的置信限通常要求</w:t>
      </w:r>
      <w:r>
        <w:t>95%</w:t>
      </w:r>
      <w:r>
        <w:rPr>
          <w:rFonts w:hint="eastAsia"/>
        </w:rPr>
        <w:t>和</w:t>
      </w:r>
      <w:r>
        <w:t>99%</w:t>
      </w:r>
      <w:r>
        <w:rPr>
          <w:rFonts w:hint="eastAsia"/>
        </w:rPr>
        <w:t>的置信水平。在这两种情况下，置信限由方程（12）至（14）给出：</w:t>
      </w:r>
    </w:p>
    <w:p>
      <w:pPr>
        <w:pStyle w:val="23"/>
      </w:pPr>
      <w:r>
        <w:rPr>
          <w:rFonts w:hint="eastAsia" w:hAnsi="宋体"/>
          <w:i/>
        </w:rPr>
        <w:t>C</w:t>
      </w:r>
      <w:r>
        <w:rPr>
          <w:rFonts w:hint="eastAsia" w:hAnsi="宋体"/>
          <w:vertAlign w:val="subscript"/>
        </w:rPr>
        <w:t xml:space="preserve">L </w:t>
      </w:r>
      <w:r>
        <w:rPr>
          <w:rFonts w:hint="eastAsia" w:hAnsi="宋体"/>
        </w:rPr>
        <w:t>=</w:t>
      </w:r>
      <w:r>
        <w:rPr/>
        <w:sym w:font="Symbol" w:char="0060"/>
      </w:r>
      <w:r>
        <w:rPr>
          <w:i/>
        </w:rPr>
        <w:t>x</w:t>
      </w:r>
      <w:r>
        <w:t xml:space="preserve"> – (</w:t>
      </w:r>
      <w:r>
        <w:rPr>
          <w:i/>
        </w:rPr>
        <w:t>t</w:t>
      </w:r>
      <w:r>
        <w:rPr>
          <w:i/>
          <w:vertAlign w:val="subscript"/>
        </w:rPr>
        <w:t>α</w:t>
      </w:r>
      <w:r>
        <w:rPr>
          <w:i/>
        </w:rPr>
        <w:t xml:space="preserve"> s</w:t>
      </w:r>
      <w:r>
        <w:t xml:space="preserve">)/ </w:t>
      </w:r>
      <w:r>
        <w:fldChar w:fldCharType="begin"/>
      </w:r>
      <w:r>
        <w:instrText xml:space="preserve"> EQ \R(,</w:instrText>
      </w:r>
      <w:r>
        <w:rPr>
          <w:i/>
        </w:rPr>
        <w:instrText xml:space="preserve">n</w:instrText>
      </w:r>
      <w:r>
        <w:instrText xml:space="preserve">)</w:instrText>
      </w:r>
      <w:r>
        <w:fldChar w:fldCharType="end"/>
      </w:r>
      <w:r>
        <w:t xml:space="preserve">                         </w:t>
      </w:r>
      <w:r>
        <w:rPr>
          <w:rFonts w:hint="eastAsia"/>
        </w:rPr>
        <w:t xml:space="preserve">          </w:t>
      </w:r>
      <w:r>
        <w:t xml:space="preserve">                         (12)</w:t>
      </w:r>
    </w:p>
    <w:p>
      <w:pPr>
        <w:pStyle w:val="23"/>
      </w:pPr>
      <w:r>
        <w:rPr>
          <w:rFonts w:hint="eastAsia" w:hAnsi="宋体"/>
          <w:i/>
        </w:rPr>
        <w:t>C</w:t>
      </w:r>
      <w:r>
        <w:rPr>
          <w:rFonts w:hint="eastAsia" w:hAnsi="宋体"/>
          <w:vertAlign w:val="subscript"/>
        </w:rPr>
        <w:t>U</w:t>
      </w:r>
      <w:r>
        <w:rPr>
          <w:rFonts w:hint="eastAsia" w:hAnsi="宋体"/>
        </w:rPr>
        <w:t xml:space="preserve"> =</w:t>
      </w:r>
      <w:r>
        <w:rPr/>
        <w:sym w:font="Symbol" w:char="0060"/>
      </w:r>
      <w:r>
        <w:rPr>
          <w:i/>
        </w:rPr>
        <w:t>x</w:t>
      </w:r>
      <w:r>
        <w:t xml:space="preserve"> + (</w:t>
      </w:r>
      <w:r>
        <w:rPr>
          <w:i/>
        </w:rPr>
        <w:t>t</w:t>
      </w:r>
      <w:r>
        <w:rPr>
          <w:i/>
          <w:vertAlign w:val="subscript"/>
        </w:rPr>
        <w:t>α</w:t>
      </w:r>
      <w:r>
        <w:rPr>
          <w:i/>
        </w:rPr>
        <w:t xml:space="preserve"> s</w:t>
      </w:r>
      <w:r>
        <w:t xml:space="preserve">)/ </w:t>
      </w:r>
      <w:r>
        <w:fldChar w:fldCharType="begin"/>
      </w:r>
      <w:r>
        <w:instrText xml:space="preserve"> EQ \R(,</w:instrText>
      </w:r>
      <w:r>
        <w:rPr>
          <w:i/>
        </w:rPr>
        <w:instrText xml:space="preserve">n</w:instrText>
      </w:r>
      <w:r>
        <w:instrText xml:space="preserve">)</w:instrText>
      </w:r>
      <w:r>
        <w:fldChar w:fldCharType="end"/>
      </w:r>
      <w:r>
        <w:t xml:space="preserve">                                    </w:t>
      </w:r>
      <w:r>
        <w:rPr>
          <w:rFonts w:hint="eastAsia"/>
        </w:rPr>
        <w:t xml:space="preserve">          </w:t>
      </w:r>
      <w:r>
        <w:t xml:space="preserve">              (13)</w:t>
      </w:r>
    </w:p>
    <w:p>
      <w:pPr>
        <w:pStyle w:val="23"/>
        <w:rPr>
          <w:rFonts w:ascii="Times New Roman"/>
        </w:rPr>
      </w:pPr>
      <w:r>
        <w:rPr>
          <w:rFonts w:ascii="Times New Roman"/>
          <w:i/>
        </w:rPr>
        <w:t>C</w:t>
      </w:r>
      <w:r>
        <w:rPr>
          <w:rFonts w:ascii="Times New Roman"/>
          <w:vertAlign w:val="subscript"/>
        </w:rPr>
        <w:t>I</w:t>
      </w:r>
      <w:r>
        <w:rPr>
          <w:rFonts w:ascii="Times New Roman"/>
        </w:rPr>
        <w:t xml:space="preserve"> = 2(</w:t>
      </w:r>
      <w:r>
        <w:rPr>
          <w:rFonts w:ascii="Times New Roman"/>
          <w:i/>
        </w:rPr>
        <w:t>t</w:t>
      </w:r>
      <w:r>
        <w:rPr>
          <w:rFonts w:ascii="Times New Roman"/>
          <w:i/>
          <w:vertAlign w:val="subscript"/>
        </w:rPr>
        <w:t>α</w:t>
      </w:r>
      <w:r>
        <w:rPr>
          <w:rFonts w:ascii="Times New Roman"/>
          <w:i/>
        </w:rPr>
        <w:t xml:space="preserve"> s</w:t>
      </w:r>
      <w:r>
        <w:rPr>
          <w:rFonts w:ascii="Times New Roman"/>
        </w:rPr>
        <w:t xml:space="preserve">)/ </w:t>
      </w:r>
      <w:r>
        <w:rPr>
          <w:rFonts w:ascii="Times New Roman"/>
        </w:rPr>
        <w:fldChar w:fldCharType="begin"/>
      </w:r>
      <w:r>
        <w:rPr>
          <w:rFonts w:ascii="Times New Roman"/>
        </w:rPr>
        <w:instrText xml:space="preserve"> EQ \R(,</w:instrText>
      </w:r>
      <w:r>
        <w:rPr>
          <w:rFonts w:ascii="Times New Roman"/>
          <w:i/>
        </w:rPr>
        <w:instrText xml:space="preserve">n</w:instrText>
      </w:r>
      <w:r>
        <w:rPr>
          <w:rFonts w:ascii="Times New Roman"/>
        </w:rPr>
        <w:instrText xml:space="preserve">)</w:instrText>
      </w:r>
      <w:r>
        <w:rPr>
          <w:rFonts w:ascii="Times New Roman"/>
        </w:rPr>
        <w:fldChar w:fldCharType="end"/>
      </w:r>
      <w:r>
        <w:rPr>
          <w:rFonts w:ascii="Times New Roman"/>
        </w:rPr>
        <w:t xml:space="preserve">                                                                  (14)</w:t>
      </w:r>
    </w:p>
    <w:p>
      <w:pPr>
        <w:tabs>
          <w:tab w:val="left" w:pos="1064"/>
        </w:tabs>
        <w:spacing w:before="156" w:beforeLines="50" w:after="156" w:afterLines="50"/>
        <w:rPr>
          <w:rFonts w:ascii="宋体" w:hAnsi="宋体"/>
          <w:szCs w:val="21"/>
        </w:rPr>
      </w:pPr>
      <w:r>
        <w:rPr>
          <w:rFonts w:hint="eastAsia" w:ascii="宋体" w:hAnsi="宋体"/>
          <w:szCs w:val="21"/>
        </w:rPr>
        <w:t>其中：</w:t>
      </w:r>
    </w:p>
    <w:p>
      <w:pPr>
        <w:pStyle w:val="23"/>
      </w:pPr>
      <w:r>
        <w:rPr>
          <w:rFonts w:hint="eastAsia"/>
          <w:i/>
        </w:rPr>
        <w:t>C</w:t>
      </w:r>
      <w:r>
        <w:rPr>
          <w:rFonts w:hint="eastAsia"/>
          <w:vertAlign w:val="subscript"/>
        </w:rPr>
        <w:t>L</w:t>
      </w:r>
      <w:r>
        <w:rPr>
          <w:rFonts w:hint="eastAsia"/>
        </w:rPr>
        <w:t xml:space="preserve"> =置信下限；</w:t>
      </w:r>
    </w:p>
    <w:p>
      <w:pPr>
        <w:pStyle w:val="23"/>
      </w:pPr>
      <w:r>
        <w:rPr>
          <w:rFonts w:hint="eastAsia"/>
          <w:i/>
        </w:rPr>
        <w:t>C</w:t>
      </w:r>
      <w:r>
        <w:rPr>
          <w:rFonts w:hint="eastAsia"/>
          <w:vertAlign w:val="subscript"/>
        </w:rPr>
        <w:t>U</w:t>
      </w:r>
      <w:r>
        <w:rPr>
          <w:rFonts w:hint="eastAsia"/>
        </w:rPr>
        <w:t xml:space="preserve"> =置信上限；</w:t>
      </w:r>
    </w:p>
    <w:p>
      <w:pPr>
        <w:pStyle w:val="23"/>
      </w:pPr>
      <w:r>
        <w:rPr>
          <w:rFonts w:hint="eastAsia"/>
          <w:i/>
        </w:rPr>
        <w:t>C</w:t>
      </w:r>
      <w:r>
        <w:rPr>
          <w:rFonts w:hint="eastAsia"/>
          <w:vertAlign w:val="subscript"/>
        </w:rPr>
        <w:t>I</w:t>
      </w:r>
      <w:r>
        <w:rPr>
          <w:rFonts w:hint="eastAsia"/>
        </w:rPr>
        <w:t xml:space="preserve"> =置信区间长度。</w:t>
      </w:r>
    </w:p>
    <w:p>
      <w:pPr>
        <w:pStyle w:val="23"/>
      </w:pPr>
      <w:r>
        <w:rPr>
          <w:rFonts w:hint="eastAsia"/>
        </w:rPr>
        <w:t>因此，总体平均值真值</w:t>
      </w:r>
      <w:r>
        <w:rPr>
          <w:rFonts w:hint="eastAsia"/>
          <w:i/>
        </w:rPr>
        <w:t>μ</w:t>
      </w:r>
      <w:r>
        <w:rPr>
          <w:rFonts w:hint="eastAsia"/>
        </w:rPr>
        <w:t>能够位于围绕计算平均值(即估计总体平均值)的区间内的置信水平为95%(或99%,等等)。</w:t>
      </w:r>
    </w:p>
    <w:p>
      <w:pPr>
        <w:pStyle w:val="8"/>
        <w:ind w:firstLine="420" w:firstLineChars="200"/>
      </w:pPr>
      <w:r>
        <w:rPr>
          <w:rFonts w:hint="eastAsia"/>
        </w:rPr>
        <w:t>在这些公式中，</w:t>
      </w:r>
      <w:r>
        <w:rPr>
          <w:i/>
        </w:rPr>
        <w:t>n</w:t>
      </w:r>
      <w:r>
        <w:rPr>
          <w:rFonts w:hint="eastAsia"/>
        </w:rPr>
        <w:t>是观察数，</w:t>
      </w:r>
      <w:r>
        <w:t xml:space="preserve"> </w:t>
      </w:r>
      <w:r>
        <w:rPr>
          <w:i/>
        </w:rPr>
        <w:t>t</w:t>
      </w:r>
      <w:r>
        <w:rPr>
          <w:rFonts w:hint="eastAsia"/>
        </w:rPr>
        <w:t>是从表</w:t>
      </w:r>
      <w:r>
        <w:t>11</w:t>
      </w:r>
      <w:r>
        <w:rPr>
          <w:rFonts w:hint="eastAsia"/>
        </w:rPr>
        <w:t>中得到的适当的学生分布</w:t>
      </w:r>
      <w:r>
        <w:rPr>
          <w:i/>
        </w:rPr>
        <w:t>t</w:t>
      </w:r>
      <w:r>
        <w:t>-</w:t>
      </w:r>
      <w:r>
        <w:rPr>
          <w:rFonts w:hint="eastAsia"/>
        </w:rPr>
        <w:t>值</w:t>
      </w:r>
      <w:r>
        <w:rPr>
          <w:rFonts w:hint="eastAsia" w:hAnsi="宋体"/>
        </w:rPr>
        <w:t>。</w:t>
      </w:r>
    </w:p>
    <w:p>
      <w:pPr>
        <w:pStyle w:val="127"/>
        <w:ind w:left="0"/>
      </w:pPr>
      <w:r>
        <w:rPr>
          <w:rFonts w:hint="eastAsia"/>
        </w:rPr>
        <w:t>摘选的学生分布</w:t>
      </w:r>
      <w:r>
        <w:rPr>
          <w:rFonts w:hint="eastAsia"/>
          <w:i/>
        </w:rPr>
        <w:t>t</w:t>
      </w:r>
      <w:r>
        <w:rPr>
          <w:rFonts w:hint="eastAsia"/>
        </w:rPr>
        <w:t>值</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14"/>
        <w:gridCol w:w="1914"/>
        <w:gridCol w:w="1914"/>
        <w:gridCol w:w="1914"/>
        <w:gridCol w:w="19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0" w:type="pct"/>
            <w:tcBorders>
              <w:top w:val="single" w:color="auto" w:sz="4" w:space="0"/>
              <w:left w:val="single" w:color="auto" w:sz="4" w:space="0"/>
              <w:bottom w:val="nil"/>
              <w:right w:val="single" w:color="auto" w:sz="4" w:space="0"/>
            </w:tcBorders>
          </w:tcPr>
          <w:p>
            <w:pPr>
              <w:tabs>
                <w:tab w:val="left" w:pos="1064"/>
                <w:tab w:val="center" w:pos="4201"/>
                <w:tab w:val="right" w:leader="dot" w:pos="9298"/>
              </w:tabs>
              <w:autoSpaceDE w:val="0"/>
              <w:autoSpaceDN w:val="0"/>
              <w:spacing w:line="0" w:lineRule="atLeast"/>
              <w:ind w:firstLine="360" w:firstLineChars="200"/>
              <w:jc w:val="center"/>
              <w:rPr>
                <w:i/>
                <w:sz w:val="18"/>
                <w:szCs w:val="18"/>
              </w:rPr>
            </w:pPr>
            <w:r>
              <w:rPr>
                <w:i/>
                <w:sz w:val="18"/>
                <w:szCs w:val="18"/>
              </w:rPr>
              <w:t>n</w:t>
            </w:r>
          </w:p>
        </w:tc>
        <w:tc>
          <w:tcPr>
            <w:tcW w:w="2000" w:type="pct"/>
            <w:gridSpan w:val="2"/>
            <w:tcBorders>
              <w:top w:val="single" w:color="auto" w:sz="4" w:space="0"/>
              <w:left w:val="single" w:color="auto" w:sz="4" w:space="0"/>
              <w:bottom w:val="nil"/>
              <w:right w:val="single" w:color="auto" w:sz="4" w:space="0"/>
            </w:tcBorders>
            <w:vAlign w:val="center"/>
          </w:tcPr>
          <w:p>
            <w:pPr>
              <w:tabs>
                <w:tab w:val="left" w:pos="1064"/>
                <w:tab w:val="center" w:pos="4201"/>
                <w:tab w:val="right" w:leader="dot" w:pos="9298"/>
              </w:tabs>
              <w:autoSpaceDE w:val="0"/>
              <w:autoSpaceDN w:val="0"/>
              <w:spacing w:line="0" w:lineRule="atLeast"/>
              <w:jc w:val="center"/>
              <w:rPr>
                <w:sz w:val="18"/>
                <w:szCs w:val="18"/>
              </w:rPr>
            </w:pPr>
            <w:r>
              <w:rPr>
                <w:rFonts w:hint="eastAsia"/>
                <w:sz w:val="18"/>
                <w:szCs w:val="18"/>
              </w:rPr>
              <w:t>置信水平</w:t>
            </w:r>
          </w:p>
        </w:tc>
        <w:tc>
          <w:tcPr>
            <w:tcW w:w="2000" w:type="pct"/>
            <w:gridSpan w:val="2"/>
            <w:tcBorders>
              <w:top w:val="single" w:color="auto" w:sz="4" w:space="0"/>
              <w:left w:val="single" w:color="auto" w:sz="4" w:space="0"/>
              <w:bottom w:val="nil"/>
              <w:right w:val="single" w:color="auto" w:sz="4" w:space="0"/>
            </w:tcBorders>
            <w:vAlign w:val="center"/>
          </w:tcPr>
          <w:p>
            <w:pPr>
              <w:tabs>
                <w:tab w:val="left" w:pos="1064"/>
                <w:tab w:val="center" w:pos="4201"/>
                <w:tab w:val="right" w:leader="dot" w:pos="9298"/>
              </w:tabs>
              <w:autoSpaceDE w:val="0"/>
              <w:autoSpaceDN w:val="0"/>
              <w:spacing w:line="0" w:lineRule="atLeast"/>
              <w:jc w:val="center"/>
              <w:rPr>
                <w:sz w:val="18"/>
                <w:szCs w:val="18"/>
              </w:rPr>
            </w:pPr>
            <w:r>
              <w:rPr>
                <w:rFonts w:hint="eastAsia"/>
                <w:sz w:val="18"/>
                <w:szCs w:val="18"/>
              </w:rPr>
              <w:t>置信水平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0" w:type="pct"/>
            <w:tcBorders>
              <w:top w:val="nil"/>
              <w:left w:val="single" w:color="auto" w:sz="4" w:space="0"/>
              <w:bottom w:val="nil"/>
              <w:right w:val="single" w:color="auto" w:sz="4" w:space="0"/>
            </w:tcBorders>
          </w:tcPr>
          <w:p>
            <w:pPr>
              <w:tabs>
                <w:tab w:val="left" w:pos="1064"/>
                <w:tab w:val="center" w:pos="4201"/>
                <w:tab w:val="right" w:leader="dot" w:pos="9298"/>
              </w:tabs>
              <w:autoSpaceDE w:val="0"/>
              <w:autoSpaceDN w:val="0"/>
              <w:spacing w:line="0" w:lineRule="atLeast"/>
              <w:ind w:firstLine="360" w:firstLineChars="200"/>
              <w:jc w:val="center"/>
              <w:rPr>
                <w:sz w:val="18"/>
                <w:szCs w:val="18"/>
              </w:rPr>
            </w:pPr>
          </w:p>
        </w:tc>
        <w:tc>
          <w:tcPr>
            <w:tcW w:w="2000" w:type="pct"/>
            <w:gridSpan w:val="2"/>
            <w:tcBorders>
              <w:top w:val="nil"/>
              <w:left w:val="single" w:color="auto" w:sz="4" w:space="0"/>
              <w:bottom w:val="nil"/>
              <w:right w:val="single" w:color="auto" w:sz="4" w:space="0"/>
            </w:tcBorders>
            <w:vAlign w:val="center"/>
          </w:tcPr>
          <w:p>
            <w:pPr>
              <w:tabs>
                <w:tab w:val="left" w:pos="1064"/>
                <w:tab w:val="center" w:pos="4201"/>
                <w:tab w:val="right" w:leader="dot" w:pos="9298"/>
              </w:tabs>
              <w:autoSpaceDE w:val="0"/>
              <w:autoSpaceDN w:val="0"/>
              <w:spacing w:line="0" w:lineRule="atLeast"/>
              <w:jc w:val="center"/>
              <w:rPr>
                <w:sz w:val="18"/>
                <w:szCs w:val="18"/>
              </w:rPr>
            </w:pPr>
            <w:r>
              <w:rPr>
                <w:rFonts w:hint="eastAsia"/>
                <w:sz w:val="18"/>
                <w:szCs w:val="18"/>
              </w:rPr>
              <w:t>双侧</w:t>
            </w:r>
          </w:p>
        </w:tc>
        <w:tc>
          <w:tcPr>
            <w:tcW w:w="2000" w:type="pct"/>
            <w:gridSpan w:val="2"/>
            <w:tcBorders>
              <w:top w:val="nil"/>
              <w:left w:val="single" w:color="auto" w:sz="4" w:space="0"/>
              <w:bottom w:val="nil"/>
              <w:right w:val="single" w:color="auto" w:sz="4" w:space="0"/>
            </w:tcBorders>
            <w:vAlign w:val="center"/>
          </w:tcPr>
          <w:p>
            <w:pPr>
              <w:tabs>
                <w:tab w:val="left" w:pos="1064"/>
                <w:tab w:val="center" w:pos="4201"/>
                <w:tab w:val="right" w:leader="dot" w:pos="9298"/>
              </w:tabs>
              <w:autoSpaceDE w:val="0"/>
              <w:autoSpaceDN w:val="0"/>
              <w:spacing w:line="0" w:lineRule="atLeast"/>
              <w:jc w:val="center"/>
              <w:rPr>
                <w:sz w:val="18"/>
                <w:szCs w:val="18"/>
              </w:rPr>
            </w:pPr>
            <w:r>
              <w:rPr>
                <w:rFonts w:hint="eastAsia"/>
                <w:sz w:val="18"/>
                <w:szCs w:val="18"/>
              </w:rPr>
              <w:t>单侧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0" w:type="pct"/>
            <w:tcBorders>
              <w:top w:val="nil"/>
              <w:left w:val="single" w:color="auto" w:sz="4" w:space="0"/>
              <w:bottom w:val="nil"/>
              <w:right w:val="single" w:color="auto" w:sz="4" w:space="0"/>
            </w:tcBorders>
          </w:tcPr>
          <w:p>
            <w:pPr>
              <w:tabs>
                <w:tab w:val="left" w:pos="1064"/>
                <w:tab w:val="center" w:pos="4201"/>
                <w:tab w:val="right" w:leader="dot" w:pos="9298"/>
              </w:tabs>
              <w:autoSpaceDE w:val="0"/>
              <w:autoSpaceDN w:val="0"/>
              <w:spacing w:line="0" w:lineRule="atLeast"/>
              <w:ind w:firstLine="360" w:firstLineChars="200"/>
              <w:jc w:val="center"/>
              <w:rPr>
                <w:sz w:val="18"/>
                <w:szCs w:val="18"/>
              </w:rPr>
            </w:pPr>
          </w:p>
        </w:tc>
        <w:tc>
          <w:tcPr>
            <w:tcW w:w="1000" w:type="pct"/>
            <w:tcBorders>
              <w:top w:val="nil"/>
              <w:left w:val="single" w:color="auto" w:sz="4" w:space="0"/>
              <w:bottom w:val="nil"/>
              <w:right w:val="single" w:color="auto" w:sz="4" w:space="0"/>
            </w:tcBorders>
          </w:tcPr>
          <w:p>
            <w:pPr>
              <w:tabs>
                <w:tab w:val="left" w:pos="1064"/>
                <w:tab w:val="center" w:pos="4201"/>
                <w:tab w:val="right" w:leader="dot" w:pos="9298"/>
              </w:tabs>
              <w:autoSpaceDE w:val="0"/>
              <w:autoSpaceDN w:val="0"/>
              <w:spacing w:line="0" w:lineRule="atLeast"/>
              <w:ind w:firstLine="360" w:firstLineChars="200"/>
              <w:jc w:val="center"/>
              <w:rPr>
                <w:sz w:val="18"/>
                <w:szCs w:val="18"/>
              </w:rPr>
            </w:pPr>
            <w:r>
              <w:rPr>
                <w:sz w:val="18"/>
                <w:szCs w:val="18"/>
              </w:rPr>
              <w:t>95%</w:t>
            </w:r>
          </w:p>
        </w:tc>
        <w:tc>
          <w:tcPr>
            <w:tcW w:w="1000" w:type="pct"/>
            <w:tcBorders>
              <w:top w:val="nil"/>
              <w:left w:val="single" w:color="auto" w:sz="4" w:space="0"/>
              <w:bottom w:val="nil"/>
              <w:right w:val="single" w:color="auto" w:sz="4" w:space="0"/>
            </w:tcBorders>
          </w:tcPr>
          <w:p>
            <w:pPr>
              <w:tabs>
                <w:tab w:val="left" w:pos="1064"/>
                <w:tab w:val="center" w:pos="4201"/>
                <w:tab w:val="right" w:leader="dot" w:pos="9298"/>
              </w:tabs>
              <w:autoSpaceDE w:val="0"/>
              <w:autoSpaceDN w:val="0"/>
              <w:spacing w:line="0" w:lineRule="atLeast"/>
              <w:ind w:firstLine="360" w:firstLineChars="200"/>
              <w:jc w:val="center"/>
              <w:rPr>
                <w:sz w:val="18"/>
                <w:szCs w:val="18"/>
              </w:rPr>
            </w:pPr>
            <w:r>
              <w:rPr>
                <w:sz w:val="18"/>
                <w:szCs w:val="18"/>
              </w:rPr>
              <w:t>99%</w:t>
            </w:r>
          </w:p>
        </w:tc>
        <w:tc>
          <w:tcPr>
            <w:tcW w:w="1000" w:type="pct"/>
            <w:tcBorders>
              <w:top w:val="nil"/>
              <w:left w:val="single" w:color="auto" w:sz="4" w:space="0"/>
              <w:bottom w:val="nil"/>
              <w:right w:val="single" w:color="auto" w:sz="4" w:space="0"/>
            </w:tcBorders>
          </w:tcPr>
          <w:p>
            <w:pPr>
              <w:tabs>
                <w:tab w:val="left" w:pos="1064"/>
                <w:tab w:val="center" w:pos="4201"/>
                <w:tab w:val="right" w:leader="dot" w:pos="9298"/>
              </w:tabs>
              <w:autoSpaceDE w:val="0"/>
              <w:autoSpaceDN w:val="0"/>
              <w:spacing w:line="0" w:lineRule="atLeast"/>
              <w:ind w:firstLine="360" w:firstLineChars="200"/>
              <w:jc w:val="center"/>
              <w:rPr>
                <w:sz w:val="18"/>
                <w:szCs w:val="18"/>
              </w:rPr>
            </w:pPr>
            <w:r>
              <w:rPr>
                <w:sz w:val="18"/>
                <w:szCs w:val="18"/>
              </w:rPr>
              <w:t>95%</w:t>
            </w:r>
          </w:p>
        </w:tc>
        <w:tc>
          <w:tcPr>
            <w:tcW w:w="1000" w:type="pct"/>
            <w:tcBorders>
              <w:top w:val="nil"/>
              <w:left w:val="single" w:color="auto" w:sz="4" w:space="0"/>
              <w:bottom w:val="nil"/>
              <w:right w:val="single" w:color="auto" w:sz="4" w:space="0"/>
            </w:tcBorders>
          </w:tcPr>
          <w:p>
            <w:pPr>
              <w:tabs>
                <w:tab w:val="left" w:pos="1064"/>
                <w:tab w:val="center" w:pos="4201"/>
                <w:tab w:val="right" w:leader="dot" w:pos="9298"/>
              </w:tabs>
              <w:autoSpaceDE w:val="0"/>
              <w:autoSpaceDN w:val="0"/>
              <w:spacing w:line="0" w:lineRule="atLeast"/>
              <w:ind w:firstLine="360" w:firstLineChars="200"/>
              <w:jc w:val="center"/>
              <w:rPr>
                <w:sz w:val="18"/>
                <w:szCs w:val="18"/>
              </w:rPr>
            </w:pPr>
            <w:r>
              <w:rPr>
                <w:sz w:val="18"/>
                <w:szCs w:val="18"/>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0" w:type="pct"/>
            <w:tcBorders>
              <w:top w:val="nil"/>
              <w:left w:val="single" w:color="auto" w:sz="4" w:space="0"/>
              <w:bottom w:val="single" w:color="auto" w:sz="4" w:space="0"/>
              <w:right w:val="single" w:color="auto" w:sz="4" w:space="0"/>
            </w:tcBorders>
          </w:tcPr>
          <w:p>
            <w:pPr>
              <w:tabs>
                <w:tab w:val="left" w:pos="1064"/>
                <w:tab w:val="center" w:pos="4201"/>
                <w:tab w:val="right" w:leader="dot" w:pos="9298"/>
              </w:tabs>
              <w:autoSpaceDE w:val="0"/>
              <w:autoSpaceDN w:val="0"/>
              <w:spacing w:line="0" w:lineRule="atLeast"/>
              <w:ind w:firstLine="360" w:firstLineChars="200"/>
              <w:jc w:val="center"/>
              <w:rPr>
                <w:sz w:val="18"/>
                <w:szCs w:val="18"/>
              </w:rPr>
            </w:pPr>
            <w:r>
              <w:rPr>
                <w:i/>
                <w:sz w:val="18"/>
                <w:szCs w:val="18"/>
              </w:rPr>
              <w:t>t</w:t>
            </w:r>
            <w:r>
              <w:rPr>
                <w:sz w:val="18"/>
                <w:szCs w:val="18"/>
                <w:vertAlign w:val="subscript"/>
              </w:rPr>
              <w:t>α</w:t>
            </w:r>
          </w:p>
        </w:tc>
        <w:tc>
          <w:tcPr>
            <w:tcW w:w="1000" w:type="pct"/>
            <w:tcBorders>
              <w:top w:val="nil"/>
              <w:left w:val="single" w:color="auto" w:sz="4" w:space="0"/>
              <w:bottom w:val="single" w:color="auto" w:sz="4" w:space="0"/>
              <w:right w:val="single" w:color="auto" w:sz="4" w:space="0"/>
            </w:tcBorders>
          </w:tcPr>
          <w:p>
            <w:pPr>
              <w:tabs>
                <w:tab w:val="left" w:pos="1064"/>
                <w:tab w:val="center" w:pos="4201"/>
                <w:tab w:val="right" w:leader="dot" w:pos="9298"/>
              </w:tabs>
              <w:autoSpaceDE w:val="0"/>
              <w:autoSpaceDN w:val="0"/>
              <w:spacing w:line="0" w:lineRule="atLeast"/>
              <w:ind w:firstLine="360" w:firstLineChars="200"/>
              <w:jc w:val="center"/>
              <w:rPr>
                <w:sz w:val="18"/>
                <w:szCs w:val="18"/>
              </w:rPr>
            </w:pPr>
            <w:r>
              <w:rPr>
                <w:i/>
                <w:sz w:val="18"/>
                <w:szCs w:val="18"/>
              </w:rPr>
              <w:t>t</w:t>
            </w:r>
            <w:r>
              <w:rPr>
                <w:sz w:val="18"/>
                <w:szCs w:val="18"/>
                <w:vertAlign w:val="subscript"/>
              </w:rPr>
              <w:t>0.975</w:t>
            </w:r>
          </w:p>
        </w:tc>
        <w:tc>
          <w:tcPr>
            <w:tcW w:w="1000" w:type="pct"/>
            <w:tcBorders>
              <w:top w:val="nil"/>
              <w:left w:val="single" w:color="auto" w:sz="4" w:space="0"/>
              <w:bottom w:val="single" w:color="auto" w:sz="4" w:space="0"/>
              <w:right w:val="single" w:color="auto" w:sz="4" w:space="0"/>
            </w:tcBorders>
          </w:tcPr>
          <w:p>
            <w:pPr>
              <w:tabs>
                <w:tab w:val="left" w:pos="1064"/>
                <w:tab w:val="center" w:pos="4201"/>
                <w:tab w:val="right" w:leader="dot" w:pos="9298"/>
              </w:tabs>
              <w:autoSpaceDE w:val="0"/>
              <w:autoSpaceDN w:val="0"/>
              <w:spacing w:line="0" w:lineRule="atLeast"/>
              <w:ind w:firstLine="360" w:firstLineChars="200"/>
              <w:jc w:val="center"/>
              <w:rPr>
                <w:sz w:val="18"/>
                <w:szCs w:val="18"/>
              </w:rPr>
            </w:pPr>
            <w:r>
              <w:rPr>
                <w:i/>
                <w:sz w:val="18"/>
                <w:szCs w:val="18"/>
              </w:rPr>
              <w:t>t</w:t>
            </w:r>
            <w:r>
              <w:rPr>
                <w:sz w:val="18"/>
                <w:szCs w:val="18"/>
                <w:vertAlign w:val="subscript"/>
              </w:rPr>
              <w:t>0.995</w:t>
            </w:r>
          </w:p>
        </w:tc>
        <w:tc>
          <w:tcPr>
            <w:tcW w:w="1000" w:type="pct"/>
            <w:tcBorders>
              <w:top w:val="nil"/>
              <w:left w:val="single" w:color="auto" w:sz="4" w:space="0"/>
              <w:bottom w:val="single" w:color="auto" w:sz="4" w:space="0"/>
              <w:right w:val="single" w:color="auto" w:sz="4" w:space="0"/>
            </w:tcBorders>
          </w:tcPr>
          <w:p>
            <w:pPr>
              <w:tabs>
                <w:tab w:val="left" w:pos="1064"/>
                <w:tab w:val="center" w:pos="4201"/>
                <w:tab w:val="right" w:leader="dot" w:pos="9298"/>
              </w:tabs>
              <w:autoSpaceDE w:val="0"/>
              <w:autoSpaceDN w:val="0"/>
              <w:spacing w:line="0" w:lineRule="atLeast"/>
              <w:ind w:firstLine="360" w:firstLineChars="200"/>
              <w:jc w:val="center"/>
              <w:rPr>
                <w:sz w:val="18"/>
                <w:szCs w:val="18"/>
              </w:rPr>
            </w:pPr>
            <w:r>
              <w:rPr>
                <w:i/>
                <w:sz w:val="18"/>
                <w:szCs w:val="18"/>
              </w:rPr>
              <w:t>t</w:t>
            </w:r>
            <w:r>
              <w:rPr>
                <w:sz w:val="18"/>
                <w:szCs w:val="18"/>
                <w:vertAlign w:val="subscript"/>
              </w:rPr>
              <w:t>0.95</w:t>
            </w:r>
          </w:p>
        </w:tc>
        <w:tc>
          <w:tcPr>
            <w:tcW w:w="1000" w:type="pct"/>
            <w:tcBorders>
              <w:top w:val="nil"/>
              <w:left w:val="single" w:color="auto" w:sz="4" w:space="0"/>
              <w:bottom w:val="single" w:color="auto" w:sz="4" w:space="0"/>
              <w:right w:val="single" w:color="auto" w:sz="4" w:space="0"/>
            </w:tcBorders>
          </w:tcPr>
          <w:p>
            <w:pPr>
              <w:tabs>
                <w:tab w:val="left" w:pos="1064"/>
                <w:tab w:val="center" w:pos="4201"/>
                <w:tab w:val="right" w:leader="dot" w:pos="9298"/>
              </w:tabs>
              <w:autoSpaceDE w:val="0"/>
              <w:autoSpaceDN w:val="0"/>
              <w:spacing w:line="0" w:lineRule="atLeast"/>
              <w:ind w:firstLine="360" w:firstLineChars="200"/>
              <w:jc w:val="center"/>
              <w:rPr>
                <w:sz w:val="18"/>
                <w:szCs w:val="18"/>
              </w:rPr>
            </w:pPr>
            <w:r>
              <w:rPr>
                <w:i/>
                <w:sz w:val="18"/>
                <w:szCs w:val="18"/>
              </w:rPr>
              <w:t>t</w:t>
            </w:r>
            <w:r>
              <w:rPr>
                <w:sz w:val="18"/>
                <w:szCs w:val="18"/>
                <w:vertAlign w:val="subscript"/>
              </w:rPr>
              <w:t>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12.71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63.66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6.314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4.303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9.925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2.920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6.965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3.182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5.841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2.353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4.541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2.776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4.604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2.132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3.747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2.571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4.032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2.015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3.365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2.447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3.707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1.943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2.365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3.499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1.895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2.998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2.306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3.355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1.860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2.262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3.250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1.833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2.228</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3.169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1.812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2.201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3.106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1.796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2.179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3.055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1.782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2.681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2.160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3.012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1.771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2.145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2.977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1.761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2.131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2.947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1.753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2.602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2.120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2.921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1.746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2.110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2.898</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1.740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2.101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2.878</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1.734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2.093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2.861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1.729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2.086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2.845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1.725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2.080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2.831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1.721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2.074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2.819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1.717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2.069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2.807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1.714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2.064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2.797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1.711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2.060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2.787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1.708</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2.056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2.779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1.706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2.052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2.771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1.703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2.048</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2.763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1.701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2.045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2.756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1.699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2.024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2.707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1.682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2.008</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2.680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1.676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2.000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2.664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1.673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2.393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120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1.980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2.617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1.658</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2.358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1.960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2.576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1.645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2.326</w:t>
            </w:r>
          </w:p>
        </w:tc>
      </w:tr>
    </w:tbl>
    <w:p>
      <w:pPr>
        <w:pStyle w:val="23"/>
      </w:pPr>
    </w:p>
    <w:p>
      <w:pPr>
        <w:pStyle w:val="118"/>
        <w:ind w:left="0"/>
      </w:pPr>
      <w:r>
        <w:rPr>
          <w:rFonts w:hint="eastAsia"/>
        </w:rPr>
        <w:t>如</w:t>
      </w:r>
      <w:r>
        <w:t>6.2.3.2.3</w:t>
      </w:r>
      <w:r>
        <w:rPr>
          <w:rFonts w:hint="eastAsia"/>
        </w:rPr>
        <w:t>所述，</w:t>
      </w:r>
      <w:r>
        <w:rPr>
          <w:rFonts w:ascii="Times New Roman"/>
        </w:rPr>
        <w:t>量s/</w:t>
      </w:r>
      <w:r>
        <w:rPr>
          <w:rFonts w:ascii="Times New Roman"/>
        </w:rPr>
        <w:fldChar w:fldCharType="begin"/>
      </w:r>
      <w:r>
        <w:rPr>
          <w:rFonts w:ascii="Times New Roman"/>
        </w:rPr>
        <w:instrText xml:space="preserve"> eq \r(,</w:instrText>
      </w:r>
      <w:r>
        <w:rPr>
          <w:rFonts w:ascii="Times New Roman"/>
          <w:i/>
        </w:rPr>
        <w:instrText xml:space="preserve">n</w:instrText>
      </w:r>
      <w:r>
        <w:rPr>
          <w:rFonts w:ascii="Times New Roman"/>
        </w:rPr>
        <w:instrText xml:space="preserve">) </w:instrText>
      </w:r>
      <w:r>
        <w:rPr>
          <w:rFonts w:ascii="Times New Roman"/>
        </w:rPr>
        <w:fldChar w:fldCharType="end"/>
      </w:r>
      <w:r>
        <w:rPr>
          <w:rFonts w:ascii="Times New Roman"/>
        </w:rPr>
        <w:t>被称</w:t>
      </w:r>
      <w:r>
        <w:rPr>
          <w:rFonts w:hint="eastAsia"/>
        </w:rPr>
        <w:t>为（均值）估计值的标准误差。由此可见，要将置信区间减半，需要进行大约四倍的观测。</w:t>
      </w:r>
    </w:p>
    <w:p>
      <w:pPr>
        <w:pStyle w:val="64"/>
      </w:pPr>
      <w:r>
        <w:rPr>
          <w:i/>
        </w:rPr>
        <w:t>t</w:t>
      </w:r>
      <w:r>
        <w:rPr>
          <w:rFonts w:hint="eastAsia"/>
        </w:rPr>
        <w:t>大约是个常数，除非</w:t>
      </w:r>
      <w:r>
        <w:rPr>
          <w:rFonts w:ascii="Times New Roman"/>
          <w:i/>
        </w:rPr>
        <w:t>n</w:t>
      </w:r>
      <w:r>
        <w:rPr>
          <w:rFonts w:hint="eastAsia"/>
        </w:rPr>
        <w:t>值非常小。</w:t>
      </w:r>
    </w:p>
    <w:p>
      <w:pPr>
        <w:pStyle w:val="118"/>
        <w:ind w:left="0"/>
      </w:pPr>
      <w:r>
        <w:rPr>
          <w:i/>
        </w:rPr>
        <w:t>t</w:t>
      </w:r>
      <w:r>
        <w:rPr>
          <w:vertAlign w:val="subscript"/>
        </w:rPr>
        <w:t>α</w:t>
      </w:r>
      <w:r>
        <w:rPr>
          <w:rFonts w:hint="eastAsia"/>
        </w:rPr>
        <w:t>值取决于所需要的置信水平、观察数（或，更严谨地说，自由度的数）以及是单侧还是双侧置信区间。这里仅考虑简单情况，即自由度数为</w:t>
      </w:r>
      <w:r>
        <w:t>(</w:t>
      </w:r>
      <w:r>
        <w:rPr>
          <w:rFonts w:ascii="Times New Roman"/>
          <w:i/>
        </w:rPr>
        <w:t>n</w:t>
      </w:r>
      <w:r>
        <w:t>-1)</w:t>
      </w:r>
      <w:r>
        <w:rPr>
          <w:rFonts w:hint="eastAsia"/>
        </w:rPr>
        <w:t>。</w:t>
      </w:r>
    </w:p>
    <w:p>
      <w:pPr>
        <w:pStyle w:val="118"/>
        <w:ind w:left="0"/>
      </w:pPr>
      <w:r>
        <w:rPr>
          <w:rFonts w:hint="eastAsia"/>
        </w:rPr>
        <w:t>例如，当对试验</w:t>
      </w:r>
      <w:r>
        <w:t>(</w:t>
      </w:r>
      <w:r>
        <w:rPr>
          <w:rFonts w:hint="eastAsia"/>
        </w:rPr>
        <w:t>如压缩永久变形</w:t>
      </w:r>
      <w:r>
        <w:t>)</w:t>
      </w:r>
      <w:r>
        <w:rPr>
          <w:rFonts w:hint="eastAsia"/>
        </w:rPr>
        <w:t>的观测平均值与试验所针对的指标最大值</w:t>
      </w:r>
      <w:r>
        <w:t>(</w:t>
      </w:r>
      <w:r>
        <w:rPr>
          <w:rFonts w:hint="eastAsia"/>
        </w:rPr>
        <w:t>或最小值</w:t>
      </w:r>
      <w:r>
        <w:t>)</w:t>
      </w:r>
      <w:r>
        <w:rPr>
          <w:rFonts w:hint="eastAsia"/>
        </w:rPr>
        <w:t>进行比较时，使用单侧置信区间。这是因为仅关心可能会超过（或者不能达到）要求的那些值，而对位于分布函数另一侧的值不感兴趣，这些值符合指标限制。在这种情况下，</w:t>
      </w:r>
      <w:r>
        <w:rPr>
          <w:i/>
        </w:rPr>
        <w:t>t</w:t>
      </w:r>
      <w:r>
        <w:rPr>
          <w:vertAlign w:val="subscript"/>
        </w:rPr>
        <w:t>α</w:t>
      </w:r>
      <w:r>
        <w:rPr>
          <w:rFonts w:hint="eastAsia"/>
        </w:rPr>
        <w:t>在表中置信限</w:t>
      </w:r>
      <w:r>
        <w:t>95%</w:t>
      </w:r>
      <w:r>
        <w:rPr>
          <w:rFonts w:hint="eastAsia"/>
        </w:rPr>
        <w:t>的</w:t>
      </w:r>
      <w:r>
        <w:rPr>
          <w:i/>
        </w:rPr>
        <w:t>t</w:t>
      </w:r>
      <w:r>
        <w:rPr>
          <w:vertAlign w:val="subscript"/>
        </w:rPr>
        <w:t>0.95</w:t>
      </w:r>
      <w:r>
        <w:rPr>
          <w:rFonts w:hint="eastAsia"/>
        </w:rPr>
        <w:t>和置信限</w:t>
      </w:r>
      <w:r>
        <w:t>99%</w:t>
      </w:r>
      <w:r>
        <w:rPr>
          <w:rFonts w:hint="eastAsia"/>
        </w:rPr>
        <w:t>的</w:t>
      </w:r>
      <w:r>
        <w:rPr>
          <w:i/>
        </w:rPr>
        <w:t>t</w:t>
      </w:r>
      <w:r>
        <w:rPr>
          <w:vertAlign w:val="subscript"/>
        </w:rPr>
        <w:t>0.99</w:t>
      </w:r>
      <w:r>
        <w:rPr>
          <w:rFonts w:hint="eastAsia"/>
        </w:rPr>
        <w:t>栏下给出。</w:t>
      </w:r>
    </w:p>
    <w:p>
      <w:pPr>
        <w:pStyle w:val="118"/>
        <w:ind w:left="0"/>
      </w:pPr>
      <w:r>
        <w:rPr>
          <w:rFonts w:hint="eastAsia"/>
        </w:rPr>
        <w:t>例如，当有必要知道，在给定的置信度下，能够期望真实平均值所在区间时，则使用双侧置信区间。在这种情况下，分布函数的两侧是同等重要的，且贡献相同的概率。因此，对于</w:t>
      </w:r>
      <w:r>
        <w:t>95%</w:t>
      </w:r>
      <w:r>
        <w:rPr>
          <w:rFonts w:hint="eastAsia"/>
        </w:rPr>
        <w:t>的置信水平，</w:t>
      </w:r>
      <w:r>
        <w:rPr>
          <w:i/>
        </w:rPr>
        <w:t>t</w:t>
      </w:r>
      <w:r>
        <w:rPr>
          <w:vertAlign w:val="subscript"/>
        </w:rPr>
        <w:t>0.975</w:t>
      </w:r>
      <w:r>
        <w:rPr>
          <w:rFonts w:hint="eastAsia"/>
        </w:rPr>
        <w:t>栏中的值是需要的；对于</w:t>
      </w:r>
      <w:r>
        <w:t>99%</w:t>
      </w:r>
      <w:r>
        <w:rPr>
          <w:rFonts w:hint="eastAsia"/>
        </w:rPr>
        <w:t>的置信水平，</w:t>
      </w:r>
      <w:r>
        <w:rPr>
          <w:i/>
        </w:rPr>
        <w:t>t</w:t>
      </w:r>
      <w:r>
        <w:rPr>
          <w:vertAlign w:val="subscript"/>
        </w:rPr>
        <w:t>0.995</w:t>
      </w:r>
      <w:r>
        <w:rPr>
          <w:rFonts w:hint="eastAsia"/>
        </w:rPr>
        <w:t>栏中的值是所需要的。</w:t>
      </w:r>
    </w:p>
    <w:p>
      <w:pPr>
        <w:pStyle w:val="118"/>
        <w:ind w:left="0"/>
      </w:pPr>
      <w:r>
        <w:rPr>
          <w:rFonts w:hint="eastAsia"/>
        </w:rPr>
        <w:t>有一些情形，对于给定的概率和自由度数，计算学生分布</w:t>
      </w:r>
      <w:r>
        <w:rPr>
          <w:i/>
        </w:rPr>
        <w:t>t</w:t>
      </w:r>
      <w:r>
        <w:t>-</w:t>
      </w:r>
      <w:r>
        <w:rPr>
          <w:rFonts w:hint="eastAsia"/>
        </w:rPr>
        <w:t>因子值比使用标准表可能更方便。如果不超过真实</w:t>
      </w:r>
      <w:r>
        <w:rPr>
          <w:i/>
        </w:rPr>
        <w:t>t</w:t>
      </w:r>
      <w:r>
        <w:rPr>
          <w:rFonts w:hint="eastAsia"/>
        </w:rPr>
        <w:t>值</w:t>
      </w:r>
      <w:r>
        <w:t>0.5%</w:t>
      </w:r>
      <w:r>
        <w:rPr>
          <w:rFonts w:hint="eastAsia"/>
        </w:rPr>
        <w:t>的误差是可以接受的，那么可以使用下列公式：</w:t>
      </w:r>
      <w:r>
        <w:t xml:space="preserve"> </w:t>
      </w:r>
    </w:p>
    <w:p>
      <w:pPr>
        <w:tabs>
          <w:tab w:val="left" w:pos="1064"/>
        </w:tabs>
        <w:spacing w:before="156" w:beforeLines="50" w:after="156" w:afterLines="50"/>
        <w:ind w:left="630" w:leftChars="300"/>
        <w:rPr>
          <w:kern w:val="0"/>
          <w:szCs w:val="21"/>
        </w:rPr>
      </w:pPr>
      <w:r>
        <w:rPr>
          <w:i/>
          <w:kern w:val="0"/>
          <w:szCs w:val="21"/>
        </w:rPr>
        <w:t>t</w:t>
      </w:r>
      <w:r>
        <w:rPr>
          <w:kern w:val="0"/>
          <w:szCs w:val="21"/>
          <w:vertAlign w:val="subscript"/>
        </w:rPr>
        <w:t>α</w:t>
      </w:r>
      <w:r>
        <w:rPr>
          <w:kern w:val="0"/>
          <w:szCs w:val="21"/>
        </w:rPr>
        <w:t xml:space="preserve"> = </w:t>
      </w:r>
      <w:r>
        <w:rPr>
          <w:i/>
          <w:kern w:val="0"/>
          <w:szCs w:val="21"/>
        </w:rPr>
        <w:t>A</w:t>
      </w:r>
      <w:r>
        <w:rPr>
          <w:kern w:val="0"/>
          <w:szCs w:val="21"/>
        </w:rPr>
        <w:t xml:space="preserve"> + </w:t>
      </w:r>
      <w:r>
        <w:rPr>
          <w:i/>
          <w:kern w:val="0"/>
          <w:szCs w:val="21"/>
        </w:rPr>
        <w:t>BC</w:t>
      </w:r>
      <w:r>
        <w:rPr>
          <w:kern w:val="0"/>
          <w:szCs w:val="21"/>
          <w:vertAlign w:val="superscript"/>
        </w:rPr>
        <w:t>[1/(</w:t>
      </w:r>
      <w:r>
        <w:rPr>
          <w:i/>
          <w:kern w:val="0"/>
          <w:szCs w:val="21"/>
          <w:vertAlign w:val="superscript"/>
        </w:rPr>
        <w:t>n</w:t>
      </w:r>
      <w:r>
        <w:rPr>
          <w:kern w:val="0"/>
          <w:szCs w:val="21"/>
          <w:vertAlign w:val="superscript"/>
        </w:rPr>
        <w:t>-1)]</w:t>
      </w:r>
      <w:r>
        <w:rPr>
          <w:kern w:val="0"/>
          <w:szCs w:val="21"/>
        </w:rPr>
        <w:t xml:space="preserve">                           </w:t>
      </w:r>
      <w:r>
        <w:rPr>
          <w:rFonts w:hint="eastAsia"/>
          <w:kern w:val="0"/>
          <w:szCs w:val="21"/>
        </w:rPr>
        <w:t xml:space="preserve">                </w:t>
      </w:r>
      <w:r>
        <w:rPr>
          <w:kern w:val="0"/>
          <w:szCs w:val="21"/>
        </w:rPr>
        <w:t xml:space="preserve">                     (15)</w:t>
      </w:r>
    </w:p>
    <w:p>
      <w:pPr>
        <w:pStyle w:val="23"/>
        <w:ind w:firstLine="0" w:firstLineChars="0"/>
      </w:pPr>
      <w:r>
        <w:rPr>
          <w:rFonts w:hint="eastAsia" w:ascii="Times New Roman"/>
          <w:szCs w:val="21"/>
        </w:rPr>
        <w:t>其中，常数</w:t>
      </w:r>
      <w:r>
        <w:rPr>
          <w:rFonts w:ascii="Times New Roman"/>
          <w:i/>
          <w:szCs w:val="21"/>
        </w:rPr>
        <w:t>A</w:t>
      </w:r>
      <w:r>
        <w:rPr>
          <w:rFonts w:hint="eastAsia" w:ascii="Times New Roman"/>
          <w:szCs w:val="21"/>
        </w:rPr>
        <w:t>、</w:t>
      </w:r>
      <w:r>
        <w:rPr>
          <w:rFonts w:ascii="Times New Roman"/>
          <w:i/>
          <w:szCs w:val="21"/>
        </w:rPr>
        <w:t>B</w:t>
      </w:r>
      <w:r>
        <w:rPr>
          <w:rFonts w:hint="eastAsia" w:ascii="Times New Roman"/>
          <w:szCs w:val="21"/>
        </w:rPr>
        <w:t>和</w:t>
      </w:r>
      <w:r>
        <w:rPr>
          <w:rFonts w:ascii="Times New Roman"/>
          <w:i/>
          <w:szCs w:val="21"/>
        </w:rPr>
        <w:t>C</w:t>
      </w:r>
      <w:r>
        <w:rPr>
          <w:rFonts w:hint="eastAsia" w:ascii="Times New Roman"/>
          <w:szCs w:val="21"/>
        </w:rPr>
        <w:t>在表</w:t>
      </w:r>
      <w:r>
        <w:rPr>
          <w:rFonts w:ascii="Times New Roman"/>
          <w:szCs w:val="21"/>
        </w:rPr>
        <w:t>12</w:t>
      </w:r>
      <w:r>
        <w:rPr>
          <w:rFonts w:hint="eastAsia" w:ascii="Times New Roman"/>
          <w:szCs w:val="21"/>
        </w:rPr>
        <w:t>中给出。</w:t>
      </w:r>
    </w:p>
    <w:p>
      <w:pPr>
        <w:pStyle w:val="127"/>
        <w:ind w:left="0"/>
      </w:pPr>
      <w:r>
        <w:rPr>
          <w:rFonts w:hint="eastAsia" w:hAnsi="黑体"/>
          <w:i/>
          <w:szCs w:val="21"/>
        </w:rPr>
        <w:t>t</w:t>
      </w:r>
      <w:r>
        <w:rPr>
          <w:rFonts w:hint="eastAsia" w:hAnsi="黑体"/>
          <w:szCs w:val="21"/>
        </w:rPr>
        <w:t>-值常数</w:t>
      </w:r>
    </w:p>
    <w:tbl>
      <w:tblPr>
        <w:tblStyle w:val="33"/>
        <w:tblW w:w="5000" w:type="pct"/>
        <w:tblInd w:w="0" w:type="dxa"/>
        <w:tblLayout w:type="autofit"/>
        <w:tblCellMar>
          <w:top w:w="0" w:type="dxa"/>
          <w:left w:w="108" w:type="dxa"/>
          <w:bottom w:w="0" w:type="dxa"/>
          <w:right w:w="108" w:type="dxa"/>
        </w:tblCellMar>
      </w:tblPr>
      <w:tblGrid>
        <w:gridCol w:w="2392"/>
        <w:gridCol w:w="2392"/>
        <w:gridCol w:w="2393"/>
        <w:gridCol w:w="2393"/>
      </w:tblGrid>
      <w:tr>
        <w:tblPrEx>
          <w:tblCellMar>
            <w:top w:w="0" w:type="dxa"/>
            <w:left w:w="108" w:type="dxa"/>
            <w:bottom w:w="0" w:type="dxa"/>
            <w:right w:w="108" w:type="dxa"/>
          </w:tblCellMar>
        </w:tblPrEx>
        <w:trPr>
          <w:trHeight w:val="270" w:hRule="atLeast"/>
        </w:trPr>
        <w:tc>
          <w:tcPr>
            <w:tcW w:w="125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i/>
                <w:iCs/>
                <w:color w:val="000000"/>
                <w:kern w:val="0"/>
                <w:sz w:val="18"/>
                <w:szCs w:val="18"/>
              </w:rPr>
            </w:pPr>
            <w:r>
              <w:rPr>
                <w:rFonts w:hint="eastAsia" w:ascii="宋体" w:hAnsi="宋体" w:cs="宋体"/>
                <w:i/>
                <w:iCs/>
                <w:color w:val="000000"/>
                <w:kern w:val="0"/>
                <w:sz w:val="18"/>
                <w:szCs w:val="18"/>
              </w:rPr>
              <w:t>t</w:t>
            </w:r>
          </w:p>
        </w:tc>
        <w:tc>
          <w:tcPr>
            <w:tcW w:w="125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i/>
                <w:iCs/>
                <w:color w:val="000000"/>
                <w:kern w:val="0"/>
                <w:sz w:val="18"/>
                <w:szCs w:val="18"/>
              </w:rPr>
            </w:pPr>
            <w:r>
              <w:rPr>
                <w:rFonts w:hint="eastAsia" w:ascii="宋体" w:hAnsi="宋体" w:cs="宋体"/>
                <w:i/>
                <w:iCs/>
                <w:color w:val="000000"/>
                <w:kern w:val="0"/>
                <w:sz w:val="18"/>
                <w:szCs w:val="18"/>
              </w:rPr>
              <w:t>A</w:t>
            </w:r>
          </w:p>
        </w:tc>
        <w:tc>
          <w:tcPr>
            <w:tcW w:w="125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i/>
                <w:iCs/>
                <w:color w:val="000000"/>
                <w:kern w:val="0"/>
                <w:sz w:val="18"/>
                <w:szCs w:val="18"/>
              </w:rPr>
            </w:pPr>
            <w:r>
              <w:rPr>
                <w:rFonts w:hint="eastAsia" w:ascii="宋体" w:hAnsi="宋体" w:cs="宋体"/>
                <w:i/>
                <w:iCs/>
                <w:color w:val="000000"/>
                <w:kern w:val="0"/>
                <w:sz w:val="18"/>
                <w:szCs w:val="18"/>
              </w:rPr>
              <w:t>B</w:t>
            </w:r>
          </w:p>
        </w:tc>
        <w:tc>
          <w:tcPr>
            <w:tcW w:w="125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i/>
                <w:iCs/>
                <w:color w:val="000000"/>
                <w:kern w:val="0"/>
                <w:sz w:val="18"/>
                <w:szCs w:val="18"/>
              </w:rPr>
            </w:pPr>
            <w:r>
              <w:rPr>
                <w:rFonts w:hint="eastAsia" w:ascii="宋体" w:hAnsi="宋体" w:cs="宋体"/>
                <w:i/>
                <w:iCs/>
                <w:color w:val="000000"/>
                <w:kern w:val="0"/>
                <w:sz w:val="18"/>
                <w:szCs w:val="18"/>
              </w:rPr>
              <w:t>C</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i/>
                <w:color w:val="000000"/>
                <w:kern w:val="0"/>
                <w:sz w:val="18"/>
                <w:szCs w:val="18"/>
              </w:rPr>
              <w:t>t</w:t>
            </w:r>
            <w:r>
              <w:rPr>
                <w:rFonts w:hint="eastAsia" w:ascii="宋体" w:hAnsi="宋体" w:cs="宋体"/>
                <w:color w:val="000000"/>
                <w:kern w:val="0"/>
                <w:sz w:val="18"/>
                <w:szCs w:val="18"/>
                <w:vertAlign w:val="subscript"/>
              </w:rPr>
              <w:t>0.95</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0.875 7</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0.770 03</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7.062 3</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i/>
                <w:color w:val="000000"/>
                <w:kern w:val="0"/>
                <w:sz w:val="18"/>
                <w:szCs w:val="18"/>
              </w:rPr>
              <w:t>t</w:t>
            </w:r>
            <w:r>
              <w:rPr>
                <w:rFonts w:hint="eastAsia" w:ascii="宋体" w:hAnsi="宋体" w:cs="宋体"/>
                <w:color w:val="000000"/>
                <w:kern w:val="0"/>
                <w:sz w:val="18"/>
                <w:szCs w:val="18"/>
                <w:vertAlign w:val="subscript"/>
              </w:rPr>
              <w:t>0.975</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1.053 1</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0.909 30</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12.819 2</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i/>
                <w:color w:val="000000"/>
                <w:kern w:val="0"/>
                <w:sz w:val="18"/>
                <w:szCs w:val="18"/>
              </w:rPr>
              <w:t>t</w:t>
            </w:r>
            <w:r>
              <w:rPr>
                <w:rFonts w:hint="eastAsia" w:ascii="宋体" w:hAnsi="宋体" w:cs="宋体"/>
                <w:color w:val="000000"/>
                <w:kern w:val="0"/>
                <w:sz w:val="18"/>
                <w:szCs w:val="18"/>
                <w:vertAlign w:val="subscript"/>
              </w:rPr>
              <w:t>0.99</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1.264 0</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1.069 9</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28.559 0</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i/>
                <w:color w:val="000000"/>
                <w:kern w:val="0"/>
                <w:sz w:val="18"/>
                <w:szCs w:val="18"/>
              </w:rPr>
              <w:t>t</w:t>
            </w:r>
            <w:r>
              <w:rPr>
                <w:rFonts w:hint="eastAsia" w:ascii="宋体" w:hAnsi="宋体" w:cs="宋体"/>
                <w:color w:val="000000"/>
                <w:kern w:val="0"/>
                <w:sz w:val="18"/>
                <w:szCs w:val="18"/>
                <w:vertAlign w:val="subscript"/>
              </w:rPr>
              <w:t>0.995</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1.418 7</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1.171 7</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53.120 9</w:t>
            </w:r>
          </w:p>
        </w:tc>
      </w:tr>
    </w:tbl>
    <w:p>
      <w:pPr>
        <w:pStyle w:val="51"/>
        <w:spacing w:before="156" w:after="156"/>
      </w:pPr>
      <w:r>
        <w:rPr>
          <w:rFonts w:hint="eastAsia"/>
        </w:rPr>
        <w:t>关于标准差</w:t>
      </w:r>
    </w:p>
    <w:p>
      <w:pPr>
        <w:pStyle w:val="118"/>
        <w:ind w:left="0"/>
      </w:pPr>
      <w:r>
        <w:rPr>
          <w:rFonts w:hint="eastAsia"/>
        </w:rPr>
        <w:t>与平均值情况一样，用一组数据计算得到的标准差只能是对总体的真实标准差的估计，因此将有与之相关的不确定度的度量。因此，可以设定达到一定置信度的包含总体标准差的置信限。</w:t>
      </w:r>
    </w:p>
    <w:p>
      <w:pPr>
        <w:pStyle w:val="118"/>
        <w:ind w:left="0"/>
      </w:pPr>
      <w:r>
        <w:rPr>
          <w:rFonts w:hint="eastAsia"/>
        </w:rPr>
        <w:t>与平均值置信限不同，标准差的限值不是关于估计值</w:t>
      </w:r>
      <w:r>
        <w:rPr>
          <w:rFonts w:hint="eastAsia"/>
          <w:i/>
        </w:rPr>
        <w:t>s</w:t>
      </w:r>
      <w:r>
        <w:rPr>
          <w:rFonts w:hint="eastAsia"/>
        </w:rPr>
        <w:t>对称的。这是因为标准差不像平均值，不可能是负的。</w:t>
      </w:r>
    </w:p>
    <w:p>
      <w:pPr>
        <w:pStyle w:val="118"/>
        <w:ind w:left="0"/>
      </w:pPr>
      <w:r>
        <w:rPr>
          <w:rFonts w:hint="eastAsia"/>
        </w:rPr>
        <w:t>正如在7.1.1.6和7.2.1.1.7中讨论的，当考虑平均值的置信限时，有两种情况要考虑。有单侧和双侧两种情况，这取决于是否仅考虑上限（或下限），亦或两者都考虑。</w:t>
      </w:r>
    </w:p>
    <w:p>
      <w:pPr>
        <w:pStyle w:val="23"/>
        <w:spacing w:before="156" w:beforeLines="50" w:after="156"/>
      </w:pPr>
      <m:oMath>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sSub>
              <m:sSubPr>
                <m:ctrlPr>
                  <w:rPr>
                    <w:rFonts w:ascii="Cambria Math" w:hAnsi="Cambria Math"/>
                    <w:i/>
                    <w:szCs w:val="22"/>
                  </w:rPr>
                </m:ctrlPr>
              </m:sSubPr>
              <m:e>
                <m:r>
                  <m:rPr>
                    <m:sty m:val="p"/>
                  </m:rPr>
                  <w:rPr>
                    <w:rFonts w:ascii="Cambria Math" w:hAnsi="Cambria Math"/>
                  </w:rPr>
                  <m:t>U</m:t>
                </m:r>
                <m:ctrlPr>
                  <w:rPr>
                    <w:rFonts w:ascii="Cambria Math" w:hAnsi="Cambria Math"/>
                    <w:i/>
                    <w:szCs w:val="22"/>
                  </w:rPr>
                </m:ctrlPr>
              </m:e>
              <m:sub>
                <m:r>
                  <m:rPr/>
                  <w:rPr>
                    <w:rFonts w:ascii="Cambria Math" w:hAnsi="Cambria Math"/>
                  </w:rPr>
                  <m:t>s</m:t>
                </m:r>
                <m:ctrlPr>
                  <w:rPr>
                    <w:rFonts w:ascii="Cambria Math" w:hAnsi="Cambria Math"/>
                    <w:i/>
                    <w:szCs w:val="22"/>
                  </w:rPr>
                </m:ctrlPr>
              </m:sub>
            </m:sSub>
            <m:ctrlPr>
              <w:rPr>
                <w:rFonts w:ascii="Cambria Math" w:hAnsi="Cambria Math"/>
                <w:i/>
                <w:szCs w:val="22"/>
              </w:rPr>
            </m:ctrlPr>
          </m:sub>
        </m:sSub>
        <m:r>
          <m:rPr>
            <m:sty m:val="p"/>
          </m:rPr>
          <w:rPr>
            <w:rFonts w:ascii="Cambria Math" w:hAnsi="Cambria Math"/>
          </w:rPr>
          <m:t>=</m:t>
        </m:r>
        <m:sSup>
          <m:sSupPr>
            <m:ctrlPr>
              <w:rPr>
                <w:rFonts w:ascii="Cambria Math" w:hAnsi="Cambria Math"/>
                <w:szCs w:val="22"/>
              </w:rPr>
            </m:ctrlPr>
          </m:sSupPr>
          <m:e>
            <m:d>
              <m:dPr>
                <m:begChr m:val="["/>
                <m:endChr m:val="]"/>
                <m:ctrlPr>
                  <w:rPr>
                    <w:rFonts w:ascii="Cambria Math" w:hAnsi="Cambria Math"/>
                    <w:i/>
                    <w:szCs w:val="22"/>
                  </w:rPr>
                </m:ctrlPr>
              </m:dPr>
              <m:e>
                <m:f>
                  <m:fPr>
                    <m:ctrlPr>
                      <w:rPr>
                        <w:rFonts w:ascii="Cambria Math" w:hAnsi="Cambria Math"/>
                        <w:i/>
                        <w:szCs w:val="22"/>
                      </w:rPr>
                    </m:ctrlPr>
                  </m:fPr>
                  <m:num>
                    <m:r>
                      <m:rPr/>
                      <w:rPr>
                        <w:rFonts w:ascii="Cambria Math" w:hAnsi="Cambria Math"/>
                      </w:rPr>
                      <m:t>n</m:t>
                    </m:r>
                    <m:sSup>
                      <m:sSupPr>
                        <m:ctrlPr>
                          <w:rPr>
                            <w:rFonts w:ascii="Cambria Math" w:hAnsi="Cambria Math"/>
                            <w:i/>
                            <w:szCs w:val="22"/>
                          </w:rPr>
                        </m:ctrlPr>
                      </m:sSupPr>
                      <m:e>
                        <m:r>
                          <m:rPr/>
                          <w:rPr>
                            <w:rFonts w:ascii="Cambria Math" w:hAnsi="Cambria Math"/>
                          </w:rPr>
                          <m:t>s</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num>
                  <m:den>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χ</m:t>
                            </m:r>
                            <m:ctrlPr>
                              <w:rPr>
                                <w:rFonts w:ascii="Cambria Math" w:hAnsi="Cambria Math"/>
                                <w:i/>
                                <w:szCs w:val="22"/>
                              </w:rPr>
                            </m:ctrlPr>
                          </m:e>
                          <m:sub>
                            <m:r>
                              <m:rPr/>
                              <w:rPr>
                                <w:rFonts w:ascii="Cambria Math" w:hAnsi="Cambria Math"/>
                              </w:rPr>
                              <m:t>α</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den>
                </m:f>
                <m:ctrlPr>
                  <w:rPr>
                    <w:rFonts w:ascii="Cambria Math" w:hAnsi="Cambria Math"/>
                    <w:i/>
                    <w:szCs w:val="22"/>
                  </w:rPr>
                </m:ctrlPr>
              </m:e>
            </m:d>
            <m:ctrlPr>
              <w:rPr>
                <w:rFonts w:ascii="Cambria Math" w:hAnsi="Cambria Math"/>
                <w:szCs w:val="22"/>
              </w:rPr>
            </m:ctrlPr>
          </m:e>
          <m:sup>
            <m:r>
              <m:rPr/>
              <w:rPr>
                <w:rFonts w:ascii="Cambria Math" w:hAnsi="Cambria Math"/>
              </w:rPr>
              <m:t>1/2</m:t>
            </m:r>
            <m:ctrlPr>
              <w:rPr>
                <w:rFonts w:ascii="Cambria Math" w:hAnsi="Cambria Math"/>
                <w:szCs w:val="22"/>
              </w:rPr>
            </m:ctrlPr>
          </m:sup>
        </m:sSup>
      </m:oMath>
      <w:r>
        <w:rPr>
          <w:rFonts w:hint="eastAsia"/>
        </w:rPr>
        <w:t xml:space="preserve">                                                            (16)</w:t>
      </w:r>
    </w:p>
    <w:p>
      <w:pPr>
        <w:pStyle w:val="23"/>
        <w:ind w:firstLine="0" w:firstLineChars="0"/>
      </w:pPr>
      <w:r>
        <w:rPr>
          <w:rFonts w:hint="eastAsia"/>
        </w:rPr>
        <w:t>其中，</w:t>
      </w:r>
      <m:oMath>
        <m:sSub>
          <m:sSubPr>
            <m:ctrlPr>
              <w:rPr>
                <w:rFonts w:ascii="Cambria Math" w:hAnsi="Cambria Math"/>
                <w:szCs w:val="22"/>
              </w:rPr>
            </m:ctrlPr>
          </m:sSubPr>
          <m:e>
            <m:r>
              <m:rPr/>
              <w:rPr>
                <w:rFonts w:ascii="Cambria Math" w:hAnsi="Cambria Math"/>
              </w:rPr>
              <m:t>C</m:t>
            </m:r>
            <m:ctrlPr>
              <w:rPr>
                <w:rFonts w:ascii="Cambria Math" w:hAnsi="Cambria Math"/>
                <w:szCs w:val="22"/>
              </w:rPr>
            </m:ctrlPr>
          </m:e>
          <m:sub>
            <m:sSub>
              <m:sSubPr>
                <m:ctrlPr>
                  <w:rPr>
                    <w:rFonts w:ascii="Cambria Math" w:hAnsi="Cambria Math"/>
                    <w:i/>
                    <w:szCs w:val="22"/>
                  </w:rPr>
                </m:ctrlPr>
              </m:sSubPr>
              <m:e>
                <m:r>
                  <m:rPr>
                    <m:sty m:val="p"/>
                  </m:rPr>
                  <w:rPr>
                    <w:rFonts w:ascii="Cambria Math" w:hAnsi="Cambria Math"/>
                  </w:rPr>
                  <m:t>U</m:t>
                </m:r>
                <m:ctrlPr>
                  <w:rPr>
                    <w:rFonts w:ascii="Cambria Math" w:hAnsi="Cambria Math"/>
                    <w:i/>
                    <w:szCs w:val="22"/>
                  </w:rPr>
                </m:ctrlPr>
              </m:e>
              <m:sub>
                <m:r>
                  <m:rPr/>
                  <w:rPr>
                    <w:rFonts w:ascii="Cambria Math" w:hAnsi="Cambria Math"/>
                  </w:rPr>
                  <m:t>s</m:t>
                </m:r>
                <m:ctrlPr>
                  <w:rPr>
                    <w:rFonts w:ascii="Cambria Math" w:hAnsi="Cambria Math"/>
                    <w:i/>
                    <w:szCs w:val="22"/>
                  </w:rPr>
                </m:ctrlPr>
              </m:sub>
            </m:sSub>
            <m:ctrlPr>
              <w:rPr>
                <w:rFonts w:ascii="Cambria Math" w:hAnsi="Cambria Math"/>
                <w:szCs w:val="22"/>
              </w:rPr>
            </m:ctrlPr>
          </m:sub>
        </m:sSub>
      </m:oMath>
      <w:r>
        <w:rPr>
          <w:rFonts w:hint="eastAsia"/>
        </w:rPr>
        <w:t>是</w:t>
      </w:r>
      <w:r>
        <w:rPr>
          <w:rFonts w:hint="eastAsia"/>
          <w:i/>
        </w:rPr>
        <w:t>s</w:t>
      </w:r>
      <w:r>
        <w:rPr>
          <w:rFonts w:hint="eastAsia"/>
        </w:rPr>
        <w:t>的</w:t>
      </w:r>
      <w:r>
        <w:rPr>
          <w:rFonts w:hint="eastAsia"/>
          <w:highlight w:val="yellow"/>
        </w:rPr>
        <w:t>置信</w:t>
      </w:r>
      <w:r>
        <w:rPr>
          <w:rFonts w:hint="eastAsia"/>
          <w:color w:val="FF0000"/>
        </w:rPr>
        <w:t>上限</w:t>
      </w:r>
      <w:r>
        <w:rPr>
          <w:rFonts w:hint="eastAsia"/>
        </w:rPr>
        <w:t>。</w:t>
      </w:r>
    </w:p>
    <w:p>
      <w:pPr>
        <w:pStyle w:val="23"/>
      </w:pPr>
      <m:oMath>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sSub>
              <m:sSubPr>
                <m:ctrlPr>
                  <w:rPr>
                    <w:rFonts w:ascii="Cambria Math" w:hAnsi="Cambria Math"/>
                    <w:i/>
                    <w:szCs w:val="22"/>
                  </w:rPr>
                </m:ctrlPr>
              </m:sSubPr>
              <m:e>
                <m:r>
                  <m:rPr>
                    <m:sty m:val="p"/>
                  </m:rPr>
                  <w:rPr>
                    <w:rFonts w:ascii="Cambria Math" w:hAnsi="Cambria Math"/>
                  </w:rPr>
                  <m:t>L</m:t>
                </m:r>
                <m:ctrlPr>
                  <w:rPr>
                    <w:rFonts w:ascii="Cambria Math" w:hAnsi="Cambria Math"/>
                    <w:i/>
                    <w:szCs w:val="22"/>
                  </w:rPr>
                </m:ctrlPr>
              </m:e>
              <m:sub>
                <m:r>
                  <m:rPr/>
                  <w:rPr>
                    <w:rFonts w:ascii="Cambria Math" w:hAnsi="Cambria Math"/>
                  </w:rPr>
                  <m:t>s</m:t>
                </m:r>
                <m:ctrlPr>
                  <w:rPr>
                    <w:rFonts w:ascii="Cambria Math" w:hAnsi="Cambria Math"/>
                    <w:i/>
                    <w:szCs w:val="22"/>
                  </w:rPr>
                </m:ctrlPr>
              </m:sub>
            </m:sSub>
            <m:ctrlPr>
              <w:rPr>
                <w:rFonts w:ascii="Cambria Math" w:hAnsi="Cambria Math"/>
                <w:i/>
                <w:szCs w:val="22"/>
              </w:rPr>
            </m:ctrlPr>
          </m:sub>
        </m:sSub>
        <m:r>
          <m:rPr>
            <m:sty m:val="p"/>
          </m:rPr>
          <w:rPr>
            <w:rFonts w:ascii="Cambria Math" w:hAnsi="Cambria Math"/>
          </w:rPr>
          <m:t>=</m:t>
        </m:r>
        <m:sSup>
          <m:sSupPr>
            <m:ctrlPr>
              <w:rPr>
                <w:rFonts w:ascii="Cambria Math" w:hAnsi="Cambria Math"/>
                <w:szCs w:val="22"/>
              </w:rPr>
            </m:ctrlPr>
          </m:sSupPr>
          <m:e>
            <m:d>
              <m:dPr>
                <m:begChr m:val="["/>
                <m:endChr m:val="]"/>
                <m:ctrlPr>
                  <w:rPr>
                    <w:rFonts w:ascii="Cambria Math" w:hAnsi="Cambria Math"/>
                    <w:i/>
                    <w:szCs w:val="22"/>
                  </w:rPr>
                </m:ctrlPr>
              </m:dPr>
              <m:e>
                <m:f>
                  <m:fPr>
                    <m:ctrlPr>
                      <w:rPr>
                        <w:rFonts w:ascii="Cambria Math" w:hAnsi="Cambria Math"/>
                        <w:i/>
                        <w:szCs w:val="22"/>
                      </w:rPr>
                    </m:ctrlPr>
                  </m:fPr>
                  <m:num>
                    <m:r>
                      <m:rPr/>
                      <w:rPr>
                        <w:rFonts w:ascii="Cambria Math" w:hAnsi="Cambria Math"/>
                      </w:rPr>
                      <m:t>n</m:t>
                    </m:r>
                    <m:sSup>
                      <m:sSupPr>
                        <m:ctrlPr>
                          <w:rPr>
                            <w:rFonts w:ascii="Cambria Math" w:hAnsi="Cambria Math"/>
                            <w:i/>
                            <w:szCs w:val="22"/>
                          </w:rPr>
                        </m:ctrlPr>
                      </m:sSupPr>
                      <m:e>
                        <m:r>
                          <m:rPr/>
                          <w:rPr>
                            <w:rFonts w:ascii="Cambria Math" w:hAnsi="Cambria Math"/>
                          </w:rPr>
                          <m:t>s</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num>
                  <m:den>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χ</m:t>
                            </m:r>
                            <m:ctrlPr>
                              <w:rPr>
                                <w:rFonts w:ascii="Cambria Math" w:hAnsi="Cambria Math"/>
                                <w:i/>
                                <w:szCs w:val="22"/>
                              </w:rPr>
                            </m:ctrlPr>
                          </m:e>
                          <m:sub>
                            <m:r>
                              <m:rPr/>
                              <w:rPr>
                                <w:rFonts w:ascii="Cambria Math" w:hAnsi="Cambria Math"/>
                              </w:rPr>
                              <m:t>1−α</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den>
                </m:f>
                <m:ctrlPr>
                  <w:rPr>
                    <w:rFonts w:ascii="Cambria Math" w:hAnsi="Cambria Math"/>
                    <w:i/>
                    <w:szCs w:val="22"/>
                  </w:rPr>
                </m:ctrlPr>
              </m:e>
            </m:d>
            <m:ctrlPr>
              <w:rPr>
                <w:rFonts w:ascii="Cambria Math" w:hAnsi="Cambria Math"/>
                <w:szCs w:val="22"/>
              </w:rPr>
            </m:ctrlPr>
          </m:e>
          <m:sup>
            <m:r>
              <m:rPr/>
              <w:rPr>
                <w:rFonts w:ascii="Cambria Math" w:hAnsi="Cambria Math"/>
              </w:rPr>
              <m:t>1/2</m:t>
            </m:r>
            <m:ctrlPr>
              <w:rPr>
                <w:rFonts w:ascii="Cambria Math" w:hAnsi="Cambria Math"/>
                <w:szCs w:val="22"/>
              </w:rPr>
            </m:ctrlPr>
          </m:sup>
        </m:sSup>
      </m:oMath>
      <w:r>
        <w:rPr>
          <w:rFonts w:hint="eastAsia"/>
        </w:rPr>
        <w:t xml:space="preserve">                                                                (17)</w:t>
      </w:r>
    </w:p>
    <w:p>
      <w:pPr>
        <w:pStyle w:val="23"/>
        <w:ind w:firstLine="0" w:firstLineChars="0"/>
      </w:pPr>
      <w:r>
        <w:rPr>
          <w:rFonts w:hint="eastAsia"/>
        </w:rPr>
        <w:t>其中，</w:t>
      </w:r>
      <m:oMath>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sSub>
              <m:sSubPr>
                <m:ctrlPr>
                  <w:rPr>
                    <w:rFonts w:ascii="Cambria Math" w:hAnsi="Cambria Math"/>
                    <w:i/>
                    <w:szCs w:val="22"/>
                  </w:rPr>
                </m:ctrlPr>
              </m:sSubPr>
              <m:e>
                <m:r>
                  <m:rPr>
                    <m:sty m:val="p"/>
                  </m:rPr>
                  <w:rPr>
                    <w:rFonts w:ascii="Cambria Math" w:hAnsi="Cambria Math"/>
                  </w:rPr>
                  <m:t>L</m:t>
                </m:r>
                <m:ctrlPr>
                  <w:rPr>
                    <w:rFonts w:ascii="Cambria Math" w:hAnsi="Cambria Math"/>
                    <w:i/>
                    <w:szCs w:val="22"/>
                  </w:rPr>
                </m:ctrlPr>
              </m:e>
              <m:sub>
                <m:r>
                  <m:rPr/>
                  <w:rPr>
                    <w:rFonts w:ascii="Cambria Math" w:hAnsi="Cambria Math"/>
                  </w:rPr>
                  <m:t>s</m:t>
                </m:r>
                <m:ctrlPr>
                  <w:rPr>
                    <w:rFonts w:ascii="Cambria Math" w:hAnsi="Cambria Math"/>
                    <w:i/>
                    <w:szCs w:val="22"/>
                  </w:rPr>
                </m:ctrlPr>
              </m:sub>
            </m:sSub>
            <m:ctrlPr>
              <w:rPr>
                <w:rFonts w:ascii="Cambria Math" w:hAnsi="Cambria Math"/>
                <w:i/>
                <w:szCs w:val="22"/>
              </w:rPr>
            </m:ctrlPr>
          </m:sub>
        </m:sSub>
      </m:oMath>
      <w:r>
        <w:rPr>
          <w:rFonts w:hint="eastAsia"/>
        </w:rPr>
        <w:t>是</w:t>
      </w:r>
      <w:r>
        <w:rPr>
          <w:rFonts w:hint="eastAsia"/>
          <w:i/>
        </w:rPr>
        <w:t>s</w:t>
      </w:r>
      <w:r>
        <w:rPr>
          <w:rFonts w:hint="eastAsia"/>
        </w:rPr>
        <w:t>的</w:t>
      </w:r>
      <w:r>
        <w:rPr>
          <w:rFonts w:hint="eastAsia"/>
          <w:highlight w:val="yellow"/>
        </w:rPr>
        <w:t>置信</w:t>
      </w:r>
      <w:r>
        <w:rPr>
          <w:rFonts w:hint="eastAsia"/>
          <w:color w:val="FF0000"/>
        </w:rPr>
        <w:t>下限</w:t>
      </w:r>
      <w:r>
        <w:rPr>
          <w:rFonts w:hint="eastAsia"/>
        </w:rPr>
        <w:t>。</w:t>
      </w:r>
    </w:p>
    <w:p>
      <w:pPr>
        <w:pStyle w:val="23"/>
      </w:pPr>
      <w:r>
        <w:rPr>
          <w:rFonts w:hint="eastAsia"/>
        </w:rPr>
        <w:t>这些方程的分母来自于卡方(</w:t>
      </w:r>
      <w:r>
        <w:rPr>
          <w:rFonts w:hint="eastAsia"/>
        </w:rPr>
        <w:sym w:font="Symbol" w:char="F063"/>
      </w:r>
      <w:r>
        <w:rPr>
          <w:rFonts w:hint="eastAsia"/>
          <w:vertAlign w:val="superscript"/>
        </w:rPr>
        <w:t>2</w:t>
      </w:r>
      <w:r>
        <w:rPr>
          <w:rFonts w:hint="eastAsia"/>
        </w:rPr>
        <w:t>)分布函数，卡方分布函数定义为标准化的正态独立变量平方和的分布。表13给出了一些值，更全面的表在所列引用文件中提供。</w:t>
      </w:r>
    </w:p>
    <w:p>
      <w:pPr>
        <w:pStyle w:val="23"/>
      </w:pPr>
      <w:r>
        <w:rPr>
          <w:rFonts w:hint="eastAsia"/>
        </w:rPr>
        <w:t>对于单侧的，置信限为95%或99%的，</w:t>
      </w:r>
      <w:r>
        <w:rPr>
          <w:rFonts w:ascii="Times New Roman"/>
          <w:i/>
          <w:color w:val="FF0000"/>
        </w:rPr>
        <w:t>α</w:t>
      </w:r>
      <w:r>
        <w:rPr>
          <w:rFonts w:hint="eastAsia"/>
          <w:color w:val="FF0000"/>
        </w:rPr>
        <w:t>分别为0.95或0.99</w:t>
      </w:r>
      <w:r>
        <w:rPr>
          <w:rFonts w:hint="eastAsia"/>
        </w:rPr>
        <w:t>；</w:t>
      </w:r>
    </w:p>
    <w:p>
      <w:pPr>
        <w:pStyle w:val="23"/>
      </w:pPr>
      <w:r>
        <w:rPr>
          <w:rFonts w:hint="eastAsia"/>
        </w:rPr>
        <w:t>对于双侧的，置信限为95%或99%的，</w:t>
      </w:r>
      <w:r>
        <w:rPr>
          <w:rFonts w:ascii="Times New Roman"/>
          <w:i/>
          <w:color w:val="FF0000"/>
        </w:rPr>
        <w:t>α</w:t>
      </w:r>
      <w:r>
        <w:rPr>
          <w:rFonts w:hint="eastAsia"/>
          <w:color w:val="FF0000"/>
        </w:rPr>
        <w:t>分别为0.975或0.995</w:t>
      </w:r>
      <w:r>
        <w:rPr>
          <w:rFonts w:hint="eastAsia"/>
        </w:rPr>
        <w:t>。</w:t>
      </w:r>
    </w:p>
    <w:p>
      <w:pPr>
        <w:pStyle w:val="23"/>
      </w:pPr>
      <w:r>
        <w:rPr>
          <w:rFonts w:hint="eastAsia"/>
        </w:rPr>
        <w:t>正如7.2.1.1.5中所述，为找到卡方因子拟输入的自由度数</w:t>
      </w:r>
      <w:r>
        <w:rPr>
          <w:rFonts w:ascii="Times New Roman"/>
          <w:i/>
          <w:color w:val="FF0000"/>
        </w:rPr>
        <w:t>df</w:t>
      </w:r>
      <w:r>
        <w:rPr>
          <w:rFonts w:hint="eastAsia"/>
        </w:rPr>
        <w:t>为（</w:t>
      </w:r>
      <w:r>
        <w:rPr>
          <w:rFonts w:ascii="Times New Roman"/>
          <w:i/>
        </w:rPr>
        <w:t>n</w:t>
      </w:r>
      <w:r>
        <w:rPr>
          <w:rFonts w:hint="eastAsia"/>
        </w:rPr>
        <w:t>-1）。</w:t>
      </w:r>
    </w:p>
    <w:p>
      <w:pPr>
        <w:pStyle w:val="127"/>
        <w:ind w:left="0"/>
      </w:pPr>
      <w:r>
        <w:rPr>
          <w:rFonts w:hint="eastAsia" w:hAnsi="黑体"/>
        </w:rPr>
        <w:t>摘选的卡方(</w:t>
      </w:r>
      <w:r>
        <w:rPr>
          <w:rFonts w:hint="eastAsia"/>
        </w:rPr>
        <w:sym w:font="Symbol" w:char="F063"/>
      </w:r>
      <w:r>
        <w:rPr>
          <w:rFonts w:hint="eastAsia"/>
          <w:vertAlign w:val="superscript"/>
        </w:rPr>
        <w:t>2</w:t>
      </w:r>
      <w:r>
        <w:t>)</w:t>
      </w:r>
      <w:r>
        <w:rPr>
          <w:rFonts w:hint="eastAsia" w:hAnsi="黑体"/>
        </w:rPr>
        <w:t>值表</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5"/>
        <w:gridCol w:w="1010"/>
        <w:gridCol w:w="1011"/>
        <w:gridCol w:w="1391"/>
        <w:gridCol w:w="1011"/>
        <w:gridCol w:w="1011"/>
        <w:gridCol w:w="1011"/>
        <w:gridCol w:w="1137"/>
        <w:gridCol w:w="1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0" w:type="pct"/>
            <w:vMerge w:val="restart"/>
            <w:tcBorders>
              <w:top w:val="single" w:color="auto" w:sz="4" w:space="0"/>
              <w:left w:val="single" w:color="auto" w:sz="4" w:space="0"/>
              <w:bottom w:val="single" w:color="auto" w:sz="4" w:space="0"/>
              <w:right w:val="single" w:color="auto" w:sz="4" w:space="0"/>
            </w:tcBorders>
            <w:vAlign w:val="center"/>
          </w:tcPr>
          <w:p>
            <w:pPr>
              <w:tabs>
                <w:tab w:val="left" w:pos="851"/>
                <w:tab w:val="center" w:pos="4201"/>
                <w:tab w:val="right" w:leader="dot" w:pos="9298"/>
              </w:tabs>
              <w:autoSpaceDE w:val="0"/>
              <w:autoSpaceDN w:val="0"/>
              <w:spacing w:before="156" w:beforeLines="50" w:after="156" w:afterLines="50" w:line="0" w:lineRule="atLeast"/>
              <w:ind w:firstLine="420" w:firstLineChars="200"/>
              <w:jc w:val="center"/>
              <w:rPr>
                <w:rFonts w:ascii="宋体" w:hAnsi="宋体"/>
                <w:i/>
                <w:sz w:val="18"/>
                <w:szCs w:val="18"/>
              </w:rPr>
            </w:pPr>
            <w:r>
              <w:rPr>
                <w:rFonts w:hint="eastAsia"/>
                <w:i/>
                <w:color w:val="FF0000"/>
                <w:kern w:val="0"/>
                <w:szCs w:val="20"/>
              </w:rPr>
              <w:t>df</w:t>
            </w:r>
          </w:p>
        </w:tc>
        <w:tc>
          <w:tcPr>
            <w:tcW w:w="2311" w:type="pct"/>
            <w:gridSpan w:val="4"/>
            <w:tcBorders>
              <w:top w:val="single" w:color="auto" w:sz="4" w:space="0"/>
              <w:left w:val="single" w:color="auto" w:sz="4" w:space="0"/>
              <w:bottom w:val="single" w:color="auto" w:sz="4" w:space="0"/>
              <w:right w:val="single" w:color="auto" w:sz="4" w:space="0"/>
            </w:tcBorders>
            <w:vAlign w:val="center"/>
          </w:tcPr>
          <w:p>
            <w:pPr>
              <w:tabs>
                <w:tab w:val="left" w:pos="851"/>
                <w:tab w:val="center" w:pos="4201"/>
                <w:tab w:val="right" w:leader="dot" w:pos="9298"/>
              </w:tabs>
              <w:autoSpaceDE w:val="0"/>
              <w:autoSpaceDN w:val="0"/>
              <w:spacing w:before="156" w:beforeLines="50" w:after="156" w:afterLines="50" w:line="0" w:lineRule="atLeast"/>
              <w:ind w:firstLine="360" w:firstLineChars="200"/>
              <w:jc w:val="center"/>
              <w:rPr>
                <w:rFonts w:ascii="宋体" w:hAnsi="宋体"/>
                <w:sz w:val="18"/>
                <w:szCs w:val="18"/>
              </w:rPr>
            </w:pPr>
            <w:r>
              <w:rPr>
                <w:rFonts w:hint="eastAsia" w:ascii="宋体" w:hAnsi="宋体"/>
                <w:sz w:val="18"/>
                <w:szCs w:val="18"/>
              </w:rPr>
              <w:t>双侧卡方</w:t>
            </w:r>
          </w:p>
        </w:tc>
        <w:tc>
          <w:tcPr>
            <w:tcW w:w="2179" w:type="pct"/>
            <w:gridSpan w:val="4"/>
            <w:tcBorders>
              <w:top w:val="single" w:color="auto" w:sz="4" w:space="0"/>
              <w:left w:val="single" w:color="auto" w:sz="4" w:space="0"/>
              <w:bottom w:val="single" w:color="auto" w:sz="4" w:space="0"/>
              <w:right w:val="single" w:color="auto" w:sz="4" w:space="0"/>
            </w:tcBorders>
            <w:vAlign w:val="center"/>
          </w:tcPr>
          <w:p>
            <w:pPr>
              <w:tabs>
                <w:tab w:val="left" w:pos="851"/>
                <w:tab w:val="center" w:pos="4201"/>
                <w:tab w:val="right" w:leader="dot" w:pos="9298"/>
              </w:tabs>
              <w:autoSpaceDE w:val="0"/>
              <w:autoSpaceDN w:val="0"/>
              <w:spacing w:before="156" w:beforeLines="50" w:after="156" w:afterLines="50" w:line="0" w:lineRule="atLeast"/>
              <w:ind w:firstLine="360" w:firstLineChars="200"/>
              <w:jc w:val="center"/>
              <w:rPr>
                <w:rFonts w:ascii="宋体" w:hAnsi="宋体"/>
                <w:sz w:val="18"/>
                <w:szCs w:val="18"/>
              </w:rPr>
            </w:pPr>
            <w:r>
              <w:rPr>
                <w:rFonts w:hint="eastAsia" w:ascii="宋体" w:hAnsi="宋体"/>
                <w:sz w:val="18"/>
                <w:szCs w:val="18"/>
              </w:rPr>
              <w:t>单侧卡方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i/>
                <w:sz w:val="18"/>
                <w:szCs w:val="18"/>
              </w:rPr>
            </w:pPr>
          </w:p>
        </w:tc>
        <w:tc>
          <w:tcPr>
            <w:tcW w:w="528" w:type="pct"/>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528" w:type="pct"/>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727" w:type="pct"/>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99%</w:t>
            </w:r>
          </w:p>
        </w:tc>
        <w:tc>
          <w:tcPr>
            <w:tcW w:w="528" w:type="pct"/>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99%</w:t>
            </w:r>
          </w:p>
        </w:tc>
        <w:tc>
          <w:tcPr>
            <w:tcW w:w="528" w:type="pct"/>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528" w:type="pct"/>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95%</w:t>
            </w:r>
          </w:p>
        </w:tc>
        <w:tc>
          <w:tcPr>
            <w:tcW w:w="594" w:type="pct"/>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99%</w:t>
            </w:r>
          </w:p>
        </w:tc>
        <w:tc>
          <w:tcPr>
            <w:tcW w:w="528" w:type="pct"/>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i/>
                <w:sz w:val="18"/>
                <w:szCs w:val="18"/>
              </w:rPr>
            </w:pPr>
          </w:p>
        </w:tc>
        <w:tc>
          <w:tcPr>
            <w:tcW w:w="528" w:type="pct"/>
            <w:tcBorders>
              <w:top w:val="single" w:color="auto" w:sz="4" w:space="0"/>
              <w:left w:val="single" w:color="auto" w:sz="4" w:space="0"/>
              <w:bottom w:val="single" w:color="auto" w:sz="4" w:space="0"/>
              <w:right w:val="single" w:color="auto" w:sz="4" w:space="0"/>
            </w:tcBorders>
            <w:vAlign w:val="center"/>
          </w:tcPr>
          <w:p>
            <w:pPr>
              <w:tabs>
                <w:tab w:val="left" w:pos="851"/>
                <w:tab w:val="center" w:pos="4201"/>
                <w:tab w:val="right" w:leader="dot" w:pos="9298"/>
              </w:tabs>
              <w:autoSpaceDE w:val="0"/>
              <w:autoSpaceDN w:val="0"/>
              <w:spacing w:before="156" w:beforeLines="50" w:after="156" w:afterLines="50" w:line="0" w:lineRule="atLeast"/>
              <w:jc w:val="center"/>
              <w:rPr>
                <w:rFonts w:ascii="宋体" w:hAnsi="宋体"/>
                <w:sz w:val="18"/>
                <w:szCs w:val="18"/>
              </w:rPr>
            </w:pPr>
            <m:oMathPara>
              <m:oMath>
                <m:sSup>
                  <m:sSupPr>
                    <m:ctrlPr>
                      <w:rPr>
                        <w:rFonts w:ascii="Cambria Math" w:hAnsi="Cambria Math"/>
                        <w:sz w:val="18"/>
                        <w:szCs w:val="18"/>
                      </w:rPr>
                    </m:ctrlPr>
                  </m:sSupPr>
                  <m:e>
                    <m:sSub>
                      <m:sSubPr>
                        <m:ctrlPr>
                          <w:rPr>
                            <w:rFonts w:ascii="Cambria Math" w:hAnsi="Cambria Math"/>
                            <w:i/>
                            <w:sz w:val="18"/>
                            <w:szCs w:val="18"/>
                          </w:rPr>
                        </m:ctrlPr>
                      </m:sSubPr>
                      <m:e>
                        <m:r>
                          <m:rPr/>
                          <w:rPr>
                            <w:rFonts w:ascii="Cambria Math" w:hAnsi="Cambria Math"/>
                            <w:sz w:val="18"/>
                            <w:szCs w:val="18"/>
                          </w:rPr>
                          <m:t>x</m:t>
                        </m:r>
                        <m:ctrlPr>
                          <w:rPr>
                            <w:rFonts w:ascii="Cambria Math" w:hAnsi="Cambria Math"/>
                            <w:i/>
                            <w:sz w:val="18"/>
                            <w:szCs w:val="18"/>
                          </w:rPr>
                        </m:ctrlPr>
                      </m:e>
                      <m:sub>
                        <m:r>
                          <m:rPr/>
                          <w:rPr>
                            <w:rFonts w:ascii="Cambria Math" w:hAnsi="Cambria Math"/>
                            <w:sz w:val="18"/>
                            <w:szCs w:val="18"/>
                          </w:rPr>
                          <m:t>0.025</m:t>
                        </m:r>
                        <m:ctrlPr>
                          <w:rPr>
                            <w:rFonts w:ascii="Cambria Math" w:hAnsi="Cambria Math"/>
                            <w:i/>
                            <w:sz w:val="18"/>
                            <w:szCs w:val="18"/>
                          </w:rPr>
                        </m:ctrlPr>
                      </m:sub>
                    </m:sSub>
                    <m:ctrlPr>
                      <w:rPr>
                        <w:rFonts w:ascii="Cambria Math" w:hAnsi="Cambria Math"/>
                        <w:sz w:val="18"/>
                        <w:szCs w:val="18"/>
                      </w:rPr>
                    </m:ctrlPr>
                  </m:e>
                  <m:sup>
                    <m:r>
                      <m:rPr/>
                      <w:rPr>
                        <w:rFonts w:ascii="Cambria Math" w:hAnsi="Cambria Math"/>
                        <w:sz w:val="18"/>
                        <w:szCs w:val="18"/>
                      </w:rPr>
                      <m:t>2</m:t>
                    </m:r>
                    <m:ctrlPr>
                      <w:rPr>
                        <w:rFonts w:ascii="Cambria Math" w:hAnsi="Cambria Math"/>
                        <w:sz w:val="18"/>
                        <w:szCs w:val="18"/>
                      </w:rPr>
                    </m:ctrlPr>
                  </m:sup>
                </m:sSup>
              </m:oMath>
            </m:oMathPara>
          </w:p>
        </w:tc>
        <w:tc>
          <w:tcPr>
            <w:tcW w:w="528" w:type="pct"/>
            <w:tcBorders>
              <w:top w:val="single" w:color="auto" w:sz="4" w:space="0"/>
              <w:left w:val="single" w:color="auto" w:sz="4" w:space="0"/>
              <w:bottom w:val="single" w:color="auto" w:sz="4" w:space="0"/>
              <w:right w:val="single" w:color="auto" w:sz="4" w:space="0"/>
            </w:tcBorders>
            <w:vAlign w:val="center"/>
          </w:tcPr>
          <w:p>
            <w:pPr>
              <w:tabs>
                <w:tab w:val="left" w:pos="851"/>
                <w:tab w:val="center" w:pos="4201"/>
                <w:tab w:val="right" w:leader="dot" w:pos="9298"/>
              </w:tabs>
              <w:autoSpaceDE w:val="0"/>
              <w:autoSpaceDN w:val="0"/>
              <w:spacing w:before="156" w:beforeLines="50" w:after="156" w:afterLines="50" w:line="0" w:lineRule="atLeast"/>
              <w:jc w:val="center"/>
              <w:rPr>
                <w:rFonts w:ascii="宋体" w:hAnsi="宋体"/>
                <w:sz w:val="18"/>
                <w:szCs w:val="18"/>
              </w:rPr>
            </w:pPr>
            <m:oMathPara>
              <m:oMath>
                <m:sSup>
                  <m:sSupPr>
                    <m:ctrlPr>
                      <w:rPr>
                        <w:rFonts w:ascii="Cambria Math" w:hAnsi="Cambria Math"/>
                        <w:sz w:val="18"/>
                        <w:szCs w:val="18"/>
                      </w:rPr>
                    </m:ctrlPr>
                  </m:sSupPr>
                  <m:e>
                    <m:sSub>
                      <m:sSubPr>
                        <m:ctrlPr>
                          <w:rPr>
                            <w:rFonts w:ascii="Cambria Math" w:hAnsi="Cambria Math"/>
                            <w:i/>
                            <w:sz w:val="18"/>
                            <w:szCs w:val="18"/>
                          </w:rPr>
                        </m:ctrlPr>
                      </m:sSubPr>
                      <m:e>
                        <m:r>
                          <m:rPr/>
                          <w:rPr>
                            <w:rFonts w:ascii="Cambria Math" w:hAnsi="Cambria Math"/>
                            <w:sz w:val="18"/>
                            <w:szCs w:val="18"/>
                          </w:rPr>
                          <m:t>x</m:t>
                        </m:r>
                        <m:ctrlPr>
                          <w:rPr>
                            <w:rFonts w:ascii="Cambria Math" w:hAnsi="Cambria Math"/>
                            <w:i/>
                            <w:sz w:val="18"/>
                            <w:szCs w:val="18"/>
                          </w:rPr>
                        </m:ctrlPr>
                      </m:e>
                      <m:sub>
                        <m:r>
                          <m:rPr/>
                          <w:rPr>
                            <w:rFonts w:ascii="Cambria Math" w:hAnsi="Cambria Math"/>
                            <w:sz w:val="18"/>
                            <w:szCs w:val="18"/>
                          </w:rPr>
                          <m:t>0.975</m:t>
                        </m:r>
                        <m:ctrlPr>
                          <w:rPr>
                            <w:rFonts w:ascii="Cambria Math" w:hAnsi="Cambria Math"/>
                            <w:i/>
                            <w:sz w:val="18"/>
                            <w:szCs w:val="18"/>
                          </w:rPr>
                        </m:ctrlPr>
                      </m:sub>
                    </m:sSub>
                    <m:ctrlPr>
                      <w:rPr>
                        <w:rFonts w:ascii="Cambria Math" w:hAnsi="Cambria Math"/>
                        <w:sz w:val="18"/>
                        <w:szCs w:val="18"/>
                      </w:rPr>
                    </m:ctrlPr>
                  </m:e>
                  <m:sup>
                    <m:r>
                      <m:rPr/>
                      <w:rPr>
                        <w:rFonts w:ascii="Cambria Math" w:hAnsi="Cambria Math"/>
                        <w:sz w:val="18"/>
                        <w:szCs w:val="18"/>
                      </w:rPr>
                      <m:t>2</m:t>
                    </m:r>
                    <m:ctrlPr>
                      <w:rPr>
                        <w:rFonts w:ascii="Cambria Math" w:hAnsi="Cambria Math"/>
                        <w:sz w:val="18"/>
                        <w:szCs w:val="18"/>
                      </w:rPr>
                    </m:ctrlPr>
                  </m:sup>
                </m:sSup>
              </m:oMath>
            </m:oMathPara>
          </w:p>
        </w:tc>
        <w:tc>
          <w:tcPr>
            <w:tcW w:w="727"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jc w:val="center"/>
              <w:rPr>
                <w:rFonts w:ascii="Calibri" w:hAnsi="Calibri"/>
                <w:sz w:val="18"/>
                <w:szCs w:val="18"/>
              </w:rPr>
            </w:pPr>
            <m:oMathPara>
              <m:oMath>
                <m:sSup>
                  <m:sSupPr>
                    <m:ctrlPr>
                      <w:rPr>
                        <w:rFonts w:ascii="Cambria Math" w:hAnsi="Cambria Math"/>
                        <w:sz w:val="18"/>
                        <w:szCs w:val="18"/>
                      </w:rPr>
                    </m:ctrlPr>
                  </m:sSupPr>
                  <m:e>
                    <m:sSub>
                      <m:sSubPr>
                        <m:ctrlPr>
                          <w:rPr>
                            <w:rFonts w:ascii="Cambria Math" w:hAnsi="Cambria Math"/>
                            <w:i/>
                            <w:sz w:val="18"/>
                            <w:szCs w:val="18"/>
                          </w:rPr>
                        </m:ctrlPr>
                      </m:sSubPr>
                      <m:e>
                        <m:r>
                          <m:rPr/>
                          <w:rPr>
                            <w:rFonts w:ascii="Cambria Math" w:hAnsi="Cambria Math"/>
                            <w:sz w:val="18"/>
                            <w:szCs w:val="18"/>
                          </w:rPr>
                          <m:t>x</m:t>
                        </m:r>
                        <m:ctrlPr>
                          <w:rPr>
                            <w:rFonts w:ascii="Cambria Math" w:hAnsi="Cambria Math"/>
                            <w:i/>
                            <w:sz w:val="18"/>
                            <w:szCs w:val="18"/>
                          </w:rPr>
                        </m:ctrlPr>
                      </m:e>
                      <m:sub>
                        <m:r>
                          <m:rPr/>
                          <w:rPr>
                            <w:rFonts w:ascii="Cambria Math" w:hAnsi="Cambria Math"/>
                            <w:sz w:val="18"/>
                            <w:szCs w:val="18"/>
                          </w:rPr>
                          <m:t>0.005</m:t>
                        </m:r>
                        <m:ctrlPr>
                          <w:rPr>
                            <w:rFonts w:ascii="Cambria Math" w:hAnsi="Cambria Math"/>
                            <w:i/>
                            <w:sz w:val="18"/>
                            <w:szCs w:val="18"/>
                          </w:rPr>
                        </m:ctrlPr>
                      </m:sub>
                    </m:sSub>
                    <m:ctrlPr>
                      <w:rPr>
                        <w:rFonts w:ascii="Cambria Math" w:hAnsi="Cambria Math"/>
                        <w:sz w:val="18"/>
                        <w:szCs w:val="18"/>
                      </w:rPr>
                    </m:ctrlPr>
                  </m:e>
                  <m:sup>
                    <m:r>
                      <m:rPr/>
                      <w:rPr>
                        <w:rFonts w:ascii="Cambria Math" w:hAnsi="Cambria Math"/>
                        <w:sz w:val="18"/>
                        <w:szCs w:val="18"/>
                      </w:rPr>
                      <m:t>2</m:t>
                    </m:r>
                    <m:ctrlPr>
                      <w:rPr>
                        <w:rFonts w:ascii="Cambria Math" w:hAnsi="Cambria Math"/>
                        <w:sz w:val="18"/>
                        <w:szCs w:val="18"/>
                      </w:rPr>
                    </m:ctrlPr>
                  </m:sup>
                </m:sSup>
              </m:oMath>
            </m:oMathPara>
          </w:p>
        </w:tc>
        <w:tc>
          <w:tcPr>
            <w:tcW w:w="528"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jc w:val="center"/>
              <w:rPr>
                <w:rFonts w:ascii="Calibri" w:hAnsi="Calibri"/>
                <w:sz w:val="18"/>
                <w:szCs w:val="18"/>
              </w:rPr>
            </w:pPr>
            <m:oMathPara>
              <m:oMath>
                <m:sSup>
                  <m:sSupPr>
                    <m:ctrlPr>
                      <w:rPr>
                        <w:rFonts w:ascii="Cambria Math" w:hAnsi="Cambria Math"/>
                        <w:sz w:val="18"/>
                        <w:szCs w:val="18"/>
                      </w:rPr>
                    </m:ctrlPr>
                  </m:sSupPr>
                  <m:e>
                    <m:sSub>
                      <m:sSubPr>
                        <m:ctrlPr>
                          <w:rPr>
                            <w:rFonts w:ascii="Cambria Math" w:hAnsi="Cambria Math"/>
                            <w:i/>
                            <w:sz w:val="18"/>
                            <w:szCs w:val="18"/>
                          </w:rPr>
                        </m:ctrlPr>
                      </m:sSubPr>
                      <m:e>
                        <m:r>
                          <m:rPr/>
                          <w:rPr>
                            <w:rFonts w:ascii="Cambria Math" w:hAnsi="Cambria Math"/>
                            <w:sz w:val="18"/>
                            <w:szCs w:val="18"/>
                          </w:rPr>
                          <m:t>x</m:t>
                        </m:r>
                        <m:ctrlPr>
                          <w:rPr>
                            <w:rFonts w:ascii="Cambria Math" w:hAnsi="Cambria Math"/>
                            <w:i/>
                            <w:sz w:val="18"/>
                            <w:szCs w:val="18"/>
                          </w:rPr>
                        </m:ctrlPr>
                      </m:e>
                      <m:sub>
                        <m:r>
                          <m:rPr/>
                          <w:rPr>
                            <w:rFonts w:ascii="Cambria Math" w:hAnsi="Cambria Math"/>
                            <w:sz w:val="18"/>
                            <w:szCs w:val="18"/>
                          </w:rPr>
                          <m:t>0.995</m:t>
                        </m:r>
                        <m:ctrlPr>
                          <w:rPr>
                            <w:rFonts w:ascii="Cambria Math" w:hAnsi="Cambria Math"/>
                            <w:i/>
                            <w:sz w:val="18"/>
                            <w:szCs w:val="18"/>
                          </w:rPr>
                        </m:ctrlPr>
                      </m:sub>
                    </m:sSub>
                    <m:ctrlPr>
                      <w:rPr>
                        <w:rFonts w:ascii="Cambria Math" w:hAnsi="Cambria Math"/>
                        <w:sz w:val="18"/>
                        <w:szCs w:val="18"/>
                      </w:rPr>
                    </m:ctrlPr>
                  </m:e>
                  <m:sup>
                    <m:r>
                      <m:rPr/>
                      <w:rPr>
                        <w:rFonts w:ascii="Cambria Math" w:hAnsi="Cambria Math"/>
                        <w:sz w:val="18"/>
                        <w:szCs w:val="18"/>
                      </w:rPr>
                      <m:t>2</m:t>
                    </m:r>
                    <m:ctrlPr>
                      <w:rPr>
                        <w:rFonts w:ascii="Cambria Math" w:hAnsi="Cambria Math"/>
                        <w:sz w:val="18"/>
                        <w:szCs w:val="18"/>
                      </w:rPr>
                    </m:ctrlPr>
                  </m:sup>
                </m:sSup>
              </m:oMath>
            </m:oMathPara>
          </w:p>
        </w:tc>
        <w:tc>
          <w:tcPr>
            <w:tcW w:w="528"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jc w:val="center"/>
              <w:rPr>
                <w:rFonts w:ascii="Calibri" w:hAnsi="Calibri"/>
                <w:sz w:val="18"/>
                <w:szCs w:val="18"/>
              </w:rPr>
            </w:pPr>
            <m:oMathPara>
              <m:oMath>
                <m:sSup>
                  <m:sSupPr>
                    <m:ctrlPr>
                      <w:rPr>
                        <w:rFonts w:ascii="Cambria Math" w:hAnsi="Cambria Math"/>
                        <w:sz w:val="18"/>
                        <w:szCs w:val="18"/>
                      </w:rPr>
                    </m:ctrlPr>
                  </m:sSupPr>
                  <m:e>
                    <m:sSub>
                      <m:sSubPr>
                        <m:ctrlPr>
                          <w:rPr>
                            <w:rFonts w:ascii="Cambria Math" w:hAnsi="Cambria Math"/>
                            <w:i/>
                            <w:sz w:val="18"/>
                            <w:szCs w:val="18"/>
                          </w:rPr>
                        </m:ctrlPr>
                      </m:sSubPr>
                      <m:e>
                        <m:r>
                          <m:rPr/>
                          <w:rPr>
                            <w:rFonts w:ascii="Cambria Math" w:hAnsi="Cambria Math"/>
                            <w:sz w:val="18"/>
                            <w:szCs w:val="18"/>
                          </w:rPr>
                          <m:t>x</m:t>
                        </m:r>
                        <m:ctrlPr>
                          <w:rPr>
                            <w:rFonts w:ascii="Cambria Math" w:hAnsi="Cambria Math"/>
                            <w:i/>
                            <w:sz w:val="18"/>
                            <w:szCs w:val="18"/>
                          </w:rPr>
                        </m:ctrlPr>
                      </m:e>
                      <m:sub>
                        <m:r>
                          <m:rPr/>
                          <w:rPr>
                            <w:rFonts w:ascii="Cambria Math" w:hAnsi="Cambria Math"/>
                            <w:sz w:val="18"/>
                            <w:szCs w:val="18"/>
                          </w:rPr>
                          <m:t>0.05</m:t>
                        </m:r>
                        <m:ctrlPr>
                          <w:rPr>
                            <w:rFonts w:ascii="Cambria Math" w:hAnsi="Cambria Math"/>
                            <w:i/>
                            <w:sz w:val="18"/>
                            <w:szCs w:val="18"/>
                          </w:rPr>
                        </m:ctrlPr>
                      </m:sub>
                    </m:sSub>
                    <m:ctrlPr>
                      <w:rPr>
                        <w:rFonts w:ascii="Cambria Math" w:hAnsi="Cambria Math"/>
                        <w:sz w:val="18"/>
                        <w:szCs w:val="18"/>
                      </w:rPr>
                    </m:ctrlPr>
                  </m:e>
                  <m:sup>
                    <m:r>
                      <m:rPr/>
                      <w:rPr>
                        <w:rFonts w:ascii="Cambria Math" w:hAnsi="Cambria Math"/>
                        <w:sz w:val="18"/>
                        <w:szCs w:val="18"/>
                      </w:rPr>
                      <m:t>2</m:t>
                    </m:r>
                    <m:ctrlPr>
                      <w:rPr>
                        <w:rFonts w:ascii="Cambria Math" w:hAnsi="Cambria Math"/>
                        <w:sz w:val="18"/>
                        <w:szCs w:val="18"/>
                      </w:rPr>
                    </m:ctrlPr>
                  </m:sup>
                </m:sSup>
              </m:oMath>
            </m:oMathPara>
          </w:p>
        </w:tc>
        <w:tc>
          <w:tcPr>
            <w:tcW w:w="528"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jc w:val="center"/>
              <w:rPr>
                <w:rFonts w:ascii="Calibri" w:hAnsi="Calibri"/>
                <w:sz w:val="18"/>
                <w:szCs w:val="18"/>
              </w:rPr>
            </w:pPr>
            <m:oMathPara>
              <m:oMath>
                <m:sSup>
                  <m:sSupPr>
                    <m:ctrlPr>
                      <w:rPr>
                        <w:rFonts w:ascii="Cambria Math" w:hAnsi="Cambria Math"/>
                        <w:sz w:val="18"/>
                        <w:szCs w:val="18"/>
                      </w:rPr>
                    </m:ctrlPr>
                  </m:sSupPr>
                  <m:e>
                    <m:sSub>
                      <m:sSubPr>
                        <m:ctrlPr>
                          <w:rPr>
                            <w:rFonts w:ascii="Cambria Math" w:hAnsi="Cambria Math"/>
                            <w:i/>
                            <w:sz w:val="18"/>
                            <w:szCs w:val="18"/>
                          </w:rPr>
                        </m:ctrlPr>
                      </m:sSubPr>
                      <m:e>
                        <m:r>
                          <m:rPr/>
                          <w:rPr>
                            <w:rFonts w:ascii="Cambria Math" w:hAnsi="Cambria Math"/>
                            <w:sz w:val="18"/>
                            <w:szCs w:val="18"/>
                          </w:rPr>
                          <m:t>x</m:t>
                        </m:r>
                        <m:ctrlPr>
                          <w:rPr>
                            <w:rFonts w:ascii="Cambria Math" w:hAnsi="Cambria Math"/>
                            <w:i/>
                            <w:sz w:val="18"/>
                            <w:szCs w:val="18"/>
                          </w:rPr>
                        </m:ctrlPr>
                      </m:e>
                      <m:sub>
                        <m:r>
                          <m:rPr/>
                          <w:rPr>
                            <w:rFonts w:ascii="Cambria Math" w:hAnsi="Cambria Math"/>
                            <w:sz w:val="18"/>
                            <w:szCs w:val="18"/>
                          </w:rPr>
                          <m:t>0.95</m:t>
                        </m:r>
                        <m:ctrlPr>
                          <w:rPr>
                            <w:rFonts w:ascii="Cambria Math" w:hAnsi="Cambria Math"/>
                            <w:i/>
                            <w:sz w:val="18"/>
                            <w:szCs w:val="18"/>
                          </w:rPr>
                        </m:ctrlPr>
                      </m:sub>
                    </m:sSub>
                    <m:ctrlPr>
                      <w:rPr>
                        <w:rFonts w:ascii="Cambria Math" w:hAnsi="Cambria Math"/>
                        <w:sz w:val="18"/>
                        <w:szCs w:val="18"/>
                      </w:rPr>
                    </m:ctrlPr>
                  </m:e>
                  <m:sup>
                    <m:r>
                      <m:rPr/>
                      <w:rPr>
                        <w:rFonts w:ascii="Cambria Math" w:hAnsi="Cambria Math"/>
                        <w:sz w:val="18"/>
                        <w:szCs w:val="18"/>
                      </w:rPr>
                      <m:t>2</m:t>
                    </m:r>
                    <m:ctrlPr>
                      <w:rPr>
                        <w:rFonts w:ascii="Cambria Math" w:hAnsi="Cambria Math"/>
                        <w:sz w:val="18"/>
                        <w:szCs w:val="18"/>
                      </w:rPr>
                    </m:ctrlPr>
                  </m:sup>
                </m:sSup>
              </m:oMath>
            </m:oMathPara>
          </w:p>
        </w:tc>
        <w:tc>
          <w:tcPr>
            <w:tcW w:w="594"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jc w:val="center"/>
              <w:rPr>
                <w:rFonts w:ascii="Calibri" w:hAnsi="Calibri"/>
                <w:sz w:val="18"/>
                <w:szCs w:val="18"/>
              </w:rPr>
            </w:pPr>
            <m:oMathPara>
              <m:oMath>
                <m:sSup>
                  <m:sSupPr>
                    <m:ctrlPr>
                      <w:rPr>
                        <w:rFonts w:ascii="Cambria Math" w:hAnsi="Cambria Math"/>
                        <w:sz w:val="18"/>
                        <w:szCs w:val="18"/>
                      </w:rPr>
                    </m:ctrlPr>
                  </m:sSupPr>
                  <m:e>
                    <m:sSub>
                      <m:sSubPr>
                        <m:ctrlPr>
                          <w:rPr>
                            <w:rFonts w:ascii="Cambria Math" w:hAnsi="Cambria Math"/>
                            <w:i/>
                            <w:sz w:val="18"/>
                            <w:szCs w:val="18"/>
                          </w:rPr>
                        </m:ctrlPr>
                      </m:sSubPr>
                      <m:e>
                        <m:r>
                          <m:rPr/>
                          <w:rPr>
                            <w:rFonts w:ascii="Cambria Math" w:hAnsi="Cambria Math"/>
                            <w:sz w:val="18"/>
                            <w:szCs w:val="18"/>
                          </w:rPr>
                          <m:t>x</m:t>
                        </m:r>
                        <m:ctrlPr>
                          <w:rPr>
                            <w:rFonts w:ascii="Cambria Math" w:hAnsi="Cambria Math"/>
                            <w:i/>
                            <w:sz w:val="18"/>
                            <w:szCs w:val="18"/>
                          </w:rPr>
                        </m:ctrlPr>
                      </m:e>
                      <m:sub>
                        <m:r>
                          <m:rPr/>
                          <w:rPr>
                            <w:rFonts w:ascii="Cambria Math" w:hAnsi="Cambria Math"/>
                            <w:sz w:val="18"/>
                            <w:szCs w:val="18"/>
                          </w:rPr>
                          <m:t>0.01</m:t>
                        </m:r>
                        <m:ctrlPr>
                          <w:rPr>
                            <w:rFonts w:ascii="Cambria Math" w:hAnsi="Cambria Math"/>
                            <w:i/>
                            <w:sz w:val="18"/>
                            <w:szCs w:val="18"/>
                          </w:rPr>
                        </m:ctrlPr>
                      </m:sub>
                    </m:sSub>
                    <m:ctrlPr>
                      <w:rPr>
                        <w:rFonts w:ascii="Cambria Math" w:hAnsi="Cambria Math"/>
                        <w:sz w:val="18"/>
                        <w:szCs w:val="18"/>
                      </w:rPr>
                    </m:ctrlPr>
                  </m:e>
                  <m:sup>
                    <m:r>
                      <m:rPr/>
                      <w:rPr>
                        <w:rFonts w:ascii="Cambria Math" w:hAnsi="Cambria Math"/>
                        <w:sz w:val="18"/>
                        <w:szCs w:val="18"/>
                      </w:rPr>
                      <m:t>2</m:t>
                    </m:r>
                    <m:ctrlPr>
                      <w:rPr>
                        <w:rFonts w:ascii="Cambria Math" w:hAnsi="Cambria Math"/>
                        <w:sz w:val="18"/>
                        <w:szCs w:val="18"/>
                      </w:rPr>
                    </m:ctrlPr>
                  </m:sup>
                </m:sSup>
              </m:oMath>
            </m:oMathPara>
          </w:p>
        </w:tc>
        <w:tc>
          <w:tcPr>
            <w:tcW w:w="528" w:type="pct"/>
            <w:tcBorders>
              <w:top w:val="single" w:color="auto" w:sz="4" w:space="0"/>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spacing w:line="0" w:lineRule="atLeast"/>
              <w:jc w:val="center"/>
              <w:rPr>
                <w:rFonts w:ascii="Calibri" w:hAnsi="Calibri"/>
                <w:sz w:val="18"/>
                <w:szCs w:val="18"/>
              </w:rPr>
            </w:pPr>
            <m:oMathPara>
              <m:oMath>
                <m:sSup>
                  <m:sSupPr>
                    <m:ctrlPr>
                      <w:rPr>
                        <w:rFonts w:ascii="Cambria Math" w:hAnsi="Cambria Math"/>
                        <w:sz w:val="18"/>
                        <w:szCs w:val="18"/>
                      </w:rPr>
                    </m:ctrlPr>
                  </m:sSupPr>
                  <m:e>
                    <m:sSub>
                      <m:sSubPr>
                        <m:ctrlPr>
                          <w:rPr>
                            <w:rFonts w:ascii="Cambria Math" w:hAnsi="Cambria Math"/>
                            <w:i/>
                            <w:sz w:val="18"/>
                            <w:szCs w:val="18"/>
                          </w:rPr>
                        </m:ctrlPr>
                      </m:sSubPr>
                      <m:e>
                        <m:r>
                          <m:rPr/>
                          <w:rPr>
                            <w:rFonts w:ascii="Cambria Math" w:hAnsi="Cambria Math"/>
                            <w:sz w:val="18"/>
                            <w:szCs w:val="18"/>
                          </w:rPr>
                          <m:t>x</m:t>
                        </m:r>
                        <m:ctrlPr>
                          <w:rPr>
                            <w:rFonts w:ascii="Cambria Math" w:hAnsi="Cambria Math"/>
                            <w:i/>
                            <w:sz w:val="18"/>
                            <w:szCs w:val="18"/>
                          </w:rPr>
                        </m:ctrlPr>
                      </m:e>
                      <m:sub>
                        <m:r>
                          <m:rPr/>
                          <w:rPr>
                            <w:rFonts w:ascii="Cambria Math" w:hAnsi="Cambria Math"/>
                            <w:sz w:val="18"/>
                            <w:szCs w:val="18"/>
                          </w:rPr>
                          <m:t>0.99</m:t>
                        </m:r>
                        <m:ctrlPr>
                          <w:rPr>
                            <w:rFonts w:ascii="Cambria Math" w:hAnsi="Cambria Math"/>
                            <w:i/>
                            <w:sz w:val="18"/>
                            <w:szCs w:val="18"/>
                          </w:rPr>
                        </m:ctrlPr>
                      </m:sub>
                    </m:sSub>
                    <m:ctrlPr>
                      <w:rPr>
                        <w:rFonts w:ascii="Cambria Math" w:hAnsi="Cambria Math"/>
                        <w:sz w:val="18"/>
                        <w:szCs w:val="18"/>
                      </w:rPr>
                    </m:ctrlPr>
                  </m:e>
                  <m:sup>
                    <m:r>
                      <m:rPr/>
                      <w:rPr>
                        <w:rFonts w:ascii="Cambria Math" w:hAnsi="Cambria Math"/>
                        <w:sz w:val="18"/>
                        <w:szCs w:val="18"/>
                      </w:rPr>
                      <m:t>2</m:t>
                    </m:r>
                    <m:ctrlPr>
                      <w:rPr>
                        <w:rFonts w:ascii="Cambria Math" w:hAnsi="Cambria Math"/>
                        <w:sz w:val="18"/>
                        <w:szCs w:val="18"/>
                      </w:rPr>
                    </m:ctrlPr>
                  </m:sup>
                </m:sSup>
              </m:oMath>
            </m:oMathPara>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528"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0.001</w:t>
            </w:r>
          </w:p>
        </w:tc>
        <w:tc>
          <w:tcPr>
            <w:tcW w:w="528"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5.023</w:t>
            </w:r>
          </w:p>
        </w:tc>
        <w:tc>
          <w:tcPr>
            <w:tcW w:w="727"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0.000 039</w:t>
            </w:r>
          </w:p>
        </w:tc>
        <w:tc>
          <w:tcPr>
            <w:tcW w:w="528"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7.879</w:t>
            </w:r>
          </w:p>
        </w:tc>
        <w:tc>
          <w:tcPr>
            <w:tcW w:w="528"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0.004</w:t>
            </w:r>
          </w:p>
        </w:tc>
        <w:tc>
          <w:tcPr>
            <w:tcW w:w="528"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3.841</w:t>
            </w:r>
          </w:p>
        </w:tc>
        <w:tc>
          <w:tcPr>
            <w:tcW w:w="594"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0.000 2</w:t>
            </w:r>
          </w:p>
        </w:tc>
        <w:tc>
          <w:tcPr>
            <w:tcW w:w="528"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6.635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0.051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7.378</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0.010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10.597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0.103</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5.991</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0.020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0.216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9.348</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0.072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12.838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0.352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7.815</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0.115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11.345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0.484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11.143</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0.207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14.860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0.711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9.488</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0.297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13.277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0.831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12.833</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0.412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16.750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1.145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11.071</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0.554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15.086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1.237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14.449</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0.676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18.548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1.635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12.592</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0.872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16.812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1.690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16.013</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0.989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20.278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2.167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14.067</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1.239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18.475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2.180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17.535</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1.344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21.955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2.733</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15.507</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1.646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20.090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2.700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19.023</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1.735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23.589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3.325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16.919</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2.088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21.666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3.247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20.483</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2.156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25.188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3.940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18.307</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2.558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23.209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3.816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21.920</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2.603</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26.757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4.575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19.675</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3.053</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24.725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4.404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23.337</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3.074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28.300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5.226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21.026</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3.571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26.217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5.009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24.736</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3.565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29.819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5.892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22.362</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4.107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27.688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5.629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26.119</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4.075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31.319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6.571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23.685</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4.660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29.141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6.262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27.488</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4.601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32.801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7.261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24.996</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5.229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30.578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6.908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28.845</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5.142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34.267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7.962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26.296</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5.812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7.564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30.191</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5.697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35.719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8.672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27.587</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6.408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33.409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8.231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31.526</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6.265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37.156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9.390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28.869</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7.015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34.805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8.907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32.852</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6.844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38.582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10.117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30.144</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7.633</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36.191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9.591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34.170</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7.434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39.997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10.851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31.410</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8.260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37.566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10.283</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35.479</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8.034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41.401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11.591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32.671</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8.897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38.932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10.982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36.781</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8.643</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42.796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12.338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33.924</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9.542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40.289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11.689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38.076</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9.260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44.181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13.091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35.173</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10.196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41.638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12.401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39.364</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9.886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45.559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13.848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36.415</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10.856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42.980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13.120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40.647</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10.520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46.928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14.611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37.653</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11.524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44.314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13.844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41.923</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11.160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48.290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15.379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38.885</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12.198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45.642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14.573</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43.194</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11.808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49.645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16.151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40.113</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12.879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46.963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15.308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44.461</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12.461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50.993</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16.928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41.337</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13.565</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48.278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16.047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45.722</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13.121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52.336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17.708</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42.557</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14.257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49.588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16.791</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46.979</w:t>
            </w:r>
          </w:p>
        </w:tc>
        <w:tc>
          <w:tcPr>
            <w:tcW w:w="7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13.787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53.672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18.493</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43.773</w:t>
            </w:r>
          </w:p>
        </w:tc>
        <w:tc>
          <w:tcPr>
            <w:tcW w:w="59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14.954</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tabs>
                <w:tab w:val="center" w:pos="4201"/>
                <w:tab w:val="right" w:leader="dot" w:pos="9298"/>
              </w:tabs>
              <w:autoSpaceDE w:val="0"/>
              <w:autoSpaceDN w:val="0"/>
              <w:jc w:val="center"/>
              <w:rPr>
                <w:rFonts w:ascii="宋体" w:hAnsi="宋体" w:cs="宋体"/>
                <w:color w:val="000000"/>
                <w:kern w:val="0"/>
                <w:sz w:val="18"/>
                <w:szCs w:val="18"/>
              </w:rPr>
            </w:pPr>
            <w:r>
              <w:rPr>
                <w:rFonts w:hint="eastAsia" w:ascii="宋体" w:hAnsi="宋体" w:cs="宋体"/>
                <w:color w:val="000000"/>
                <w:kern w:val="0"/>
                <w:sz w:val="18"/>
                <w:szCs w:val="18"/>
              </w:rPr>
              <w:t>50.892</w:t>
            </w:r>
          </w:p>
        </w:tc>
      </w:tr>
    </w:tbl>
    <w:p>
      <w:pPr>
        <w:pStyle w:val="23"/>
        <w:ind w:firstLine="0" w:firstLineChars="0"/>
      </w:pPr>
    </w:p>
    <w:p>
      <w:pPr>
        <w:pStyle w:val="46"/>
        <w:spacing w:before="156" w:after="156"/>
      </w:pPr>
      <w:r>
        <w:rPr>
          <w:rFonts w:hint="eastAsia"/>
        </w:rPr>
        <w:t>显著性差异</w:t>
      </w:r>
    </w:p>
    <w:p>
      <w:pPr>
        <w:pStyle w:val="51"/>
        <w:spacing w:before="156" w:after="156"/>
      </w:pPr>
      <w:r>
        <w:rPr>
          <w:rFonts w:hint="eastAsia"/>
        </w:rPr>
        <w:t>概述</w:t>
      </w:r>
    </w:p>
    <w:p>
      <w:pPr>
        <w:tabs>
          <w:tab w:val="left" w:pos="567"/>
        </w:tabs>
        <w:spacing w:before="156" w:beforeLines="50" w:after="156" w:afterLines="50"/>
        <w:ind w:firstLine="420" w:firstLineChars="200"/>
        <w:rPr>
          <w:rFonts w:ascii="宋体" w:hAnsi="宋体"/>
        </w:rPr>
      </w:pPr>
      <w:r>
        <w:rPr>
          <w:rFonts w:hint="eastAsia" w:ascii="宋体" w:hAnsi="宋体"/>
        </w:rPr>
        <w:t>当需要比较两个平均值或两个标准差时，与置信限的概念紧密相关的是显著性差异的概念。在以下章条中，假设有两组观察值，其统计数据如表14所示。</w:t>
      </w:r>
    </w:p>
    <w:p>
      <w:pPr>
        <w:pStyle w:val="127"/>
        <w:ind w:left="0"/>
      </w:pPr>
      <w:r>
        <w:rPr>
          <w:rFonts w:hint="eastAsia" w:hAnsi="黑体"/>
        </w:rPr>
        <w:t>观察集统计</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92"/>
        <w:gridCol w:w="2392"/>
        <w:gridCol w:w="2393"/>
        <w:gridCol w:w="2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rFonts w:ascii="宋体" w:hAnsi="宋体"/>
                <w:sz w:val="18"/>
                <w:szCs w:val="18"/>
              </w:rPr>
            </w:pPr>
            <w:r>
              <w:rPr>
                <w:rFonts w:hint="eastAsia" w:ascii="宋体" w:hAnsi="宋体"/>
                <w:sz w:val="18"/>
                <w:szCs w:val="18"/>
              </w:rPr>
              <w:t>观察集</w:t>
            </w:r>
          </w:p>
        </w:tc>
        <w:tc>
          <w:tcPr>
            <w:tcW w:w="1250"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rFonts w:ascii="宋体" w:hAnsi="宋体"/>
                <w:sz w:val="18"/>
                <w:szCs w:val="18"/>
              </w:rPr>
            </w:pPr>
            <w:r>
              <w:rPr>
                <w:rFonts w:hint="eastAsia" w:ascii="宋体" w:hAnsi="宋体"/>
                <w:sz w:val="18"/>
                <w:szCs w:val="18"/>
              </w:rPr>
              <w:t>平均值</w:t>
            </w:r>
          </w:p>
        </w:tc>
        <w:tc>
          <w:tcPr>
            <w:tcW w:w="1250"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rFonts w:ascii="宋体" w:hAnsi="宋体"/>
                <w:sz w:val="18"/>
                <w:szCs w:val="18"/>
              </w:rPr>
            </w:pPr>
            <w:r>
              <w:rPr>
                <w:rFonts w:hint="eastAsia" w:ascii="宋体" w:hAnsi="宋体"/>
                <w:sz w:val="18"/>
                <w:szCs w:val="18"/>
              </w:rPr>
              <w:t>估计标准差</w:t>
            </w:r>
          </w:p>
        </w:tc>
        <w:tc>
          <w:tcPr>
            <w:tcW w:w="1250"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rFonts w:ascii="宋体" w:hAnsi="宋体"/>
                <w:sz w:val="18"/>
                <w:szCs w:val="18"/>
              </w:rPr>
            </w:pPr>
            <w:r>
              <w:rPr>
                <w:rFonts w:hint="eastAsia" w:ascii="宋体" w:hAnsi="宋体"/>
                <w:sz w:val="18"/>
                <w:szCs w:val="18"/>
              </w:rPr>
              <w:t>观察数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250"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sz w:val="18"/>
                <w:szCs w:val="18"/>
              </w:rPr>
            </w:pPr>
            <w:r>
              <w:rPr>
                <w:sz w:val="18"/>
                <w:szCs w:val="18"/>
              </w:rPr>
              <w:t>1</w:t>
            </w:r>
          </w:p>
        </w:tc>
        <w:tc>
          <w:tcPr>
            <w:tcW w:w="1250"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sz w:val="18"/>
                <w:szCs w:val="18"/>
              </w:rPr>
            </w:pPr>
            <w:r>
              <w:rPr>
                <w:sz w:val="18"/>
                <w:szCs w:val="18"/>
              </w:rPr>
              <w:sym w:font="Symbol" w:char="0060"/>
            </w:r>
            <w:r>
              <w:rPr>
                <w:i/>
                <w:sz w:val="18"/>
                <w:szCs w:val="18"/>
              </w:rPr>
              <w:t>x</w:t>
            </w:r>
            <w:r>
              <w:rPr>
                <w:sz w:val="18"/>
                <w:szCs w:val="18"/>
                <w:vertAlign w:val="subscript"/>
              </w:rPr>
              <w:t>1</w:t>
            </w:r>
          </w:p>
        </w:tc>
        <w:tc>
          <w:tcPr>
            <w:tcW w:w="1250"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sz w:val="18"/>
                <w:szCs w:val="18"/>
              </w:rPr>
            </w:pPr>
            <w:r>
              <w:rPr>
                <w:i/>
                <w:sz w:val="18"/>
                <w:szCs w:val="18"/>
              </w:rPr>
              <w:t>s</w:t>
            </w:r>
            <w:r>
              <w:rPr>
                <w:sz w:val="18"/>
                <w:szCs w:val="18"/>
                <w:vertAlign w:val="subscript"/>
              </w:rPr>
              <w:t>1</w:t>
            </w:r>
          </w:p>
        </w:tc>
        <w:tc>
          <w:tcPr>
            <w:tcW w:w="1250"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sz w:val="18"/>
                <w:szCs w:val="18"/>
              </w:rPr>
            </w:pPr>
            <w:r>
              <w:rPr>
                <w:i/>
                <w:sz w:val="18"/>
                <w:szCs w:val="18"/>
              </w:rPr>
              <w:t>n</w:t>
            </w:r>
            <w:r>
              <w:rPr>
                <w:sz w:val="18"/>
                <w:szCs w:val="18"/>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1250"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sz w:val="18"/>
                <w:szCs w:val="18"/>
              </w:rPr>
            </w:pPr>
            <w:r>
              <w:rPr>
                <w:sz w:val="18"/>
                <w:szCs w:val="18"/>
              </w:rPr>
              <w:t>2</w:t>
            </w:r>
          </w:p>
        </w:tc>
        <w:tc>
          <w:tcPr>
            <w:tcW w:w="1250"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sz w:val="18"/>
                <w:szCs w:val="18"/>
              </w:rPr>
            </w:pPr>
            <w:r>
              <w:rPr>
                <w:sz w:val="18"/>
                <w:szCs w:val="18"/>
              </w:rPr>
              <w:sym w:font="Symbol" w:char="0060"/>
            </w:r>
            <w:r>
              <w:rPr>
                <w:i/>
                <w:sz w:val="18"/>
                <w:szCs w:val="18"/>
              </w:rPr>
              <w:t>x</w:t>
            </w:r>
            <w:r>
              <w:rPr>
                <w:sz w:val="18"/>
                <w:szCs w:val="18"/>
                <w:vertAlign w:val="subscript"/>
              </w:rPr>
              <w:t>2</w:t>
            </w:r>
          </w:p>
        </w:tc>
        <w:tc>
          <w:tcPr>
            <w:tcW w:w="1250"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sz w:val="18"/>
                <w:szCs w:val="18"/>
              </w:rPr>
            </w:pPr>
            <w:r>
              <w:rPr>
                <w:i/>
                <w:sz w:val="18"/>
                <w:szCs w:val="18"/>
              </w:rPr>
              <w:t>s</w:t>
            </w:r>
            <w:r>
              <w:rPr>
                <w:sz w:val="18"/>
                <w:szCs w:val="18"/>
                <w:vertAlign w:val="subscript"/>
              </w:rPr>
              <w:t>2</w:t>
            </w:r>
          </w:p>
        </w:tc>
        <w:tc>
          <w:tcPr>
            <w:tcW w:w="1250"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sz w:val="18"/>
                <w:szCs w:val="18"/>
              </w:rPr>
            </w:pPr>
            <w:r>
              <w:rPr>
                <w:i/>
                <w:sz w:val="18"/>
                <w:szCs w:val="18"/>
              </w:rPr>
              <w:t>n</w:t>
            </w:r>
            <w:r>
              <w:rPr>
                <w:sz w:val="18"/>
                <w:szCs w:val="18"/>
                <w:vertAlign w:val="subscript"/>
              </w:rPr>
              <w:t>2</w:t>
            </w:r>
          </w:p>
        </w:tc>
      </w:tr>
    </w:tbl>
    <w:p>
      <w:pPr>
        <w:pStyle w:val="51"/>
        <w:spacing w:before="156" w:after="156"/>
      </w:pPr>
      <w:r>
        <w:rPr>
          <w:rFonts w:hint="eastAsia"/>
        </w:rPr>
        <w:t>关于平均值</w:t>
      </w:r>
    </w:p>
    <w:p>
      <w:pPr>
        <w:pStyle w:val="23"/>
      </w:pPr>
      <w:r>
        <w:rPr>
          <w:rFonts w:hint="eastAsia"/>
          <w:highlight w:val="yellow"/>
        </w:rPr>
        <w:t>在给定的置信水平</w:t>
      </w:r>
      <w:r>
        <w:rPr>
          <w:rFonts w:ascii="Times New Roman"/>
          <w:i/>
          <w:highlight w:val="yellow"/>
        </w:rPr>
        <w:t>α</w:t>
      </w:r>
      <w:r>
        <w:rPr>
          <w:rFonts w:hint="eastAsia"/>
          <w:highlight w:val="yellow"/>
        </w:rPr>
        <w:t>，如果式（18）成立，则不能认为平均值可能会有差异。</w:t>
      </w:r>
    </w:p>
    <w:p>
      <w:pPr>
        <w:pStyle w:val="23"/>
      </w:pPr>
      <w:r>
        <w:rPr>
          <w:rFonts w:hint="eastAsia"/>
        </w:rPr>
        <w:t>|</w:t>
      </w:r>
      <w:r>
        <w:rPr/>
        <w:sym w:font="Symbol" w:char="0060"/>
      </w:r>
      <w:r>
        <w:rPr>
          <w:rFonts w:hint="eastAsia"/>
          <w:i/>
        </w:rPr>
        <w:t>x</w:t>
      </w:r>
      <w:r>
        <w:rPr>
          <w:rFonts w:hint="eastAsia"/>
          <w:vertAlign w:val="subscript"/>
        </w:rPr>
        <w:t>1</w:t>
      </w:r>
      <w:r>
        <w:rPr>
          <w:rFonts w:hint="eastAsia"/>
        </w:rPr>
        <w:t xml:space="preserve"> -</w:t>
      </w:r>
      <w:r>
        <w:rPr/>
        <w:sym w:font="Symbol" w:char="0060"/>
      </w:r>
      <w:r>
        <w:rPr>
          <w:rFonts w:hint="eastAsia"/>
          <w:i/>
        </w:rPr>
        <w:t>x</w:t>
      </w:r>
      <w:r>
        <w:rPr>
          <w:rFonts w:hint="eastAsia"/>
          <w:vertAlign w:val="subscript"/>
        </w:rPr>
        <w:t>2</w:t>
      </w:r>
      <w:r>
        <w:rPr>
          <w:rFonts w:hint="eastAsia"/>
        </w:rPr>
        <w:t>|</w:t>
      </w:r>
      <w:commentRangeStart w:id="2"/>
      <w:r>
        <w:rPr>
          <w:rFonts w:hint="eastAsia"/>
        </w:rPr>
        <w:t>＜</w:t>
      </w:r>
      <w:commentRangeEnd w:id="2"/>
      <w:r>
        <w:rPr>
          <w:rStyle w:val="39"/>
          <w:rFonts w:ascii="Times New Roman"/>
          <w:kern w:val="2"/>
        </w:rPr>
        <w:commentReference w:id="2"/>
      </w:r>
      <w:r>
        <w:rPr>
          <w:rFonts w:hint="eastAsia"/>
          <w:i/>
        </w:rPr>
        <w:t>t</w:t>
      </w:r>
      <w:r>
        <w:rPr>
          <w:rFonts w:ascii="Times New Roman"/>
          <w:vertAlign w:val="subscript"/>
        </w:rPr>
        <w:t>α</w:t>
      </w:r>
      <w:r>
        <w:rPr>
          <w:rFonts w:hint="eastAsia"/>
          <w:i/>
        </w:rPr>
        <w:t>S</w:t>
      </w:r>
      <w:r>
        <w:rPr>
          <w:rFonts w:hint="eastAsia"/>
        </w:rPr>
        <w:t xml:space="preserve">                                                   (18)</w:t>
      </w:r>
    </w:p>
    <w:p>
      <w:pPr>
        <w:pStyle w:val="23"/>
        <w:ind w:firstLine="0" w:firstLineChars="0"/>
      </w:pPr>
      <w:r>
        <w:rPr>
          <w:rFonts w:hint="eastAsia"/>
        </w:rPr>
        <w:t xml:space="preserve">式中： </w:t>
      </w:r>
    </w:p>
    <w:p>
      <w:pPr>
        <w:pStyle w:val="23"/>
      </w:pPr>
      <w:r>
        <w:rPr>
          <w:rFonts w:hint="eastAsia"/>
        </w:rPr>
        <w:t>|</w:t>
      </w:r>
      <w:r>
        <w:rPr/>
        <w:sym w:font="Symbol" w:char="0060"/>
      </w:r>
      <w:r>
        <w:rPr>
          <w:rFonts w:hint="eastAsia"/>
          <w:i/>
        </w:rPr>
        <w:t>x</w:t>
      </w:r>
      <w:r>
        <w:rPr>
          <w:rFonts w:hint="eastAsia"/>
          <w:vertAlign w:val="subscript"/>
        </w:rPr>
        <w:t>1</w:t>
      </w:r>
      <w:r>
        <w:rPr>
          <w:rFonts w:hint="eastAsia"/>
        </w:rPr>
        <w:t xml:space="preserve"> -</w:t>
      </w:r>
      <w:r>
        <w:rPr/>
        <w:sym w:font="Symbol" w:char="0060"/>
      </w:r>
      <w:r>
        <w:rPr>
          <w:rFonts w:hint="eastAsia"/>
          <w:i/>
        </w:rPr>
        <w:t>x</w:t>
      </w:r>
      <w:r>
        <w:rPr>
          <w:rFonts w:hint="eastAsia"/>
          <w:vertAlign w:val="subscript"/>
        </w:rPr>
        <w:t>2</w:t>
      </w:r>
      <w:r>
        <w:rPr>
          <w:rFonts w:hint="eastAsia"/>
        </w:rPr>
        <w:t>|表示差的绝对值。</w:t>
      </w:r>
    </w:p>
    <w:p>
      <w:pPr>
        <w:pStyle w:val="23"/>
        <w:rPr>
          <w:rFonts w:ascii="Times New Roman"/>
        </w:rPr>
      </w:pPr>
      <w:r>
        <w:rPr>
          <w:rFonts w:hint="eastAsia"/>
          <w:i/>
        </w:rPr>
        <w:t>t</w:t>
      </w:r>
      <w:r>
        <w:rPr>
          <w:rFonts w:ascii="Times New Roman"/>
          <w:vertAlign w:val="subscript"/>
        </w:rPr>
        <w:t>α</w:t>
      </w:r>
      <w:r>
        <w:rPr>
          <w:rFonts w:hint="eastAsia" w:ascii="Times New Roman"/>
        </w:rPr>
        <w:t>是双侧学生</w:t>
      </w:r>
      <w:r>
        <w:rPr>
          <w:rFonts w:hint="eastAsia" w:ascii="Times New Roman"/>
          <w:i/>
        </w:rPr>
        <w:t>t</w:t>
      </w:r>
      <w:r>
        <w:rPr>
          <w:rFonts w:hint="eastAsia" w:ascii="Times New Roman"/>
        </w:rPr>
        <w:t>检验值</w:t>
      </w:r>
      <w:r>
        <w:rPr>
          <w:rFonts w:ascii="Times New Roman"/>
        </w:rPr>
        <w:t>(</w:t>
      </w:r>
      <w:r>
        <w:rPr>
          <w:rFonts w:hint="eastAsia" w:ascii="Times New Roman"/>
        </w:rPr>
        <w:t>表</w:t>
      </w:r>
      <w:r>
        <w:rPr>
          <w:rFonts w:ascii="Times New Roman"/>
        </w:rPr>
        <w:t>11)</w:t>
      </w:r>
      <w:r>
        <w:rPr>
          <w:rFonts w:hint="eastAsia" w:ascii="Times New Roman"/>
        </w:rPr>
        <w:t>，自由度（</w:t>
      </w:r>
      <w:r>
        <w:rPr>
          <w:rFonts w:ascii="Times New Roman"/>
          <w:i/>
        </w:rPr>
        <w:t>n</w:t>
      </w:r>
      <w:r>
        <w:rPr>
          <w:rFonts w:hint="eastAsia"/>
          <w:vertAlign w:val="subscript"/>
        </w:rPr>
        <w:t>1</w:t>
      </w:r>
      <w:r>
        <w:rPr>
          <w:rFonts w:hint="eastAsia"/>
        </w:rPr>
        <w:t>+</w:t>
      </w:r>
      <w:r>
        <w:rPr>
          <w:rFonts w:hint="eastAsia"/>
          <w:i/>
        </w:rPr>
        <w:t xml:space="preserve"> </w:t>
      </w:r>
      <w:r>
        <w:rPr>
          <w:rFonts w:ascii="Times New Roman"/>
          <w:i/>
        </w:rPr>
        <w:t>n</w:t>
      </w:r>
      <w:r>
        <w:rPr>
          <w:rFonts w:hint="eastAsia"/>
          <w:vertAlign w:val="subscript"/>
        </w:rPr>
        <w:t>2</w:t>
      </w:r>
      <w:r>
        <w:rPr>
          <w:rFonts w:hint="eastAsia"/>
        </w:rPr>
        <w:t xml:space="preserve"> - 2</w:t>
      </w:r>
      <w:r>
        <w:rPr>
          <w:rFonts w:hint="eastAsia" w:ascii="Times New Roman"/>
        </w:rPr>
        <w:t>），对于置信水平</w:t>
      </w:r>
      <w:r>
        <w:rPr>
          <w:rFonts w:ascii="Times New Roman"/>
        </w:rPr>
        <w:t>95%</w:t>
      </w:r>
      <w:r>
        <w:rPr>
          <w:rFonts w:hint="eastAsia" w:ascii="Times New Roman"/>
        </w:rPr>
        <w:t>的</w:t>
      </w:r>
      <w:r>
        <w:rPr>
          <w:rFonts w:ascii="Times New Roman"/>
          <w:i/>
          <w:color w:val="FF0000"/>
        </w:rPr>
        <w:t>α</w:t>
      </w:r>
      <w:r>
        <w:rPr>
          <w:rFonts w:hint="eastAsia" w:ascii="Times New Roman"/>
          <w:color w:val="FF0000"/>
        </w:rPr>
        <w:t>是</w:t>
      </w:r>
      <w:commentRangeStart w:id="3"/>
      <w:r>
        <w:rPr>
          <w:rFonts w:hint="eastAsia" w:ascii="Times New Roman"/>
          <w:color w:val="FF0000"/>
        </w:rPr>
        <w:t>0.</w:t>
      </w:r>
      <w:r>
        <w:rPr>
          <w:rFonts w:ascii="Times New Roman"/>
          <w:color w:val="FF0000"/>
        </w:rPr>
        <w:t>975</w:t>
      </w:r>
      <w:commentRangeEnd w:id="3"/>
      <w:r>
        <w:rPr>
          <w:rStyle w:val="39"/>
          <w:rFonts w:ascii="Times New Roman"/>
          <w:kern w:val="2"/>
        </w:rPr>
        <w:commentReference w:id="3"/>
      </w:r>
      <w:r>
        <w:rPr>
          <w:rFonts w:hint="eastAsia" w:ascii="Times New Roman"/>
        </w:rPr>
        <w:t>，对于置信水平</w:t>
      </w:r>
      <w:r>
        <w:rPr>
          <w:rFonts w:ascii="Times New Roman"/>
        </w:rPr>
        <w:t>99%</w:t>
      </w:r>
      <w:r>
        <w:rPr>
          <w:rFonts w:hint="eastAsia" w:ascii="Times New Roman"/>
        </w:rPr>
        <w:t>的</w:t>
      </w:r>
      <w:r>
        <w:rPr>
          <w:rFonts w:ascii="Times New Roman"/>
          <w:i/>
          <w:color w:val="FF0000"/>
        </w:rPr>
        <w:t>α</w:t>
      </w:r>
      <w:r>
        <w:rPr>
          <w:rFonts w:hint="eastAsia" w:ascii="Times New Roman"/>
          <w:color w:val="FF0000"/>
        </w:rPr>
        <w:t>是</w:t>
      </w:r>
      <w:commentRangeStart w:id="4"/>
      <w:r>
        <w:rPr>
          <w:rFonts w:hint="eastAsia" w:ascii="Times New Roman"/>
          <w:color w:val="FF0000"/>
        </w:rPr>
        <w:t>0.</w:t>
      </w:r>
      <w:r>
        <w:rPr>
          <w:rFonts w:ascii="Times New Roman"/>
          <w:color w:val="FF0000"/>
        </w:rPr>
        <w:t>995</w:t>
      </w:r>
      <w:commentRangeEnd w:id="4"/>
      <w:r>
        <w:rPr>
          <w:rStyle w:val="39"/>
          <w:rFonts w:ascii="Times New Roman"/>
          <w:kern w:val="2"/>
        </w:rPr>
        <w:commentReference w:id="4"/>
      </w:r>
      <w:r>
        <w:rPr>
          <w:rFonts w:hint="eastAsia" w:ascii="Times New Roman"/>
        </w:rPr>
        <w:t>；</w:t>
      </w:r>
    </w:p>
    <w:p>
      <w:pPr>
        <w:pStyle w:val="23"/>
      </w:pPr>
      <w:r>
        <w:rPr>
          <w:rFonts w:hint="eastAsia"/>
          <w:i/>
        </w:rPr>
        <w:t>S</w:t>
      </w:r>
      <w:r>
        <w:rPr>
          <w:rFonts w:hint="eastAsia"/>
        </w:rPr>
        <w:t>是综合观察集的加权标准误差，由式（19）计算：</w:t>
      </w:r>
    </w:p>
    <w:p>
      <w:pPr>
        <w:pStyle w:val="23"/>
      </w:pPr>
      <m:oMath>
        <m:r>
          <m:rPr/>
          <w:rPr>
            <w:rFonts w:ascii="Cambria Math" w:hAnsi="Cambria Math"/>
          </w:rPr>
          <m:t>S</m:t>
        </m:r>
        <m:r>
          <m:rPr>
            <m:sty m:val="p"/>
          </m:rPr>
          <w:rPr>
            <w:rFonts w:ascii="Cambria Math" w:hAnsi="Cambria Math"/>
          </w:rPr>
          <m:t>=</m:t>
        </m:r>
        <m:sSup>
          <m:sSupPr>
            <m:ctrlPr>
              <w:rPr>
                <w:rFonts w:ascii="Cambria Math" w:hAnsi="Cambria Math"/>
                <w:szCs w:val="22"/>
              </w:rPr>
            </m:ctrlPr>
          </m:sSupPr>
          <m:e>
            <m:d>
              <m:dPr>
                <m:begChr m:val="["/>
                <m:endChr m:val="]"/>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m:rPr/>
                          <w:rPr>
                            <w:rFonts w:ascii="Cambria Math" w:hAnsi="Cambria Math"/>
                          </w:rPr>
                          <m:t>n</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n</m:t>
                        </m:r>
                        <m:ctrlPr>
                          <w:rPr>
                            <w:rFonts w:ascii="Cambria Math" w:hAnsi="Cambria Math"/>
                            <w:i/>
                            <w:szCs w:val="22"/>
                          </w:rPr>
                        </m:ctrlPr>
                      </m:e>
                      <m:sub>
                        <m:r>
                          <m:rPr/>
                          <w:rPr>
                            <w:rFonts w:ascii="Cambria Math" w:hAnsi="Cambria Math"/>
                          </w:rPr>
                          <m:t>2</m:t>
                        </m:r>
                        <m:ctrlPr>
                          <w:rPr>
                            <w:rFonts w:ascii="Cambria Math" w:hAnsi="Cambria Math"/>
                            <w:i/>
                            <w:szCs w:val="22"/>
                          </w:rPr>
                        </m:ctrlPr>
                      </m:sub>
                    </m:sSub>
                    <m:ctrlPr>
                      <w:rPr>
                        <w:rFonts w:ascii="Cambria Math" w:hAnsi="Cambria Math"/>
                        <w:i/>
                        <w:szCs w:val="22"/>
                      </w:rPr>
                    </m:ctrlPr>
                  </m:num>
                  <m:den>
                    <m:sSub>
                      <m:sSubPr>
                        <m:ctrlPr>
                          <w:rPr>
                            <w:rFonts w:ascii="Cambria Math" w:hAnsi="Cambria Math"/>
                            <w:i/>
                            <w:szCs w:val="22"/>
                          </w:rPr>
                        </m:ctrlPr>
                      </m:sSubPr>
                      <m:e>
                        <m:r>
                          <m:rPr/>
                          <w:rPr>
                            <w:rFonts w:ascii="Cambria Math" w:hAnsi="Cambria Math"/>
                          </w:rPr>
                          <m:t>n</m:t>
                        </m:r>
                        <m:ctrlPr>
                          <w:rPr>
                            <w:rFonts w:ascii="Cambria Math" w:hAnsi="Cambria Math"/>
                            <w:i/>
                            <w:szCs w:val="22"/>
                          </w:rPr>
                        </m:ctrlPr>
                      </m:e>
                      <m:sub>
                        <m:r>
                          <m:rPr/>
                          <w:rPr>
                            <w:rFonts w:ascii="Cambria Math" w:hAnsi="Cambria Math"/>
                          </w:rPr>
                          <m:t>1</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n</m:t>
                        </m:r>
                        <m:ctrlPr>
                          <w:rPr>
                            <w:rFonts w:ascii="Cambria Math" w:hAnsi="Cambria Math"/>
                            <w:i/>
                            <w:szCs w:val="22"/>
                          </w:rPr>
                        </m:ctrlPr>
                      </m:e>
                      <m:sub>
                        <m:r>
                          <m:rPr/>
                          <w:rPr>
                            <w:rFonts w:ascii="Cambria Math" w:hAnsi="Cambria Math"/>
                          </w:rPr>
                          <m:t>2</m:t>
                        </m:r>
                        <m:ctrlPr>
                          <w:rPr>
                            <w:rFonts w:ascii="Cambria Math" w:hAnsi="Cambria Math"/>
                            <w:i/>
                            <w:szCs w:val="22"/>
                          </w:rPr>
                        </m:ctrlPr>
                      </m:sub>
                    </m:sSub>
                    <m:ctrlPr>
                      <w:rPr>
                        <w:rFonts w:ascii="Cambria Math" w:hAnsi="Cambria Math"/>
                        <w:i/>
                        <w:szCs w:val="22"/>
                      </w:rPr>
                    </m:ctrlPr>
                  </m:den>
                </m:f>
                <m:r>
                  <m:rPr/>
                  <w:rPr>
                    <w:rFonts w:ascii="Cambria Math" w:hAnsi="Cambria Math"/>
                  </w:rPr>
                  <m:t>×</m:t>
                </m:r>
                <m:f>
                  <m:fPr>
                    <m:ctrlPr>
                      <w:rPr>
                        <w:rFonts w:ascii="Cambria Math" w:hAnsi="Cambria Math"/>
                        <w:i/>
                        <w:szCs w:val="22"/>
                      </w:rPr>
                    </m:ctrlPr>
                  </m:fPr>
                  <m:num>
                    <m:d>
                      <m:dPr>
                        <m:ctrlPr>
                          <w:rPr>
                            <w:rFonts w:ascii="Cambria Math" w:hAnsi="Cambria Math"/>
                            <w:i/>
                            <w:szCs w:val="22"/>
                          </w:rPr>
                        </m:ctrlPr>
                      </m:dPr>
                      <m:e>
                        <m:sSub>
                          <m:sSubPr>
                            <m:ctrlPr>
                              <w:rPr>
                                <w:rFonts w:ascii="Cambria Math" w:hAnsi="Cambria Math"/>
                                <w:i/>
                                <w:szCs w:val="22"/>
                              </w:rPr>
                            </m:ctrlPr>
                          </m:sSubPr>
                          <m:e>
                            <m:r>
                              <m:rPr/>
                              <w:rPr>
                                <w:rFonts w:ascii="Cambria Math" w:hAnsi="Cambria Math"/>
                              </w:rPr>
                              <m:t>n</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w:rPr>
                            <w:rFonts w:ascii="Cambria Math" w:hAnsi="Cambria Math"/>
                          </w:rPr>
                          <m:t>−1</m:t>
                        </m:r>
                        <m:ctrlPr>
                          <w:rPr>
                            <w:rFonts w:ascii="Cambria Math" w:hAnsi="Cambria Math"/>
                            <w:i/>
                            <w:szCs w:val="22"/>
                          </w:rPr>
                        </m:ctrlPr>
                      </m:e>
                    </m:d>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b>
                      <m:sSubPr>
                        <m:ctrlPr>
                          <w:rPr>
                            <w:rFonts w:ascii="Cambria Math" w:hAnsi="Cambria Math"/>
                            <w:i/>
                            <w:szCs w:val="22"/>
                          </w:rPr>
                        </m:ctrlPr>
                      </m:sSubPr>
                      <m:e>
                        <m:r>
                          <m:rPr/>
                          <w:rPr>
                            <w:rFonts w:ascii="Cambria Math" w:hAnsi="Cambria Math"/>
                          </w:rPr>
                          <m:t>n</m:t>
                        </m:r>
                        <m:ctrlPr>
                          <w:rPr>
                            <w:rFonts w:ascii="Cambria Math" w:hAnsi="Cambria Math"/>
                            <w:i/>
                            <w:szCs w:val="22"/>
                          </w:rPr>
                        </m:ctrlPr>
                      </m:e>
                      <m:sub>
                        <m:r>
                          <m:rPr/>
                          <w:rPr>
                            <w:rFonts w:ascii="Cambria Math" w:hAnsi="Cambria Math"/>
                          </w:rPr>
                          <m:t>2</m:t>
                        </m:r>
                        <m:ctrlPr>
                          <w:rPr>
                            <w:rFonts w:ascii="Cambria Math" w:hAnsi="Cambria Math"/>
                            <w:i/>
                            <w:szCs w:val="22"/>
                          </w:rPr>
                        </m:ctrlPr>
                      </m:sub>
                    </m:sSub>
                    <m:r>
                      <m:rPr/>
                      <w:rPr>
                        <w:rFonts w:ascii="Cambria Math" w:hAnsi="Cambria Math"/>
                      </w:rPr>
                      <m:t>−1)</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2</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num>
                  <m:den>
                    <m:sSub>
                      <m:sSubPr>
                        <m:ctrlPr>
                          <w:rPr>
                            <w:rFonts w:ascii="Cambria Math" w:hAnsi="Cambria Math"/>
                            <w:i/>
                            <w:szCs w:val="22"/>
                          </w:rPr>
                        </m:ctrlPr>
                      </m:sSubPr>
                      <m:e>
                        <m:r>
                          <m:rPr/>
                          <w:rPr>
                            <w:rFonts w:ascii="Cambria Math" w:hAnsi="Cambria Math"/>
                          </w:rPr>
                          <m:t>n</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n</m:t>
                        </m:r>
                        <m:ctrlPr>
                          <w:rPr>
                            <w:rFonts w:ascii="Cambria Math" w:hAnsi="Cambria Math"/>
                            <w:i/>
                            <w:szCs w:val="22"/>
                          </w:rPr>
                        </m:ctrlPr>
                      </m:e>
                      <m:sub>
                        <m:r>
                          <m:rPr/>
                          <w:rPr>
                            <w:rFonts w:ascii="Cambria Math" w:hAnsi="Cambria Math"/>
                          </w:rPr>
                          <m:t>2</m:t>
                        </m:r>
                        <m:ctrlPr>
                          <w:rPr>
                            <w:rFonts w:ascii="Cambria Math" w:hAnsi="Cambria Math"/>
                            <w:i/>
                            <w:szCs w:val="22"/>
                          </w:rPr>
                        </m:ctrlPr>
                      </m:sub>
                    </m:sSub>
                    <m:r>
                      <m:rPr/>
                      <w:rPr>
                        <w:rFonts w:ascii="Cambria Math" w:hAnsi="Cambria Math"/>
                      </w:rPr>
                      <m:t>−2</m:t>
                    </m:r>
                    <m:ctrlPr>
                      <w:rPr>
                        <w:rFonts w:ascii="Cambria Math" w:hAnsi="Cambria Math"/>
                        <w:i/>
                        <w:szCs w:val="22"/>
                      </w:rPr>
                    </m:ctrlPr>
                  </m:den>
                </m:f>
                <m:ctrlPr>
                  <w:rPr>
                    <w:rFonts w:ascii="Cambria Math" w:hAnsi="Cambria Math"/>
                    <w:i/>
                    <w:szCs w:val="22"/>
                  </w:rPr>
                </m:ctrlPr>
              </m:e>
            </m:d>
            <m:ctrlPr>
              <w:rPr>
                <w:rFonts w:ascii="Cambria Math" w:hAnsi="Cambria Math"/>
                <w:szCs w:val="22"/>
              </w:rPr>
            </m:ctrlPr>
          </m:e>
          <m:sup>
            <m:r>
              <m:rPr/>
              <w:rPr>
                <w:rFonts w:ascii="Cambria Math" w:hAnsi="Cambria Math"/>
              </w:rPr>
              <m:t>1/2</m:t>
            </m:r>
            <m:ctrlPr>
              <w:rPr>
                <w:rFonts w:ascii="Cambria Math" w:hAnsi="Cambria Math"/>
                <w:szCs w:val="22"/>
              </w:rPr>
            </m:ctrlPr>
          </m:sup>
        </m:sSup>
      </m:oMath>
      <w:r>
        <w:rPr>
          <w:rFonts w:hint="eastAsia"/>
        </w:rPr>
        <w:t xml:space="preserve">                                     (19)</w:t>
      </w:r>
    </w:p>
    <w:p>
      <w:pPr>
        <w:pStyle w:val="23"/>
      </w:pPr>
      <w:r>
        <w:rPr>
          <w:rFonts w:hint="eastAsia"/>
        </w:rPr>
        <w:t>在多数情况下，</w:t>
      </w:r>
      <w:r>
        <w:rPr>
          <w:rFonts w:ascii="Times New Roman"/>
          <w:i/>
        </w:rPr>
        <w:t>n</w:t>
      </w:r>
      <w:r>
        <w:rPr>
          <w:rFonts w:hint="eastAsia"/>
          <w:vertAlign w:val="subscript"/>
        </w:rPr>
        <w:t>1</w:t>
      </w:r>
      <w:r>
        <w:rPr>
          <w:rFonts w:hint="eastAsia"/>
        </w:rPr>
        <w:t>=</w:t>
      </w:r>
      <w:r>
        <w:rPr>
          <w:rFonts w:ascii="Times New Roman"/>
          <w:i/>
        </w:rPr>
        <w:t>n</w:t>
      </w:r>
      <w:r>
        <w:rPr>
          <w:rFonts w:hint="eastAsia"/>
          <w:vertAlign w:val="subscript"/>
        </w:rPr>
        <w:t>2</w:t>
      </w:r>
      <w:r>
        <w:rPr>
          <w:rFonts w:hint="eastAsia"/>
        </w:rPr>
        <w:t>,那么该公式可大大地简化为式（20）：</w:t>
      </w:r>
    </w:p>
    <w:p>
      <w:pPr>
        <w:pStyle w:val="23"/>
      </w:pPr>
      <m:oMath>
        <m:r>
          <m:rPr/>
          <w:rPr>
            <w:rFonts w:ascii="Cambria Math" w:hAnsi="Cambria Math"/>
          </w:rPr>
          <m:t>S</m:t>
        </m:r>
        <m:r>
          <m:rPr>
            <m:sty m:val="p"/>
          </m:rPr>
          <w:rPr>
            <w:rFonts w:ascii="Cambria Math" w:hAnsi="Cambria Math"/>
          </w:rPr>
          <m:t>=</m:t>
        </m:r>
        <m:f>
          <m:fPr>
            <m:ctrlPr>
              <w:rPr>
                <w:rFonts w:ascii="Cambria Math" w:hAnsi="Cambria Math"/>
                <w:szCs w:val="22"/>
              </w:rPr>
            </m:ctrlPr>
          </m:fPr>
          <m:num>
            <m:rad>
              <m:radPr>
                <m:degHide m:val="1"/>
                <m:ctrlPr>
                  <w:rPr>
                    <w:rFonts w:ascii="Cambria Math" w:hAnsi="Cambria Math"/>
                    <w:i/>
                    <w:szCs w:val="22"/>
                  </w:rPr>
                </m:ctrlPr>
              </m:radPr>
              <m:deg>
                <m:ctrlPr>
                  <w:rPr>
                    <w:rFonts w:ascii="Cambria Math" w:hAnsi="Cambria Math"/>
                    <w:i/>
                    <w:szCs w:val="22"/>
                  </w:rPr>
                </m:ctrlPr>
              </m:deg>
              <m:e>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2</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ctrlPr>
                  <w:rPr>
                    <w:rFonts w:ascii="Cambria Math" w:hAnsi="Cambria Math"/>
                    <w:i/>
                    <w:szCs w:val="22"/>
                  </w:rPr>
                </m:ctrlPr>
              </m:e>
            </m:rad>
            <m:ctrlPr>
              <w:rPr>
                <w:rFonts w:ascii="Cambria Math" w:hAnsi="Cambria Math"/>
                <w:szCs w:val="22"/>
              </w:rPr>
            </m:ctrlPr>
          </m:num>
          <m:den>
            <m:rad>
              <m:radPr>
                <m:degHide m:val="1"/>
                <m:ctrlPr>
                  <w:rPr>
                    <w:rFonts w:ascii="Cambria Math" w:hAnsi="Cambria Math"/>
                    <w:i/>
                    <w:szCs w:val="22"/>
                  </w:rPr>
                </m:ctrlPr>
              </m:radPr>
              <m:deg>
                <m:ctrlPr>
                  <w:rPr>
                    <w:rFonts w:ascii="Cambria Math" w:hAnsi="Cambria Math"/>
                    <w:i/>
                    <w:szCs w:val="22"/>
                  </w:rPr>
                </m:ctrlPr>
              </m:deg>
              <m:e>
                <m:r>
                  <m:rPr/>
                  <w:rPr>
                    <w:rFonts w:ascii="Cambria Math" w:hAnsi="Cambria Math"/>
                  </w:rPr>
                  <m:t>n</m:t>
                </m:r>
                <m:ctrlPr>
                  <w:rPr>
                    <w:rFonts w:ascii="Cambria Math" w:hAnsi="Cambria Math"/>
                    <w:i/>
                    <w:szCs w:val="22"/>
                  </w:rPr>
                </m:ctrlPr>
              </m:e>
            </m:rad>
            <m:ctrlPr>
              <w:rPr>
                <w:rFonts w:ascii="Cambria Math" w:hAnsi="Cambria Math"/>
                <w:szCs w:val="22"/>
              </w:rPr>
            </m:ctrlPr>
          </m:den>
        </m:f>
      </m:oMath>
      <w:r>
        <w:rPr>
          <w:rFonts w:hint="eastAsia"/>
        </w:rPr>
        <w:t xml:space="preserve">                                                       (20)</w:t>
      </w:r>
    </w:p>
    <w:p>
      <w:pPr>
        <w:pStyle w:val="23"/>
      </w:pPr>
      <w:r>
        <w:rPr>
          <w:rFonts w:hint="eastAsia"/>
        </w:rPr>
        <w:t>在本分析中，假设标准差</w:t>
      </w:r>
      <w:r>
        <w:rPr>
          <w:rFonts w:ascii="Times New Roman"/>
          <w:i/>
        </w:rPr>
        <w:t>s</w:t>
      </w:r>
      <w:r>
        <w:rPr>
          <w:rFonts w:ascii="Times New Roman"/>
          <w:vertAlign w:val="subscript"/>
        </w:rPr>
        <w:t>1</w:t>
      </w:r>
      <w:r>
        <w:rPr>
          <w:rFonts w:ascii="Times New Roman"/>
        </w:rPr>
        <w:t>和</w:t>
      </w:r>
      <w:r>
        <w:rPr>
          <w:rFonts w:ascii="Times New Roman"/>
          <w:i/>
        </w:rPr>
        <w:t>s</w:t>
      </w:r>
      <w:r>
        <w:rPr>
          <w:rFonts w:ascii="Times New Roman"/>
          <w:vertAlign w:val="subscript"/>
        </w:rPr>
        <w:t>2</w:t>
      </w:r>
      <w:r>
        <w:rPr>
          <w:rFonts w:hint="eastAsia"/>
        </w:rPr>
        <w:t xml:space="preserve"> (在规定的水平上) 没有显著差异。如果这种差异是显著的，那么就不能认为这两个观察集来自于同一个总体，其平均值也就不宜比较。对于两个标准差之间差异的显著性检验在7.2.2.3中给出。</w:t>
      </w:r>
    </w:p>
    <w:p>
      <w:pPr>
        <w:pStyle w:val="51"/>
        <w:spacing w:before="156" w:after="156"/>
      </w:pPr>
      <w:r>
        <w:rPr>
          <w:rFonts w:hint="eastAsia"/>
        </w:rPr>
        <w:t>关于标准差</w:t>
      </w:r>
    </w:p>
    <w:p>
      <w:pPr>
        <w:pStyle w:val="118"/>
      </w:pPr>
      <w:r>
        <w:rPr>
          <w:rFonts w:hint="eastAsia"/>
        </w:rPr>
        <w:t>步骤如下：</w:t>
      </w:r>
    </w:p>
    <w:p>
      <w:pPr>
        <w:pStyle w:val="138"/>
        <w:numPr>
          <w:ilvl w:val="7"/>
          <w:numId w:val="23"/>
        </w:numPr>
        <w:tabs>
          <w:tab w:val="left" w:pos="567"/>
        </w:tabs>
        <w:ind w:firstLine="420"/>
        <w:rPr>
          <w:rFonts w:ascii="宋体" w:hAnsi="宋体"/>
        </w:rPr>
      </w:pPr>
      <w:r>
        <w:rPr>
          <w:rFonts w:hint="eastAsia" w:ascii="宋体" w:hAnsi="宋体"/>
        </w:rPr>
        <w:t>用式（21）确定方差比：</w:t>
      </w:r>
    </w:p>
    <w:p>
      <w:pPr>
        <w:tabs>
          <w:tab w:val="left" w:pos="567"/>
        </w:tabs>
        <w:ind w:left="420"/>
        <w:rPr>
          <w:rFonts w:ascii="宋体" w:hAnsi="宋体"/>
        </w:rPr>
      </w:pPr>
      <m:oMath>
        <m:r>
          <m:rPr/>
          <w:rPr>
            <w:rFonts w:ascii="Cambria Math" w:hAnsi="Cambria Math"/>
          </w:rPr>
          <m:t>F</m:t>
        </m:r>
        <m:r>
          <m:rPr>
            <m:sty m:val="p"/>
          </m:rPr>
          <w:rPr>
            <w:rFonts w:ascii="Cambria Math" w:hAnsi="Cambria Math"/>
          </w:rPr>
          <m:t>=</m:t>
        </m:r>
        <m:sSup>
          <m:sSupPr>
            <m:ctrlPr>
              <w:rPr>
                <w:rFonts w:ascii="Cambria Math" w:hAnsi="Cambria Math"/>
                <w:szCs w:val="22"/>
              </w:rPr>
            </m:ctrlPr>
          </m:sSupPr>
          <m:e>
            <m:r>
              <m:rPr/>
              <w:rPr>
                <w:rFonts w:ascii="Cambria Math" w:hAnsi="Cambria Math"/>
              </w:rPr>
              <m:t>(</m:t>
            </m:r>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2</m:t>
                </m:r>
                <m:ctrlPr>
                  <w:rPr>
                    <w:rFonts w:ascii="Cambria Math" w:hAnsi="Cambria Math"/>
                    <w:i/>
                    <w:szCs w:val="22"/>
                  </w:rPr>
                </m:ctrlPr>
              </m:sub>
            </m:sSub>
            <m:r>
              <m:rPr/>
              <w:rPr>
                <w:rFonts w:ascii="Cambria Math" w:hAnsi="Cambria Math"/>
              </w:rPr>
              <m:t>)</m:t>
            </m:r>
            <m:ctrlPr>
              <w:rPr>
                <w:rFonts w:ascii="Cambria Math" w:hAnsi="Cambria Math"/>
                <w:szCs w:val="22"/>
              </w:rPr>
            </m:ctrlPr>
          </m:e>
          <m:sup>
            <m:r>
              <m:rPr/>
              <w:rPr>
                <w:rFonts w:ascii="Cambria Math" w:hAnsi="Cambria Math"/>
              </w:rPr>
              <m:t>2</m:t>
            </m:r>
            <m:ctrlPr>
              <w:rPr>
                <w:rFonts w:ascii="Cambria Math" w:hAnsi="Cambria Math"/>
                <w:szCs w:val="22"/>
              </w:rPr>
            </m:ctrlPr>
          </m:sup>
        </m:sSup>
      </m:oMath>
      <w:r>
        <w:rPr>
          <w:rFonts w:hint="eastAsia" w:ascii="宋体" w:hAnsi="宋体"/>
        </w:rPr>
        <w:t xml:space="preserve">                                                                   (21)</w:t>
      </w:r>
    </w:p>
    <w:p>
      <w:pPr>
        <w:tabs>
          <w:tab w:val="left" w:pos="567"/>
        </w:tabs>
        <w:ind w:left="420"/>
        <w:rPr>
          <w:rFonts w:ascii="宋体" w:hAnsi="宋体"/>
        </w:rPr>
      </w:pPr>
      <w:r>
        <w:rPr>
          <w:rFonts w:hint="eastAsia" w:ascii="宋体" w:hAnsi="宋体"/>
        </w:rPr>
        <w:t>式中</w:t>
      </w:r>
      <w:r>
        <w:rPr>
          <w:rFonts w:hint="eastAsia" w:ascii="宋体" w:hAnsi="宋体"/>
          <w:i/>
        </w:rPr>
        <w:t>s</w:t>
      </w:r>
      <w:r>
        <w:rPr>
          <w:rFonts w:hint="eastAsia" w:ascii="宋体" w:hAnsi="宋体"/>
          <w:vertAlign w:val="subscript"/>
        </w:rPr>
        <w:t>1</w:t>
      </w:r>
      <w:r>
        <w:rPr>
          <w:rFonts w:hint="eastAsia" w:ascii="宋体" w:hAnsi="宋体"/>
        </w:rPr>
        <w:t>&gt;</w:t>
      </w:r>
      <w:r>
        <w:rPr>
          <w:rFonts w:hint="eastAsia" w:ascii="宋体" w:hAnsi="宋体"/>
          <w:i/>
        </w:rPr>
        <w:t>s</w:t>
      </w:r>
      <w:r>
        <w:rPr>
          <w:rFonts w:hint="eastAsia" w:ascii="宋体" w:hAnsi="宋体"/>
          <w:vertAlign w:val="subscript"/>
        </w:rPr>
        <w:t>2</w:t>
      </w:r>
      <w:r>
        <w:rPr>
          <w:rFonts w:hint="eastAsia" w:ascii="宋体" w:hAnsi="宋体"/>
        </w:rPr>
        <w:t>。</w:t>
      </w:r>
    </w:p>
    <w:p>
      <w:pPr>
        <w:pStyle w:val="138"/>
        <w:numPr>
          <w:ilvl w:val="7"/>
          <w:numId w:val="23"/>
        </w:numPr>
        <w:tabs>
          <w:tab w:val="left" w:pos="567"/>
        </w:tabs>
        <w:ind w:firstLine="420"/>
        <w:rPr>
          <w:rFonts w:ascii="宋体" w:hAnsi="宋体"/>
        </w:rPr>
      </w:pPr>
      <w:r>
        <w:rPr>
          <w:rFonts w:hint="eastAsia" w:ascii="宋体" w:hAnsi="宋体"/>
        </w:rPr>
        <w:t>查表15，表中给出了置信水平95%和99%时的对于F检验（Snedecor</w:t>
      </w:r>
      <w:r>
        <w:rPr>
          <w:rFonts w:ascii="宋体" w:hAnsi="宋体"/>
        </w:rPr>
        <w:sym w:font="Symbol" w:char="00A2"/>
      </w:r>
      <w:r>
        <w:rPr>
          <w:rFonts w:hint="eastAsia" w:ascii="宋体" w:hAnsi="宋体"/>
          <w:i/>
        </w:rPr>
        <w:t>F</w:t>
      </w:r>
      <w:r>
        <w:rPr>
          <w:rFonts w:hint="eastAsia" w:ascii="宋体" w:hAnsi="宋体"/>
        </w:rPr>
        <w:t>）商的临界值。</w:t>
      </w:r>
    </w:p>
    <w:p>
      <w:pPr>
        <w:pStyle w:val="138"/>
        <w:numPr>
          <w:ilvl w:val="7"/>
          <w:numId w:val="23"/>
        </w:numPr>
        <w:tabs>
          <w:tab w:val="left" w:pos="567"/>
        </w:tabs>
        <w:ind w:firstLine="420"/>
        <w:rPr>
          <w:rFonts w:ascii="宋体" w:hAnsi="宋体"/>
        </w:rPr>
      </w:pPr>
      <w:r>
        <w:rPr>
          <w:rFonts w:hint="eastAsia" w:ascii="宋体" w:hAnsi="宋体"/>
        </w:rPr>
        <w:t>选用下列之一：</w:t>
      </w:r>
    </w:p>
    <w:p>
      <w:pPr>
        <w:pStyle w:val="138"/>
        <w:numPr>
          <w:ilvl w:val="8"/>
          <w:numId w:val="23"/>
        </w:numPr>
        <w:tabs>
          <w:tab w:val="left" w:pos="567"/>
        </w:tabs>
        <w:ind w:firstLine="1134" w:firstLineChars="540"/>
        <w:rPr>
          <w:rFonts w:ascii="宋体" w:hAnsi="宋体"/>
        </w:rPr>
      </w:pPr>
      <w:r>
        <w:rPr>
          <w:rFonts w:ascii="Times New Roman" w:hAnsi="Times New Roman"/>
          <w:i/>
        </w:rPr>
        <w:t>α</w:t>
      </w:r>
      <w:r>
        <w:rPr>
          <w:rFonts w:ascii="Times New Roman" w:hAnsi="Times New Roman"/>
        </w:rPr>
        <w:t>=0.05</w:t>
      </w:r>
      <w:r>
        <w:rPr>
          <w:rFonts w:hint="eastAsia" w:ascii="Times New Roman" w:hAnsi="Times New Roman"/>
        </w:rPr>
        <w:t>，单侧</w:t>
      </w:r>
      <w:r>
        <w:rPr>
          <w:rFonts w:ascii="Times New Roman" w:hAnsi="Times New Roman"/>
        </w:rPr>
        <w:t>95%</w:t>
      </w:r>
      <w:r>
        <w:rPr>
          <w:rFonts w:hint="eastAsia" w:ascii="Times New Roman" w:hAnsi="Times New Roman"/>
        </w:rPr>
        <w:t>置信水平；</w:t>
      </w:r>
    </w:p>
    <w:p>
      <w:pPr>
        <w:pStyle w:val="138"/>
        <w:numPr>
          <w:ilvl w:val="8"/>
          <w:numId w:val="23"/>
        </w:numPr>
        <w:tabs>
          <w:tab w:val="left" w:pos="567"/>
        </w:tabs>
        <w:ind w:firstLine="1134" w:firstLineChars="540"/>
        <w:rPr>
          <w:rFonts w:ascii="宋体" w:hAnsi="宋体"/>
        </w:rPr>
      </w:pPr>
      <w:r>
        <w:rPr>
          <w:rFonts w:ascii="Times New Roman" w:hAnsi="Times New Roman"/>
          <w:i/>
        </w:rPr>
        <w:t>α</w:t>
      </w:r>
      <w:r>
        <w:rPr>
          <w:rFonts w:ascii="Times New Roman" w:hAnsi="Times New Roman"/>
        </w:rPr>
        <w:t>=0.025</w:t>
      </w:r>
      <w:r>
        <w:rPr>
          <w:rFonts w:hint="eastAsia" w:ascii="Times New Roman" w:hAnsi="Times New Roman"/>
        </w:rPr>
        <w:t>，双侧</w:t>
      </w:r>
      <w:r>
        <w:rPr>
          <w:rFonts w:ascii="Times New Roman" w:hAnsi="Times New Roman"/>
        </w:rPr>
        <w:t>95%</w:t>
      </w:r>
      <w:r>
        <w:rPr>
          <w:rFonts w:hint="eastAsia" w:ascii="Times New Roman" w:hAnsi="Times New Roman"/>
        </w:rPr>
        <w:t>置信水平；</w:t>
      </w:r>
    </w:p>
    <w:p>
      <w:pPr>
        <w:pStyle w:val="138"/>
        <w:numPr>
          <w:ilvl w:val="8"/>
          <w:numId w:val="23"/>
        </w:numPr>
        <w:tabs>
          <w:tab w:val="left" w:pos="567"/>
        </w:tabs>
        <w:ind w:firstLine="1134" w:firstLineChars="540"/>
        <w:rPr>
          <w:rFonts w:ascii="宋体" w:hAnsi="宋体"/>
        </w:rPr>
      </w:pPr>
      <w:r>
        <w:rPr>
          <w:rFonts w:ascii="Times New Roman" w:hAnsi="Times New Roman"/>
          <w:i/>
        </w:rPr>
        <w:t>α</w:t>
      </w:r>
      <w:r>
        <w:rPr>
          <w:rFonts w:ascii="Times New Roman" w:hAnsi="Times New Roman"/>
        </w:rPr>
        <w:t>=0.01</w:t>
      </w:r>
      <w:r>
        <w:rPr>
          <w:rFonts w:hint="eastAsia" w:ascii="Times New Roman" w:hAnsi="Times New Roman"/>
        </w:rPr>
        <w:t>，单侧</w:t>
      </w:r>
      <w:r>
        <w:rPr>
          <w:rFonts w:ascii="Times New Roman" w:hAnsi="Times New Roman"/>
        </w:rPr>
        <w:t>99%</w:t>
      </w:r>
      <w:r>
        <w:rPr>
          <w:rFonts w:hint="eastAsia" w:ascii="Times New Roman" w:hAnsi="Times New Roman"/>
        </w:rPr>
        <w:t>置信水平；</w:t>
      </w:r>
    </w:p>
    <w:p>
      <w:pPr>
        <w:pStyle w:val="138"/>
        <w:numPr>
          <w:ilvl w:val="8"/>
          <w:numId w:val="23"/>
        </w:numPr>
        <w:tabs>
          <w:tab w:val="left" w:pos="567"/>
        </w:tabs>
        <w:ind w:firstLine="1134" w:firstLineChars="540"/>
        <w:rPr>
          <w:rFonts w:ascii="宋体" w:hAnsi="宋体"/>
        </w:rPr>
      </w:pPr>
      <w:r>
        <w:rPr>
          <w:rFonts w:ascii="Times New Roman" w:hAnsi="Times New Roman"/>
          <w:i/>
        </w:rPr>
        <w:t>α</w:t>
      </w:r>
      <w:r>
        <w:rPr>
          <w:rFonts w:ascii="Times New Roman" w:hAnsi="Times New Roman"/>
        </w:rPr>
        <w:t>=0.005</w:t>
      </w:r>
      <w:r>
        <w:rPr>
          <w:rFonts w:hint="eastAsia" w:ascii="Times New Roman" w:hAnsi="Times New Roman"/>
        </w:rPr>
        <w:t>，双侧</w:t>
      </w:r>
      <w:r>
        <w:rPr>
          <w:rFonts w:ascii="Times New Roman" w:hAnsi="Times New Roman"/>
        </w:rPr>
        <w:t>99%</w:t>
      </w:r>
      <w:r>
        <w:rPr>
          <w:rFonts w:hint="eastAsia" w:ascii="Times New Roman" w:hAnsi="Times New Roman"/>
        </w:rPr>
        <w:t>置信水平。</w:t>
      </w:r>
    </w:p>
    <w:p>
      <w:pPr>
        <w:pStyle w:val="138"/>
        <w:numPr>
          <w:ilvl w:val="7"/>
          <w:numId w:val="23"/>
        </w:numPr>
        <w:tabs>
          <w:tab w:val="left" w:pos="567"/>
        </w:tabs>
        <w:ind w:firstLine="420"/>
        <w:rPr>
          <w:rFonts w:ascii="宋体" w:hAnsi="宋体"/>
        </w:rPr>
      </w:pPr>
      <w:r>
        <w:rPr>
          <w:rFonts w:hint="eastAsia" w:ascii="宋体" w:hAnsi="宋体"/>
        </w:rPr>
        <w:t>在表中找到自由度为（</w:t>
      </w:r>
      <w:r>
        <w:rPr>
          <w:rFonts w:ascii="Times New Roman" w:hAnsi="Times New Roman"/>
          <w:i/>
        </w:rPr>
        <w:t>n</w:t>
      </w:r>
      <w:r>
        <w:rPr>
          <w:rFonts w:ascii="Times New Roman" w:hAnsi="Times New Roman"/>
          <w:vertAlign w:val="subscript"/>
        </w:rPr>
        <w:t>1</w:t>
      </w:r>
      <w:r>
        <w:rPr>
          <w:rFonts w:ascii="Times New Roman" w:hAnsi="Times New Roman"/>
        </w:rPr>
        <w:t>-1）那一栏与自由度为（</w:t>
      </w:r>
      <w:r>
        <w:rPr>
          <w:rFonts w:ascii="Times New Roman" w:hAnsi="Times New Roman"/>
          <w:i/>
        </w:rPr>
        <w:t>n</w:t>
      </w:r>
      <w:r>
        <w:rPr>
          <w:rFonts w:ascii="Times New Roman" w:hAnsi="Times New Roman"/>
          <w:vertAlign w:val="subscript"/>
        </w:rPr>
        <w:t>2</w:t>
      </w:r>
      <w:r>
        <w:rPr>
          <w:rFonts w:ascii="Times New Roman" w:hAnsi="Times New Roman"/>
        </w:rPr>
        <w:t>-1</w:t>
      </w:r>
      <w:r>
        <w:rPr>
          <w:rFonts w:hint="eastAsia" w:ascii="宋体" w:hAnsi="宋体"/>
        </w:rPr>
        <w:t>）那一行交叉点处的值，即为自由度为（</w:t>
      </w:r>
      <w:r>
        <w:rPr>
          <w:rFonts w:hint="eastAsia" w:ascii="宋体" w:hAnsi="宋体"/>
          <w:i/>
        </w:rPr>
        <w:t>n</w:t>
      </w:r>
      <w:r>
        <w:rPr>
          <w:rFonts w:hint="eastAsia" w:ascii="宋体" w:hAnsi="宋体"/>
          <w:vertAlign w:val="subscript"/>
        </w:rPr>
        <w:t>1</w:t>
      </w:r>
      <w:r>
        <w:rPr>
          <w:rFonts w:hint="eastAsia" w:ascii="宋体" w:hAnsi="宋体"/>
        </w:rPr>
        <w:t>-1）的</w:t>
      </w:r>
      <w:r>
        <w:rPr>
          <w:rFonts w:hint="eastAsia" w:ascii="宋体" w:hAnsi="宋体"/>
          <w:i/>
        </w:rPr>
        <w:t>s</w:t>
      </w:r>
      <w:r>
        <w:rPr>
          <w:rFonts w:hint="eastAsia" w:ascii="宋体" w:hAnsi="宋体"/>
          <w:vertAlign w:val="subscript"/>
        </w:rPr>
        <w:t>1</w:t>
      </w:r>
      <w:r>
        <w:rPr>
          <w:rFonts w:hint="eastAsia" w:ascii="宋体" w:hAnsi="宋体"/>
        </w:rPr>
        <w:t>的和自由度为（</w:t>
      </w:r>
      <w:r>
        <w:rPr>
          <w:rFonts w:ascii="Times New Roman" w:hAnsi="Times New Roman"/>
          <w:i/>
        </w:rPr>
        <w:t>n</w:t>
      </w:r>
      <w:r>
        <w:rPr>
          <w:rFonts w:ascii="Times New Roman" w:hAnsi="Times New Roman"/>
          <w:vertAlign w:val="subscript"/>
        </w:rPr>
        <w:t>2</w:t>
      </w:r>
      <w:r>
        <w:rPr>
          <w:rFonts w:ascii="Times New Roman" w:hAnsi="Times New Roman"/>
        </w:rPr>
        <w:t>-1</w:t>
      </w:r>
      <w:r>
        <w:rPr>
          <w:rFonts w:hint="eastAsia" w:ascii="宋体" w:hAnsi="宋体"/>
        </w:rPr>
        <w:t>）的</w:t>
      </w:r>
      <w:r>
        <w:rPr>
          <w:rFonts w:hint="eastAsia" w:ascii="宋体" w:hAnsi="宋体"/>
          <w:i/>
        </w:rPr>
        <w:t>s</w:t>
      </w:r>
      <w:r>
        <w:rPr>
          <w:rFonts w:hint="eastAsia" w:ascii="宋体" w:hAnsi="宋体"/>
          <w:vertAlign w:val="subscript"/>
        </w:rPr>
        <w:t>2</w:t>
      </w:r>
      <w:r>
        <w:rPr>
          <w:rFonts w:hint="eastAsia" w:ascii="宋体" w:hAnsi="宋体"/>
        </w:rPr>
        <w:t>的临界</w:t>
      </w:r>
      <w:r>
        <w:rPr>
          <w:rFonts w:hint="eastAsia" w:ascii="宋体" w:hAnsi="宋体"/>
          <w:i/>
        </w:rPr>
        <w:t>F</w:t>
      </w:r>
      <w:r>
        <w:rPr>
          <w:rFonts w:hint="eastAsia" w:ascii="宋体" w:hAnsi="宋体"/>
        </w:rPr>
        <w:t>值。如果计算值大于表中临界值，那么这两个标准差在选定的置信水平下是有差异的。</w:t>
      </w:r>
    </w:p>
    <w:p>
      <w:pPr>
        <w:pStyle w:val="127"/>
        <w:spacing w:after="0" w:afterLines="0"/>
        <w:ind w:left="0"/>
      </w:pPr>
      <w:r>
        <w:rPr>
          <w:rFonts w:hint="eastAsia" w:hAnsi="黑体"/>
        </w:rPr>
        <w:t>选定自由度下</w:t>
      </w:r>
      <w:r>
        <w:rPr>
          <w:rFonts w:hint="eastAsia" w:hAnsi="黑体"/>
          <w:i/>
        </w:rPr>
        <w:t>F</w:t>
      </w:r>
      <w:r>
        <w:rPr>
          <w:rFonts w:hint="eastAsia" w:hAnsi="黑体"/>
        </w:rPr>
        <w:t>检验（Snedecor</w:t>
      </w:r>
      <w:r>
        <w:rPr>
          <w:rFonts w:hAnsi="黑体"/>
        </w:rPr>
        <w:sym w:font="Symbol" w:char="00A2"/>
      </w:r>
      <w:r>
        <w:rPr>
          <w:rFonts w:hint="eastAsia" w:hAnsi="黑体"/>
          <w:i/>
        </w:rPr>
        <w:t>F</w:t>
      </w:r>
      <w:r>
        <w:rPr>
          <w:rFonts w:hint="eastAsia" w:hAnsi="黑体"/>
        </w:rPr>
        <w:t>）值</w:t>
      </w:r>
    </w:p>
    <w:p>
      <w:pPr>
        <w:pStyle w:val="23"/>
        <w:spacing w:line="0" w:lineRule="atLeast"/>
        <w:jc w:val="center"/>
      </w:pPr>
      <w:r>
        <w:rPr>
          <w:rFonts w:hint="eastAsia"/>
        </w:rPr>
        <w:t>(DF</w:t>
      </w:r>
      <w:r>
        <w:rPr>
          <w:rFonts w:hint="eastAsia"/>
          <w:vertAlign w:val="subscript"/>
        </w:rPr>
        <w:t>1</w:t>
      </w:r>
      <w:r>
        <w:rPr>
          <w:rFonts w:hint="eastAsia"/>
        </w:rPr>
        <w:t>=较小的自由度，DF</w:t>
      </w:r>
      <w:r>
        <w:rPr>
          <w:rFonts w:hint="eastAsia" w:ascii="Microsoft YaHei UI" w:hAnsi="Microsoft YaHei UI" w:eastAsia="Microsoft YaHei UI"/>
          <w:vertAlign w:val="subscript"/>
        </w:rPr>
        <w:t>g</w:t>
      </w:r>
      <w:r>
        <w:rPr>
          <w:rFonts w:hint="eastAsia"/>
        </w:rPr>
        <w:t>=较大的自由度)</w:t>
      </w:r>
    </w:p>
    <w:tbl>
      <w:tblPr>
        <w:tblStyle w:val="33"/>
        <w:tblW w:w="5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666"/>
        <w:gridCol w:w="666"/>
        <w:gridCol w:w="666"/>
        <w:gridCol w:w="666"/>
        <w:gridCol w:w="666"/>
        <w:gridCol w:w="666"/>
        <w:gridCol w:w="666"/>
        <w:gridCol w:w="666"/>
        <w:gridCol w:w="666"/>
        <w:gridCol w:w="666"/>
        <w:gridCol w:w="666"/>
        <w:gridCol w:w="666"/>
        <w:gridCol w:w="666"/>
        <w:gridCol w:w="666"/>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00" w:type="pct"/>
            <w:gridSpan w:val="16"/>
            <w:tcBorders>
              <w:top w:val="single" w:color="auto" w:sz="4" w:space="0"/>
              <w:left w:val="single" w:color="auto" w:sz="4" w:space="0"/>
              <w:bottom w:val="single" w:color="auto" w:sz="4" w:space="0"/>
              <w:right w:val="single" w:color="auto" w:sz="4" w:space="0"/>
            </w:tcBorders>
            <w:noWrap/>
            <w:vAlign w:val="center"/>
          </w:tcPr>
          <w:p>
            <w:pPr>
              <w:widowControl/>
              <w:rPr>
                <w:color w:val="000000"/>
                <w:kern w:val="0"/>
                <w:sz w:val="20"/>
                <w:szCs w:val="20"/>
              </w:rPr>
            </w:pPr>
            <w:r>
              <w:rPr>
                <w:sz w:val="20"/>
                <w:szCs w:val="20"/>
              </w:rPr>
              <w:t>a)</w:t>
            </w:r>
            <w:r>
              <w:rPr>
                <w:rFonts w:hint="eastAsia"/>
                <w:sz w:val="20"/>
                <w:szCs w:val="20"/>
              </w:rPr>
              <w:t>单侧检验的</w:t>
            </w:r>
            <w:r>
              <w:rPr>
                <w:i/>
                <w:sz w:val="20"/>
                <w:szCs w:val="20"/>
              </w:rPr>
              <w:t>F</w:t>
            </w:r>
            <w:r>
              <w:rPr>
                <w:sz w:val="20"/>
                <w:szCs w:val="20"/>
                <w:vertAlign w:val="subscript"/>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55" w:type="pct"/>
            <w:tcBorders>
              <w:top w:val="single" w:color="auto" w:sz="4" w:space="0"/>
              <w:left w:val="single" w:color="auto" w:sz="4" w:space="0"/>
              <w:bottom w:val="nil"/>
              <w:right w:val="single" w:color="auto" w:sz="4" w:space="0"/>
            </w:tcBorders>
          </w:tcPr>
          <w:p>
            <w:pPr>
              <w:widowControl/>
              <w:jc w:val="right"/>
              <w:rPr>
                <w:color w:val="000000"/>
                <w:kern w:val="0"/>
                <w:sz w:val="20"/>
                <w:szCs w:val="20"/>
              </w:rPr>
            </w:pPr>
            <w:r>
              <w:rPr>
                <w:color w:val="000000"/>
                <w:kern w:val="0"/>
                <w:sz w:val="20"/>
                <w:szCs w:val="20"/>
              </w:rPr>
              <w:t>DF</w:t>
            </w:r>
            <w:r>
              <w:rPr>
                <w:color w:val="000000"/>
                <w:kern w:val="0"/>
                <w:sz w:val="20"/>
                <w:szCs w:val="20"/>
                <w:vertAlign w:val="subscript"/>
              </w:rPr>
              <w:t>1</w:t>
            </w:r>
          </w:p>
        </w:tc>
        <w:tc>
          <w:tcPr>
            <w:tcW w:w="4745" w:type="pct"/>
            <w:gridSpan w:val="15"/>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18"/>
                <w:szCs w:val="18"/>
              </w:rPr>
              <w:t>DF</w:t>
            </w:r>
            <w:r>
              <w:rPr>
                <w:rFonts w:hint="eastAsia" w:ascii="Microsoft YaHei UI" w:hAnsi="Microsoft YaHei UI" w:eastAsia="Microsoft YaHei UI"/>
                <w:color w:val="000000"/>
                <w:kern w:val="0"/>
                <w:sz w:val="18"/>
                <w:szCs w:val="18"/>
                <w:vertAlign w:val="subscript"/>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tcBorders>
              <w:top w:val="nil"/>
              <w:left w:val="single" w:color="auto" w:sz="4" w:space="0"/>
              <w:bottom w:val="single" w:color="auto" w:sz="4" w:space="0"/>
              <w:right w:val="single" w:color="auto" w:sz="4" w:space="0"/>
            </w:tcBorders>
          </w:tcPr>
          <w:p>
            <w:pPr>
              <w:widowControl/>
              <w:jc w:val="center"/>
              <w:rPr>
                <w:color w:val="000000"/>
                <w:kern w:val="0"/>
                <w:sz w:val="20"/>
                <w:szCs w:val="20"/>
              </w:rPr>
            </w:pP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3</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4</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5</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6</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7</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8</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10</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12</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15</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20</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24</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30</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40</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60</w:t>
            </w:r>
          </w:p>
        </w:tc>
        <w:tc>
          <w:tcPr>
            <w:tcW w:w="316"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0"/>
                <w:szCs w:val="20"/>
              </w:rPr>
            </w:pPr>
            <w:r>
              <w:rPr>
                <w:color w:val="000000"/>
                <w:kern w:val="0"/>
                <w:sz w:val="2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3</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9.28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9.12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9.01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8.94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8.89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8.85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8.79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8.74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8.80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8.66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8.64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8.62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8.59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8.57 </w:t>
            </w:r>
          </w:p>
        </w:tc>
        <w:tc>
          <w:tcPr>
            <w:tcW w:w="316" w:type="pct"/>
            <w:tcBorders>
              <w:top w:val="single" w:color="auto" w:sz="4" w:space="0"/>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8.55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4</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6.59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6.39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6.26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6.16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6.09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6.04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5.96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5.91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5.86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5.80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5.77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5.75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5.72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5.69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5.66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5</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5.41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5.19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5.05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4.95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4.88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4.82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4.74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4.68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4.62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4.56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4.53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4.50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4.46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4.43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6</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4.76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4.53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4.39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4.28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4.21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4.15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4.06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4.00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3.94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3.87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3.84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3.81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3.77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3.74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7</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4.35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4.12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3.97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3.87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3.79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3.73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3.64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3.57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3.51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3.44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3.41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3.38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3.34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3.30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8</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4.07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3.84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3.69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3.58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3.50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3.44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3.35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3.28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3.22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3.15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3.12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3.08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3.04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3.01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10</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3.71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3.48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3.33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3.22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3.14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3.07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2.98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2.91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2.85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2.77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2.74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2.70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2.66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2.62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12</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3.49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3.26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3.11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3.00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2.91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2.85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2.75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2.69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2.62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2.54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2.51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2.47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2.43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2.38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15</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3.29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3.06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2.90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2.79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2.71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2.64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2.54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2.48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2.40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2.33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2.29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2.25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2.20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2.46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20</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3.10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2.87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2.71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2.60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2.51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2.45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2.35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2.28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2.20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2.12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2.08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2.04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1.99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1.95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24</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3.01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2.78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2.62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2.51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2.42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2.36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2.25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2.18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2.11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2.03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1.98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1.94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1.89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1.84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30</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2.92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2.69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2.53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2.42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2.33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2.27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2.16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2.09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2.01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1.93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1.89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1.84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1.79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1.74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40</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2.84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2.61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2.45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2.34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2.25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2.18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2.08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2.00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1.92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1.84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1.79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1.74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1.69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1.64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60</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2.76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2.53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2.37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2.25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2.17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2.10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1.99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1.92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1.84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1.75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1.70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1.65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1.59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1.53 </w:t>
            </w:r>
          </w:p>
        </w:tc>
        <w:tc>
          <w:tcPr>
            <w:tcW w:w="316" w:type="pct"/>
            <w:tcBorders>
              <w:top w:val="nil"/>
              <w:left w:val="single" w:color="auto" w:sz="4" w:space="0"/>
              <w:bottom w:val="nil"/>
              <w:right w:val="single" w:color="auto" w:sz="4" w:space="0"/>
            </w:tcBorders>
            <w:noWrap/>
          </w:tcPr>
          <w:p>
            <w:pPr>
              <w:widowControl/>
              <w:jc w:val="right"/>
              <w:rPr>
                <w:color w:val="000000"/>
                <w:kern w:val="0"/>
                <w:sz w:val="20"/>
                <w:szCs w:val="20"/>
              </w:rPr>
            </w:pPr>
            <w:r>
              <w:rPr>
                <w:color w:val="000000"/>
                <w:kern w:val="0"/>
                <w:sz w:val="20"/>
                <w:szCs w:val="20"/>
              </w:rPr>
              <w:t xml:space="preserve">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120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2.68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2.45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2.29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2.17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2.09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2.02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1.91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1.83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1.75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1.66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1.61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1.55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1.50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1.43 </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00" w:type="pct"/>
            <w:gridSpan w:val="16"/>
            <w:tcBorders>
              <w:top w:val="single" w:color="auto" w:sz="4" w:space="0"/>
              <w:left w:val="single" w:color="auto" w:sz="4" w:space="0"/>
              <w:bottom w:val="single" w:color="auto" w:sz="4" w:space="0"/>
              <w:right w:val="single" w:color="auto" w:sz="4" w:space="0"/>
            </w:tcBorders>
            <w:noWrap/>
            <w:vAlign w:val="center"/>
          </w:tcPr>
          <w:p>
            <w:pPr>
              <w:widowControl/>
              <w:rPr>
                <w:color w:val="000000"/>
                <w:kern w:val="0"/>
                <w:sz w:val="20"/>
                <w:szCs w:val="20"/>
              </w:rPr>
            </w:pPr>
            <w:r>
              <w:rPr>
                <w:rFonts w:hint="eastAsia" w:ascii="宋体" w:hAnsi="宋体"/>
                <w:kern w:val="0"/>
                <w:sz w:val="20"/>
                <w:szCs w:val="20"/>
              </w:rPr>
              <w:t>b)双侧检验的</w:t>
            </w:r>
            <w:r>
              <w:rPr>
                <w:rFonts w:hint="eastAsia" w:ascii="宋体" w:hAnsi="宋体"/>
                <w:i/>
                <w:kern w:val="0"/>
                <w:sz w:val="20"/>
                <w:szCs w:val="20"/>
              </w:rPr>
              <w:t>F</w:t>
            </w:r>
            <w:r>
              <w:rPr>
                <w:rFonts w:hint="eastAsia" w:ascii="宋体" w:hAnsi="宋体"/>
                <w:kern w:val="0"/>
                <w:sz w:val="20"/>
                <w:szCs w:val="20"/>
                <w:vertAlign w:val="subscript"/>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DF</w:t>
            </w:r>
            <w:r>
              <w:rPr>
                <w:rFonts w:hint="eastAsia"/>
                <w:color w:val="000000"/>
                <w:kern w:val="0"/>
                <w:sz w:val="20"/>
                <w:szCs w:val="20"/>
                <w:vertAlign w:val="subscript"/>
              </w:rPr>
              <w:t>1</w:t>
            </w:r>
          </w:p>
        </w:tc>
        <w:tc>
          <w:tcPr>
            <w:tcW w:w="4745" w:type="pct"/>
            <w:gridSpan w:val="15"/>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18"/>
                <w:szCs w:val="18"/>
              </w:rPr>
              <w:t>DF</w:t>
            </w:r>
            <w:r>
              <w:rPr>
                <w:rFonts w:hint="eastAsia" w:ascii="Microsoft YaHei UI" w:hAnsi="Microsoft YaHei UI" w:eastAsia="Microsoft YaHei UI"/>
                <w:color w:val="000000"/>
                <w:kern w:val="0"/>
                <w:sz w:val="18"/>
                <w:szCs w:val="18"/>
                <w:vertAlign w:val="subscript"/>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3</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4</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5</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6</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7</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8</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10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12</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15</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20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24</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30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40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60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rFonts w:hint="eastAsia"/>
                <w:color w:val="000000"/>
                <w:kern w:val="0"/>
                <w:sz w:val="2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15.44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15.10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14.88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14.43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14.62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14.54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14.42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14.34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14.25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14.17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14.12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14.08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14.04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13.99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9.98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9.60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9.36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9.20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9.07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8.98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8.84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8.75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8.66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8.56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8.51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8.46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8.41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8.36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7.76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7.39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7.15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6.98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6.85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6.76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6.62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6.52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6.43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6.33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6.28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6.23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6.18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6.12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6.60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6.23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5.99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5.82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5.70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5.60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5.46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5.37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5.27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5.17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5.12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5.07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5.01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4.96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5.89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5.52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5.29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5.12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4.99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4.90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4.76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4.67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4.57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4.47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4.42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4.36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4.31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4.25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5.42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5.05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4.82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4.65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4.53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4.43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4.30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4.20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4.10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4.00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3.95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3.89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3.84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3.78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4.83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4.47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4.24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4.07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3.95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3.85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3.72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3.62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3.52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3.42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3.37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3.31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3.26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3.20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4.47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4.12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3.89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3.73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3.61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3.51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3.37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3.28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3.18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3.07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3.02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2.96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2.91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2.85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4.15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3.80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3.58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3.41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3.29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3.20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3.06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2.96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2.86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2.76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2.70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2.64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2.59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2.52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3.86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3.51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3.29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3.13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3.01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2.91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2.77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2.68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2.57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2.46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2.41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2.35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2.29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2.22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3.72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3.38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3.15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2.99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2.87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2.78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2.64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2.54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2.44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2.33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2.27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2.21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2.15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2.08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3.59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3.25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3.03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2.87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2.75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2.65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2.51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2.41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2.31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2.20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2.14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2.07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2.01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1.94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3.46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3.13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2.90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2.74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2.62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2.53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2.39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2.29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2.18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2.07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2.01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1.94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1.88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1.80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3.34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3.01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2.79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2.63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2.51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2.41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2.27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2.17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2.06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1.94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1.88</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1.82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1.74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1.67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120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3.23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2.89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2.67</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2.52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2.39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2.30</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2.16</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2.05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1.94</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1.82</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1.75</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1.69</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1.61</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1.53</w:t>
            </w:r>
          </w:p>
        </w:tc>
        <w:tc>
          <w:tcPr>
            <w:tcW w:w="316" w:type="pct"/>
            <w:tcBorders>
              <w:top w:val="nil"/>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00" w:type="pct"/>
            <w:gridSpan w:val="16"/>
            <w:tcBorders>
              <w:top w:val="single" w:color="auto" w:sz="4" w:space="0"/>
              <w:left w:val="single" w:color="auto" w:sz="4" w:space="0"/>
              <w:bottom w:val="single" w:color="auto" w:sz="4" w:space="0"/>
              <w:right w:val="single" w:color="auto" w:sz="4" w:space="0"/>
            </w:tcBorders>
            <w:noWrap/>
            <w:vAlign w:val="center"/>
          </w:tcPr>
          <w:p>
            <w:pPr>
              <w:widowControl/>
              <w:rPr>
                <w:color w:val="000000"/>
                <w:kern w:val="0"/>
                <w:sz w:val="20"/>
                <w:szCs w:val="20"/>
              </w:rPr>
            </w:pPr>
            <w:r>
              <w:rPr>
                <w:color w:val="000000"/>
                <w:kern w:val="0"/>
                <w:sz w:val="20"/>
                <w:szCs w:val="20"/>
              </w:rPr>
              <w:t>c)</w:t>
            </w:r>
            <w:r>
              <w:rPr>
                <w:rFonts w:hint="eastAsia"/>
                <w:color w:val="000000"/>
                <w:kern w:val="0"/>
                <w:sz w:val="20"/>
                <w:szCs w:val="20"/>
              </w:rPr>
              <w:t>单侧检验</w:t>
            </w:r>
            <w:r>
              <w:rPr>
                <w:i/>
                <w:color w:val="000000"/>
                <w:kern w:val="0"/>
                <w:sz w:val="20"/>
                <w:szCs w:val="20"/>
              </w:rPr>
              <w:t>F</w:t>
            </w:r>
            <w:r>
              <w:rPr>
                <w:color w:val="000000"/>
                <w:kern w:val="0"/>
                <w:sz w:val="20"/>
                <w:szCs w:val="20"/>
                <w:vertAlign w:val="subscript"/>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DF</w:t>
            </w:r>
            <w:r>
              <w:rPr>
                <w:color w:val="000000"/>
                <w:kern w:val="0"/>
                <w:sz w:val="20"/>
                <w:szCs w:val="20"/>
                <w:vertAlign w:val="subscript"/>
              </w:rPr>
              <w:t>l</w:t>
            </w:r>
          </w:p>
        </w:tc>
        <w:tc>
          <w:tcPr>
            <w:tcW w:w="4745" w:type="pct"/>
            <w:gridSpan w:val="15"/>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18"/>
                <w:szCs w:val="18"/>
              </w:rPr>
              <w:t>DF</w:t>
            </w:r>
            <w:r>
              <w:rPr>
                <w:rFonts w:hint="eastAsia" w:ascii="Microsoft YaHei UI" w:hAnsi="Microsoft YaHei UI" w:eastAsia="Microsoft YaHei UI"/>
                <w:color w:val="000000"/>
                <w:kern w:val="0"/>
                <w:sz w:val="18"/>
                <w:szCs w:val="18"/>
                <w:vertAlign w:val="subscript"/>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3</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4</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5</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6</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7</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8</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10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12</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15</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20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24</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30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40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60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29.46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28.70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28.24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27.91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27.67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27.49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27.23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27.05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26.87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26.69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26.60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26.50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26.41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26.32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16.69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15.98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15.52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15.21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14.98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15.80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14.55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14.37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14.20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14.02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13.93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13.84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13.75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13.65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13.56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5</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12.06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11.39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10.97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10.67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10.46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10.29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10.05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9.89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9.72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9.55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9.47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9.38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9.29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9.20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9.11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9.78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9.15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8.75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8.47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8.26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8.10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7.87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7.72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7.56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7.40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7.31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7.23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7.14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7.06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6.97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7</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8.45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7.85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7.46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7.19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6.99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6.84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6.62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6.47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6.31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6.16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6.07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5.99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5.91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5.82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8</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7.59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7.01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6.63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6.37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6.18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6.03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5.81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5.67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5.52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5.36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5.28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5.20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5.12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5.03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10</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6.55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5.99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5.64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5.39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5.20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5.06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4.85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4.71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4.56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4.41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4.33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4.25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4.17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4.08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12</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5.95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5.41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5.06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4.82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4.64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4.50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4.30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4.16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4.01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3.86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3.78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3.70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3.62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3.54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15</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5.42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4.89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4.56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4.32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4.14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4.00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3.80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3.67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3.52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3.37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3.29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3.21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3.13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3.05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20</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4.94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4.43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4.10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3.87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3.70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3.56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3.37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3.23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3.09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2.94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2.86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2.78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24</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4.72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4.22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3.90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3.67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3.50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3.36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3.17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3.03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2.89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2.74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2.58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2.49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2.40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30</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4.51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4.02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3.70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3.47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3.30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3.17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2.98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2.84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2.70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2.55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2.47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2.39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2.30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2.21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40</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4.31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3.83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3.51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3.29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3.12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2.99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2.80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2.52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2.37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2.29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2.20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2.11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2.02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60</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4.13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3.65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3.34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3.12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2.95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2.82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2.50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2.35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2.20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2.12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2.03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1.94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1.84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120</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3.95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3.48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3.17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2.96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2.79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2.66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2.47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2.34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2.19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2.03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1.95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1.86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1.76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1.66 </w:t>
            </w:r>
          </w:p>
        </w:tc>
        <w:tc>
          <w:tcPr>
            <w:tcW w:w="316"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 xml:space="preserve">1.53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00" w:type="pct"/>
            <w:gridSpan w:val="16"/>
            <w:tcBorders>
              <w:top w:val="single" w:color="auto" w:sz="4" w:space="0"/>
              <w:left w:val="single" w:color="auto" w:sz="4" w:space="0"/>
              <w:bottom w:val="single" w:color="auto" w:sz="4" w:space="0"/>
              <w:right w:val="single" w:color="auto" w:sz="4" w:space="0"/>
            </w:tcBorders>
            <w:noWrap/>
            <w:vAlign w:val="center"/>
          </w:tcPr>
          <w:p>
            <w:pPr>
              <w:widowControl/>
              <w:rPr>
                <w:color w:val="000000"/>
                <w:kern w:val="0"/>
                <w:sz w:val="20"/>
                <w:szCs w:val="20"/>
              </w:rPr>
            </w:pPr>
            <w:r>
              <w:rPr>
                <w:rFonts w:hint="eastAsia" w:ascii="宋体" w:hAnsi="宋体" w:cs="宋体"/>
                <w:color w:val="000000"/>
                <w:kern w:val="0"/>
                <w:sz w:val="20"/>
                <w:szCs w:val="20"/>
              </w:rPr>
              <w:t>d) 双侧检验</w:t>
            </w:r>
            <w:r>
              <w:rPr>
                <w:rFonts w:hint="eastAsia" w:ascii="宋体" w:hAnsi="宋体" w:cs="宋体"/>
                <w:i/>
                <w:color w:val="000000"/>
                <w:kern w:val="0"/>
                <w:sz w:val="20"/>
                <w:szCs w:val="20"/>
              </w:rPr>
              <w:t>F</w:t>
            </w:r>
            <w:r>
              <w:rPr>
                <w:rFonts w:hint="eastAsia" w:ascii="宋体" w:hAnsi="宋体" w:cs="宋体"/>
                <w:color w:val="000000"/>
                <w:kern w:val="0"/>
                <w:sz w:val="20"/>
                <w:szCs w:val="20"/>
                <w:vertAlign w:val="subscript"/>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color w:val="000000"/>
                <w:kern w:val="0"/>
                <w:sz w:val="20"/>
                <w:szCs w:val="20"/>
              </w:rPr>
              <w:t>DF</w:t>
            </w:r>
            <w:r>
              <w:rPr>
                <w:color w:val="000000"/>
                <w:kern w:val="0"/>
                <w:sz w:val="20"/>
                <w:szCs w:val="20"/>
                <w:vertAlign w:val="subscript"/>
              </w:rPr>
              <w:t>l</w:t>
            </w:r>
          </w:p>
        </w:tc>
        <w:tc>
          <w:tcPr>
            <w:tcW w:w="4745" w:type="pct"/>
            <w:gridSpan w:val="15"/>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18"/>
                <w:szCs w:val="18"/>
              </w:rPr>
              <w:t>DF</w:t>
            </w:r>
            <w:r>
              <w:rPr>
                <w:rFonts w:hint="eastAsia" w:ascii="Microsoft YaHei UI" w:hAnsi="Microsoft YaHei UI" w:eastAsia="Microsoft YaHei UI"/>
                <w:color w:val="000000"/>
                <w:kern w:val="0"/>
                <w:sz w:val="18"/>
                <w:szCs w:val="18"/>
                <w:vertAlign w:val="subscript"/>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3</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4</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5</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6</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7</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8</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10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12</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15</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20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24</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30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40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60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color w:val="000000"/>
                <w:kern w:val="0"/>
                <w:sz w:val="20"/>
                <w:szCs w:val="20"/>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3</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47.47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46.19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45.39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44.84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44.43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44.13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43.69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43.39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43.08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42.78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42.62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42.47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42.31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42.15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41.99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4</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24.26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23.15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22.46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21.97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21.62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21.35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20.97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20.70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20.44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20.17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20.03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19.89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19.75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19.61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19.47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5</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16.53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15.56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14.94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14.51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14.20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13.96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13.62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13.38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13.15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12.90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12.78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12.66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12.53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12.40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12.27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6</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12.92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12.03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11.46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11.07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10.76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10.57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10.25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10.03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9.81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9.59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9.47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9.36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9.24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9.12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7</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10.88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10.05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9.52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9.16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8.89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8.68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8.38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8.18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7.97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7.75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7.65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7.53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7.42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7.31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8</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9.60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8.81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8.30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7.95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7.69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7.50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7.21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7.01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6.81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6.61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6.50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6.40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6.29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6.18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10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8.08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7.34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6.87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6.54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6.30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6.12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5.85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5.66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5.47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5.27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5.17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5.07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4.97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4.86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12</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7.23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6.52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6.07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5.76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5.52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5.35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5.09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4.91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4.72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4.53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4.43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4.33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4.23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4.12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15</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6.48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5.80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5.37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5.07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4.85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4.67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4.42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4.25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4.07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3.88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3.79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3.69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3.58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3.48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20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5.82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5.17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4.76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4.47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4.26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4.09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3.85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3.68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3.50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3.32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3.22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3.12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3.02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2.92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24</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5.52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4.89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4.49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4.20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3.99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3.83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3.59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3.42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3.25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3.06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2.97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2.87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2.77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2.66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30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5.24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4.62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4.23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3.95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3.74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3.58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3.34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3.18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3.01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2.82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2.73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2.63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2.52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2.42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40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4.98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4.37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3.99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3.71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3.51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3.35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3.12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2.95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2.78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2.60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2.50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2.40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2.30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2.18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60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4.73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4.14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3.76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3.49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3.29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3.13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2.90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2.74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2.57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2.39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2.29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2.19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2.08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1.96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5" w:type="pct"/>
            <w:tcBorders>
              <w:top w:val="single" w:color="auto" w:sz="4" w:space="0"/>
              <w:left w:val="single" w:color="auto" w:sz="4" w:space="0"/>
              <w:bottom w:val="single" w:color="auto" w:sz="4" w:space="0"/>
              <w:right w:val="single" w:color="auto" w:sz="4" w:space="0"/>
            </w:tcBorders>
            <w:noWrap/>
          </w:tcPr>
          <w:p>
            <w:pPr>
              <w:widowControl/>
              <w:jc w:val="right"/>
              <w:rPr>
                <w:color w:val="000000"/>
                <w:kern w:val="0"/>
                <w:sz w:val="20"/>
                <w:szCs w:val="20"/>
              </w:rPr>
            </w:pPr>
            <w:r>
              <w:rPr>
                <w:rFonts w:hint="eastAsia"/>
                <w:color w:val="000000"/>
                <w:kern w:val="0"/>
                <w:sz w:val="20"/>
                <w:szCs w:val="20"/>
              </w:rPr>
              <w:t>120</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4.50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3.92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3.55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3.28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3.09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2.93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2.71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2.54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2.37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2.19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2.09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1.98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1.87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1.75 </w:t>
            </w:r>
          </w:p>
        </w:tc>
        <w:tc>
          <w:tcPr>
            <w:tcW w:w="316" w:type="pct"/>
            <w:tcBorders>
              <w:top w:val="single" w:color="auto" w:sz="4" w:space="0"/>
              <w:left w:val="single" w:color="auto" w:sz="4" w:space="0"/>
              <w:bottom w:val="single" w:color="auto" w:sz="4" w:space="0"/>
              <w:right w:val="single" w:color="auto" w:sz="4" w:space="0"/>
            </w:tcBorders>
            <w:noWrap/>
            <w:vAlign w:val="center"/>
          </w:tcPr>
          <w:p>
            <w:pPr>
              <w:widowControl/>
              <w:jc w:val="right"/>
              <w:rPr>
                <w:color w:val="000000"/>
                <w:kern w:val="0"/>
                <w:sz w:val="20"/>
                <w:szCs w:val="20"/>
              </w:rPr>
            </w:pPr>
            <w:r>
              <w:rPr>
                <w:rFonts w:hint="eastAsia"/>
                <w:color w:val="000000"/>
                <w:kern w:val="0"/>
                <w:sz w:val="20"/>
                <w:szCs w:val="20"/>
              </w:rPr>
              <w:t xml:space="preserve">1.61 </w:t>
            </w:r>
          </w:p>
        </w:tc>
      </w:tr>
    </w:tbl>
    <w:p>
      <w:pPr>
        <w:pStyle w:val="23"/>
      </w:pPr>
    </w:p>
    <w:p>
      <w:pPr>
        <w:pStyle w:val="42"/>
      </w:pPr>
      <w:bookmarkStart w:id="224" w:name="_Toc124173934"/>
      <w:r>
        <w:rPr>
          <w:rFonts w:hint="eastAsia"/>
        </w:rPr>
        <w:t>橡胶试验的应用</w:t>
      </w:r>
      <w:bookmarkEnd w:id="224"/>
    </w:p>
    <w:p>
      <w:pPr>
        <w:pStyle w:val="46"/>
        <w:spacing w:before="156" w:after="156"/>
      </w:pPr>
      <w:r>
        <w:rPr>
          <w:rFonts w:hint="eastAsia"/>
        </w:rPr>
        <w:t>概述</w:t>
      </w:r>
    </w:p>
    <w:p>
      <w:pPr>
        <w:tabs>
          <w:tab w:val="left" w:pos="567"/>
        </w:tabs>
        <w:spacing w:before="156" w:beforeLines="50" w:after="156" w:afterLines="50"/>
        <w:ind w:firstLine="420" w:firstLineChars="200"/>
        <w:rPr>
          <w:rFonts w:ascii="宋体" w:hAnsi="宋体"/>
        </w:rPr>
      </w:pPr>
      <w:r>
        <w:rPr>
          <w:rFonts w:hint="eastAsia" w:ascii="宋体" w:hAnsi="宋体"/>
        </w:rPr>
        <w:t>了解数据的置信限可以对数据中的差异进行客观的评估。这方面的例子在7.3.2和7.3.3中给出。</w:t>
      </w:r>
    </w:p>
    <w:p>
      <w:pPr>
        <w:pStyle w:val="46"/>
        <w:spacing w:before="156" w:after="156"/>
      </w:pPr>
      <w:r>
        <w:rPr>
          <w:rFonts w:hint="eastAsia"/>
        </w:rPr>
        <w:t>置信限和指标限值</w:t>
      </w:r>
    </w:p>
    <w:p>
      <w:pPr>
        <w:tabs>
          <w:tab w:val="left" w:pos="567"/>
        </w:tabs>
        <w:spacing w:before="156" w:beforeLines="50" w:after="156" w:afterLines="50"/>
        <w:ind w:firstLine="420" w:firstLineChars="200"/>
        <w:rPr>
          <w:rFonts w:ascii="宋体" w:hAnsi="宋体"/>
        </w:rPr>
      </w:pPr>
      <w:r>
        <w:rPr>
          <w:rFonts w:hint="eastAsia" w:ascii="宋体" w:hAnsi="宋体"/>
        </w:rPr>
        <w:t>在按ISO 3384进行的应力松弛试验中，针对指标要求的7d最大应力松弛20%试验了三种混炼胶。结果在表16中给出。</w:t>
      </w:r>
    </w:p>
    <w:p>
      <w:pPr>
        <w:pStyle w:val="127"/>
        <w:ind w:left="0"/>
      </w:pPr>
      <w:r>
        <w:rPr>
          <w:rFonts w:hint="eastAsia" w:hAnsi="黑体"/>
        </w:rPr>
        <w:t>应力松弛百分率</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4"/>
        <w:gridCol w:w="1594"/>
        <w:gridCol w:w="1596"/>
        <w:gridCol w:w="1596"/>
        <w:gridCol w:w="1597"/>
        <w:gridCol w:w="1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3" w:type="pct"/>
            <w:vMerge w:val="restar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混炼胶</w:t>
            </w:r>
          </w:p>
        </w:tc>
        <w:tc>
          <w:tcPr>
            <w:tcW w:w="2500" w:type="pct"/>
            <w:gridSpan w:val="3"/>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试样</w:t>
            </w:r>
          </w:p>
        </w:tc>
        <w:tc>
          <w:tcPr>
            <w:tcW w:w="834" w:type="pct"/>
            <w:vMerge w:val="restar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平均值</w:t>
            </w:r>
          </w:p>
        </w:tc>
        <w:tc>
          <w:tcPr>
            <w:tcW w:w="834" w:type="pct"/>
            <w:vMerge w:val="restar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标准差,</w:t>
            </w:r>
            <w:r>
              <w:rPr>
                <w:rFonts w:hint="eastAsia" w:ascii="宋体" w:hAnsi="宋体"/>
                <w:i/>
                <w:sz w:val="18"/>
                <w:szCs w:val="18"/>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3" w:type="pct"/>
            <w:vMerge w:val="continue"/>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left"/>
              <w:rPr>
                <w:rFonts w:ascii="宋体" w:hAnsi="宋体"/>
                <w:sz w:val="18"/>
                <w:szCs w:val="18"/>
              </w:rPr>
            </w:pPr>
          </w:p>
        </w:tc>
        <w:tc>
          <w:tcPr>
            <w:tcW w:w="833"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1</w:t>
            </w:r>
          </w:p>
        </w:tc>
        <w:tc>
          <w:tcPr>
            <w:tcW w:w="834"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2</w:t>
            </w:r>
          </w:p>
        </w:tc>
        <w:tc>
          <w:tcPr>
            <w:tcW w:w="834"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3</w:t>
            </w:r>
          </w:p>
        </w:tc>
        <w:tc>
          <w:tcPr>
            <w:tcW w:w="834" w:type="pct"/>
            <w:vMerge w:val="continue"/>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left"/>
              <w:rPr>
                <w:rFonts w:ascii="宋体" w:hAnsi="宋体"/>
                <w:sz w:val="18"/>
                <w:szCs w:val="18"/>
              </w:rPr>
            </w:pPr>
          </w:p>
        </w:tc>
        <w:tc>
          <w:tcPr>
            <w:tcW w:w="834" w:type="pct"/>
            <w:vMerge w:val="continue"/>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left"/>
              <w:rPr>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3"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22.10</w:t>
            </w:r>
          </w:p>
        </w:tc>
        <w:tc>
          <w:tcPr>
            <w:tcW w:w="834"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22.60</w:t>
            </w:r>
          </w:p>
        </w:tc>
        <w:tc>
          <w:tcPr>
            <w:tcW w:w="834"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22.80</w:t>
            </w:r>
          </w:p>
        </w:tc>
        <w:tc>
          <w:tcPr>
            <w:tcW w:w="834"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22.50</w:t>
            </w:r>
          </w:p>
        </w:tc>
        <w:tc>
          <w:tcPr>
            <w:tcW w:w="834"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33"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17.50</w:t>
            </w:r>
          </w:p>
        </w:tc>
        <w:tc>
          <w:tcPr>
            <w:tcW w:w="834"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19.70</w:t>
            </w:r>
          </w:p>
        </w:tc>
        <w:tc>
          <w:tcPr>
            <w:tcW w:w="834"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18.50</w:t>
            </w:r>
          </w:p>
        </w:tc>
        <w:tc>
          <w:tcPr>
            <w:tcW w:w="834"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18.60</w:t>
            </w:r>
          </w:p>
        </w:tc>
        <w:tc>
          <w:tcPr>
            <w:tcW w:w="834"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3"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13.70</w:t>
            </w:r>
          </w:p>
        </w:tc>
        <w:tc>
          <w:tcPr>
            <w:tcW w:w="834"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14.30</w:t>
            </w:r>
          </w:p>
        </w:tc>
        <w:tc>
          <w:tcPr>
            <w:tcW w:w="834"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15.90</w:t>
            </w:r>
          </w:p>
        </w:tc>
        <w:tc>
          <w:tcPr>
            <w:tcW w:w="834"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14.60</w:t>
            </w:r>
          </w:p>
        </w:tc>
        <w:tc>
          <w:tcPr>
            <w:tcW w:w="834"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1.14</w:t>
            </w:r>
          </w:p>
        </w:tc>
      </w:tr>
    </w:tbl>
    <w:p>
      <w:pPr>
        <w:pStyle w:val="23"/>
      </w:pPr>
    </w:p>
    <w:p>
      <w:pPr>
        <w:pStyle w:val="23"/>
      </w:pPr>
      <w:r>
        <w:rPr>
          <w:rFonts w:hint="eastAsia"/>
        </w:rPr>
        <w:t>直观检查结果可以看出，混炼胶1失败了，混炼胶2和3通过了。然而，混炼胶2的平均值接近于限值（即一个标准差），这导致其真实状态不那么清楚。</w:t>
      </w:r>
    </w:p>
    <w:p>
      <w:pPr>
        <w:pStyle w:val="23"/>
      </w:pPr>
      <w:r>
        <w:rPr>
          <w:rFonts w:hint="eastAsia"/>
        </w:rPr>
        <w:t>每个混炼胶在95%显著性水平的置信</w:t>
      </w:r>
      <w:r>
        <w:rPr>
          <w:rFonts w:hint="eastAsia"/>
          <w:color w:val="FF0000"/>
        </w:rPr>
        <w:t>上</w:t>
      </w:r>
      <w:r>
        <w:rPr>
          <w:rFonts w:hint="eastAsia"/>
        </w:rPr>
        <w:t>限用式（22）计算：</w:t>
      </w:r>
    </w:p>
    <w:p>
      <w:pPr>
        <w:pStyle w:val="23"/>
        <w:rPr>
          <w:rFonts w:ascii="Times New Roman"/>
        </w:rPr>
      </w:pPr>
      <w:r>
        <w:rPr>
          <w:rFonts w:ascii="Times New Roman"/>
          <w:i/>
        </w:rPr>
        <w:t>C</w:t>
      </w:r>
      <w:r>
        <w:rPr>
          <w:rFonts w:ascii="Times New Roman"/>
          <w:color w:val="FF0000"/>
          <w:vertAlign w:val="subscript"/>
        </w:rPr>
        <w:t>u</w:t>
      </w:r>
      <w:r>
        <w:rPr>
          <w:rFonts w:ascii="Times New Roman"/>
        </w:rPr>
        <w:t xml:space="preserve"> = </w:t>
      </w:r>
      <w:r>
        <w:rPr>
          <w:rFonts w:ascii="Times New Roman"/>
          <w:i/>
        </w:rPr>
        <w:t xml:space="preserve">x </w:t>
      </w:r>
      <w:r>
        <w:rPr>
          <w:rFonts w:ascii="Times New Roman"/>
        </w:rPr>
        <w:t>+ (</w:t>
      </w:r>
      <w:r>
        <w:rPr>
          <w:rFonts w:ascii="Times New Roman"/>
          <w:i/>
        </w:rPr>
        <w:t>t</w:t>
      </w:r>
      <w:r>
        <w:rPr>
          <w:rFonts w:ascii="Times New Roman"/>
          <w:vertAlign w:val="subscript"/>
        </w:rPr>
        <w:t>0.95</w:t>
      </w:r>
      <w:r>
        <w:rPr>
          <w:rFonts w:ascii="Times New Roman"/>
          <w:i/>
        </w:rPr>
        <w:t>s</w:t>
      </w:r>
      <w:r>
        <w:rPr>
          <w:rFonts w:ascii="Times New Roman"/>
        </w:rPr>
        <w:t>)/</w:t>
      </w:r>
      <w:r>
        <w:rPr>
          <w:rFonts w:ascii="Times New Roman"/>
        </w:rPr>
        <w:fldChar w:fldCharType="begin"/>
      </w:r>
      <w:r>
        <w:rPr>
          <w:rFonts w:ascii="Times New Roman"/>
        </w:rPr>
        <w:instrText xml:space="preserve"> eq \r(,</w:instrText>
      </w:r>
      <w:r>
        <w:rPr>
          <w:rFonts w:ascii="Times New Roman"/>
          <w:i/>
        </w:rPr>
        <w:instrText xml:space="preserve">n</w:instrText>
      </w:r>
      <w:r>
        <w:rPr>
          <w:rFonts w:ascii="Times New Roman"/>
        </w:rPr>
        <w:instrText xml:space="preserve">) </w:instrText>
      </w:r>
      <w:r>
        <w:rPr>
          <w:rFonts w:ascii="Times New Roman"/>
        </w:rPr>
        <w:fldChar w:fldCharType="end"/>
      </w:r>
      <w:r>
        <w:rPr>
          <w:rFonts w:ascii="Times New Roman"/>
        </w:rPr>
        <w:t xml:space="preserve">                                                         (22)</w:t>
      </w:r>
    </w:p>
    <w:p>
      <w:pPr>
        <w:pStyle w:val="23"/>
      </w:pPr>
      <w:r>
        <w:rPr>
          <w:rFonts w:hint="eastAsia"/>
        </w:rPr>
        <w:t>因此，对于</w:t>
      </w:r>
      <w:r>
        <w:rPr>
          <w:i/>
        </w:rPr>
        <w:t>s</w:t>
      </w:r>
      <w:r>
        <w:rPr>
          <w:rFonts w:hint="eastAsia"/>
        </w:rPr>
        <w:t>为</w:t>
      </w:r>
      <w:r>
        <w:t>0.36</w:t>
      </w:r>
      <w:r>
        <w:rPr>
          <w:rFonts w:hint="eastAsia"/>
        </w:rPr>
        <w:t>的混炼胶</w:t>
      </w:r>
      <w:r>
        <w:t>1</w:t>
      </w:r>
      <w:r>
        <w:rPr>
          <w:rFonts w:hint="eastAsia"/>
        </w:rPr>
        <w:t>的值为：</w:t>
      </w:r>
    </w:p>
    <w:p>
      <w:pPr>
        <w:pStyle w:val="23"/>
      </w:pPr>
      <w:r>
        <w:rPr>
          <w:i/>
        </w:rPr>
        <w:t>C</w:t>
      </w:r>
      <w:r>
        <w:rPr>
          <w:color w:val="FF0000"/>
          <w:vertAlign w:val="subscript"/>
        </w:rPr>
        <w:t>u</w:t>
      </w:r>
      <w:r>
        <w:rPr>
          <w:vertAlign w:val="subscript"/>
        </w:rPr>
        <w:t xml:space="preserve"> </w:t>
      </w:r>
      <w:r>
        <w:t>= 22.5 + (2.92 × 0.36/</w:t>
      </w:r>
      <w:r>
        <w:fldChar w:fldCharType="begin"/>
      </w:r>
      <w:r>
        <w:instrText xml:space="preserve"> eq \r(,3) </w:instrText>
      </w:r>
      <w:r>
        <w:fldChar w:fldCharType="end"/>
      </w:r>
      <w:r>
        <w:t>)</w:t>
      </w:r>
    </w:p>
    <w:p>
      <w:pPr>
        <w:pStyle w:val="23"/>
      </w:pPr>
      <w:r>
        <w:rPr>
          <w:i/>
        </w:rPr>
        <w:t>C</w:t>
      </w:r>
      <w:r>
        <w:rPr>
          <w:color w:val="FF0000"/>
          <w:vertAlign w:val="subscript"/>
        </w:rPr>
        <w:t>u</w:t>
      </w:r>
      <w:r>
        <w:t xml:space="preserve"> = 23.1</w:t>
      </w:r>
    </w:p>
    <w:p>
      <w:pPr>
        <w:pStyle w:val="23"/>
        <w:rPr>
          <w:kern w:val="2"/>
        </w:rPr>
      </w:pPr>
      <w:r>
        <w:rPr>
          <w:rFonts w:hint="eastAsia"/>
        </w:rPr>
        <w:t>同样的，全部混炼胶能够导出表</w:t>
      </w:r>
      <w:r>
        <w:t>17</w:t>
      </w:r>
      <w:r>
        <w:rPr>
          <w:rFonts w:hint="eastAsia"/>
        </w:rPr>
        <w:t>。</w:t>
      </w:r>
    </w:p>
    <w:p>
      <w:pPr>
        <w:pStyle w:val="23"/>
      </w:pPr>
    </w:p>
    <w:p>
      <w:pPr>
        <w:pStyle w:val="127"/>
        <w:ind w:left="0"/>
      </w:pPr>
      <w:r>
        <w:rPr>
          <w:rFonts w:hint="eastAsia"/>
        </w:rPr>
        <w:t>应力松弛百分率的置信上限</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91"/>
        <w:gridCol w:w="2394"/>
        <w:gridCol w:w="2391"/>
        <w:gridCol w:w="2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tcBorders>
              <w:top w:val="single" w:color="auto" w:sz="4" w:space="0"/>
              <w:left w:val="single" w:color="auto" w:sz="4" w:space="0"/>
              <w:bottom w:val="nil"/>
              <w:right w:val="single" w:color="auto" w:sz="4" w:space="0"/>
            </w:tcBorders>
          </w:tcPr>
          <w:p>
            <w:pPr>
              <w:tabs>
                <w:tab w:val="left" w:pos="567"/>
                <w:tab w:val="center" w:pos="4201"/>
                <w:tab w:val="right" w:leader="dot" w:pos="9298"/>
              </w:tabs>
              <w:autoSpaceDE w:val="0"/>
              <w:autoSpaceDN w:val="0"/>
              <w:ind w:firstLine="360" w:firstLineChars="200"/>
              <w:jc w:val="center"/>
              <w:rPr>
                <w:color w:val="FF0000"/>
                <w:sz w:val="18"/>
                <w:szCs w:val="18"/>
              </w:rPr>
            </w:pPr>
            <w:r>
              <w:rPr>
                <w:rFonts w:hint="eastAsia"/>
                <w:color w:val="FF0000"/>
                <w:sz w:val="18"/>
                <w:szCs w:val="18"/>
              </w:rPr>
              <w:t>置信水平</w:t>
            </w:r>
          </w:p>
        </w:tc>
        <w:tc>
          <w:tcPr>
            <w:tcW w:w="3751" w:type="pct"/>
            <w:gridSpan w:val="3"/>
            <w:tcBorders>
              <w:top w:val="single" w:color="auto" w:sz="4" w:space="0"/>
              <w:left w:val="single" w:color="auto" w:sz="4" w:space="0"/>
              <w:bottom w:val="nil"/>
              <w:right w:val="single" w:color="auto" w:sz="4" w:space="0"/>
            </w:tcBorders>
          </w:tcPr>
          <w:p>
            <w:pPr>
              <w:tabs>
                <w:tab w:val="left" w:pos="567"/>
                <w:tab w:val="center" w:pos="4201"/>
                <w:tab w:val="right" w:leader="dot" w:pos="9298"/>
              </w:tabs>
              <w:autoSpaceDE w:val="0"/>
              <w:autoSpaceDN w:val="0"/>
              <w:ind w:firstLine="360" w:firstLineChars="200"/>
              <w:jc w:val="center"/>
              <w:rPr>
                <w:color w:val="FF0000"/>
                <w:sz w:val="18"/>
                <w:szCs w:val="18"/>
              </w:rPr>
            </w:pPr>
            <w:r>
              <w:rPr>
                <w:rFonts w:hint="eastAsia"/>
                <w:color w:val="FF0000"/>
                <w:sz w:val="18"/>
                <w:szCs w:val="18"/>
              </w:rPr>
              <w:t>混炼胶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tcBorders>
              <w:top w:val="nil"/>
              <w:left w:val="single" w:color="auto" w:sz="4" w:space="0"/>
              <w:bottom w:val="single" w:color="auto" w:sz="4" w:space="0"/>
              <w:right w:val="single" w:color="auto" w:sz="4" w:space="0"/>
            </w:tcBorders>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w:t>
            </w:r>
          </w:p>
        </w:tc>
        <w:tc>
          <w:tcPr>
            <w:tcW w:w="1251" w:type="pct"/>
            <w:tcBorders>
              <w:top w:val="nil"/>
              <w:left w:val="single" w:color="auto" w:sz="4" w:space="0"/>
              <w:bottom w:val="single" w:color="auto" w:sz="4" w:space="0"/>
              <w:right w:val="single" w:color="auto" w:sz="4" w:space="0"/>
            </w:tcBorders>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1</w:t>
            </w:r>
          </w:p>
        </w:tc>
        <w:tc>
          <w:tcPr>
            <w:tcW w:w="1249" w:type="pct"/>
            <w:tcBorders>
              <w:top w:val="nil"/>
              <w:left w:val="single" w:color="auto" w:sz="4" w:space="0"/>
              <w:bottom w:val="single" w:color="auto" w:sz="4" w:space="0"/>
              <w:right w:val="single" w:color="auto" w:sz="4" w:space="0"/>
            </w:tcBorders>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2</w:t>
            </w:r>
          </w:p>
        </w:tc>
        <w:tc>
          <w:tcPr>
            <w:tcW w:w="1251" w:type="pct"/>
            <w:tcBorders>
              <w:top w:val="nil"/>
              <w:left w:val="single" w:color="auto" w:sz="4" w:space="0"/>
              <w:bottom w:val="single" w:color="auto" w:sz="4" w:space="0"/>
              <w:right w:val="single" w:color="auto" w:sz="4" w:space="0"/>
            </w:tcBorders>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tcBorders>
              <w:top w:val="single" w:color="auto" w:sz="4" w:space="0"/>
              <w:left w:val="single" w:color="auto" w:sz="4" w:space="0"/>
              <w:bottom w:val="single" w:color="auto" w:sz="4" w:space="0"/>
              <w:right w:val="single" w:color="auto" w:sz="4" w:space="0"/>
            </w:tcBorders>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90</w:t>
            </w:r>
          </w:p>
        </w:tc>
        <w:tc>
          <w:tcPr>
            <w:tcW w:w="1251" w:type="pct"/>
            <w:tcBorders>
              <w:top w:val="single" w:color="auto" w:sz="4" w:space="0"/>
              <w:left w:val="nil"/>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22.9</w:t>
            </w:r>
          </w:p>
        </w:tc>
        <w:tc>
          <w:tcPr>
            <w:tcW w:w="1249"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19.8</w:t>
            </w:r>
          </w:p>
        </w:tc>
        <w:tc>
          <w:tcPr>
            <w:tcW w:w="1251"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tcBorders>
              <w:top w:val="single" w:color="auto" w:sz="4" w:space="0"/>
              <w:left w:val="single" w:color="auto" w:sz="4" w:space="0"/>
              <w:bottom w:val="single" w:color="auto" w:sz="4" w:space="0"/>
              <w:right w:val="single" w:color="auto" w:sz="4" w:space="0"/>
            </w:tcBorders>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95</w:t>
            </w:r>
          </w:p>
        </w:tc>
        <w:tc>
          <w:tcPr>
            <w:tcW w:w="1251" w:type="pct"/>
            <w:tcBorders>
              <w:top w:val="single" w:color="auto" w:sz="4" w:space="0"/>
              <w:left w:val="nil"/>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23.1</w:t>
            </w:r>
          </w:p>
        </w:tc>
        <w:tc>
          <w:tcPr>
            <w:tcW w:w="1249"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20.4</w:t>
            </w:r>
          </w:p>
        </w:tc>
        <w:tc>
          <w:tcPr>
            <w:tcW w:w="1251"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16.6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tcBorders>
              <w:top w:val="single" w:color="auto" w:sz="4" w:space="0"/>
              <w:left w:val="single" w:color="auto" w:sz="4" w:space="0"/>
              <w:bottom w:val="single" w:color="auto" w:sz="4" w:space="0"/>
              <w:right w:val="single" w:color="auto" w:sz="4" w:space="0"/>
            </w:tcBorders>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99</w:t>
            </w:r>
          </w:p>
        </w:tc>
        <w:tc>
          <w:tcPr>
            <w:tcW w:w="1251" w:type="pct"/>
            <w:tcBorders>
              <w:top w:val="single" w:color="auto" w:sz="4" w:space="0"/>
              <w:left w:val="nil"/>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23.95</w:t>
            </w:r>
          </w:p>
        </w:tc>
        <w:tc>
          <w:tcPr>
            <w:tcW w:w="1249"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23.0</w:t>
            </w:r>
          </w:p>
        </w:tc>
        <w:tc>
          <w:tcPr>
            <w:tcW w:w="1251" w:type="pct"/>
            <w:tcBorders>
              <w:top w:val="single" w:color="auto" w:sz="4" w:space="0"/>
              <w:left w:val="single" w:color="auto" w:sz="4" w:space="0"/>
              <w:bottom w:val="single" w:color="auto" w:sz="4" w:space="0"/>
              <w:right w:val="single" w:color="auto" w:sz="4" w:space="0"/>
            </w:tcBorders>
            <w:vAlign w:val="center"/>
          </w:tcPr>
          <w:p>
            <w:pPr>
              <w:tabs>
                <w:tab w:val="left" w:pos="567"/>
                <w:tab w:val="center" w:pos="4201"/>
                <w:tab w:val="right" w:leader="dot" w:pos="9298"/>
              </w:tabs>
              <w:autoSpaceDE w:val="0"/>
              <w:autoSpaceDN w:val="0"/>
              <w:ind w:firstLine="360" w:firstLineChars="200"/>
              <w:jc w:val="center"/>
              <w:rPr>
                <w:color w:val="FF0000"/>
                <w:sz w:val="18"/>
                <w:szCs w:val="18"/>
              </w:rPr>
            </w:pPr>
            <w:r>
              <w:rPr>
                <w:color w:val="FF0000"/>
                <w:sz w:val="18"/>
                <w:szCs w:val="18"/>
              </w:rPr>
              <w:t>19.2</w:t>
            </w:r>
          </w:p>
        </w:tc>
      </w:tr>
    </w:tbl>
    <w:p>
      <w:pPr>
        <w:pStyle w:val="23"/>
      </w:pPr>
    </w:p>
    <w:p>
      <w:pPr>
        <w:pStyle w:val="23"/>
      </w:pPr>
      <w:r>
        <w:rPr>
          <w:rFonts w:hint="eastAsia"/>
        </w:rPr>
        <w:t>从这些限值可以看出，从90%到</w:t>
      </w:r>
      <w:r>
        <w:t>99%的都</w:t>
      </w:r>
      <w:r>
        <w:rPr>
          <w:rFonts w:hint="eastAsia"/>
        </w:rPr>
        <w:t>确定混炼胶</w:t>
      </w:r>
      <w:r>
        <w:t>1</w:t>
      </w:r>
      <w:r>
        <w:rPr>
          <w:rFonts w:hint="eastAsia"/>
        </w:rPr>
        <w:t>失败、混炼胶</w:t>
      </w:r>
      <w:r>
        <w:t>3</w:t>
      </w:r>
      <w:r>
        <w:rPr>
          <w:rFonts w:hint="eastAsia"/>
        </w:rPr>
        <w:t>符合规范要求。然而，混炼胶</w:t>
      </w:r>
      <w:r>
        <w:t>2</w:t>
      </w:r>
      <w:r>
        <w:rPr>
          <w:rFonts w:hint="eastAsia"/>
        </w:rPr>
        <w:t>仅有</w:t>
      </w:r>
      <w:r>
        <w:t>90%的</w:t>
      </w:r>
      <w:r>
        <w:rPr>
          <w:rFonts w:hint="eastAsia"/>
        </w:rPr>
        <w:t>确定符合规范要求。</w:t>
      </w:r>
    </w:p>
    <w:p>
      <w:pPr>
        <w:pStyle w:val="23"/>
      </w:pPr>
      <w:r>
        <w:rPr>
          <w:rFonts w:hint="eastAsia"/>
        </w:rPr>
        <w:t>如果再测试三个混炼胶</w:t>
      </w:r>
      <w:r>
        <w:t>2</w:t>
      </w:r>
      <w:r>
        <w:rPr>
          <w:rFonts w:hint="eastAsia"/>
        </w:rPr>
        <w:t>的试样，或许能得到更确切的结论。（例如，如果用附加的测试得到了相同的平均值和标准差，相应的置信限值会是</w:t>
      </w:r>
      <w:r>
        <w:t>19.3</w:t>
      </w:r>
      <w:r>
        <w:rPr>
          <w:rFonts w:hint="eastAsia"/>
        </w:rPr>
        <w:t>、</w:t>
      </w:r>
      <w:r>
        <w:t>19.5</w:t>
      </w:r>
      <w:r>
        <w:rPr>
          <w:rFonts w:hint="eastAsia"/>
        </w:rPr>
        <w:t>和</w:t>
      </w:r>
      <w:r>
        <w:t>20.1</w:t>
      </w:r>
      <w:r>
        <w:rPr>
          <w:rFonts w:hint="eastAsia"/>
        </w:rPr>
        <w:t>。这给出了是介于</w:t>
      </w:r>
      <w:r>
        <w:t>95%</w:t>
      </w:r>
      <w:r>
        <w:rPr>
          <w:rFonts w:hint="eastAsia"/>
        </w:rPr>
        <w:t>和</w:t>
      </w:r>
      <w:r>
        <w:t>99%</w:t>
      </w:r>
      <w:r>
        <w:rPr>
          <w:rFonts w:hint="eastAsia"/>
        </w:rPr>
        <w:t>之间的置信值，混炼胶</w:t>
      </w:r>
      <w:r>
        <w:t>2</w:t>
      </w:r>
      <w:r>
        <w:rPr>
          <w:rFonts w:hint="eastAsia"/>
        </w:rPr>
        <w:t>通过。）</w:t>
      </w:r>
    </w:p>
    <w:p>
      <w:pPr>
        <w:pStyle w:val="46"/>
        <w:spacing w:before="156" w:after="156"/>
      </w:pPr>
      <w:r>
        <w:rPr>
          <w:rFonts w:hint="eastAsia"/>
        </w:rPr>
        <w:t>结果的比较</w:t>
      </w:r>
    </w:p>
    <w:p>
      <w:pPr>
        <w:pStyle w:val="23"/>
      </w:pPr>
      <w:r>
        <w:rPr>
          <w:rFonts w:hint="eastAsia"/>
        </w:rPr>
        <w:t>某一等级橡胶混炼胶</w:t>
      </w:r>
      <w:r>
        <w:t>(</w:t>
      </w:r>
      <w:r>
        <w:rPr>
          <w:rFonts w:hint="eastAsia"/>
        </w:rPr>
        <w:t>混炼胶</w:t>
      </w:r>
      <w:r>
        <w:t>1)</w:t>
      </w:r>
      <w:r>
        <w:rPr>
          <w:rFonts w:hint="eastAsia"/>
        </w:rPr>
        <w:t>的供货方和采购方按照</w:t>
      </w:r>
      <w:r>
        <w:t>ISO 34-1:2004</w:t>
      </w:r>
      <w:r>
        <w:rPr>
          <w:rFonts w:hint="eastAsia"/>
        </w:rPr>
        <w:t>方法</w:t>
      </w:r>
      <w:r>
        <w:t>B</w:t>
      </w:r>
      <w:r>
        <w:rPr>
          <w:rFonts w:hint="eastAsia"/>
        </w:rPr>
        <w:t>对相同批次进行撕裂试验，以评估其一致性。两个实验室得到的结果在表</w:t>
      </w:r>
      <w:r>
        <w:t>18</w:t>
      </w:r>
      <w:r>
        <w:rPr>
          <w:rFonts w:hint="eastAsia"/>
        </w:rPr>
        <w:t>中给出。在考虑混炼胶</w:t>
      </w:r>
      <w:r>
        <w:t>1</w:t>
      </w:r>
      <w:r>
        <w:rPr>
          <w:rFonts w:hint="eastAsia"/>
        </w:rPr>
        <w:t>的结果时，</w:t>
      </w:r>
      <w:r>
        <w:rPr>
          <w:rFonts w:hint="eastAsia"/>
          <w:color w:val="FF0000"/>
        </w:rPr>
        <w:t>可以看出平均值的差超过了</w:t>
      </w:r>
      <w:r>
        <w:rPr>
          <w:i/>
          <w:color w:val="FF0000"/>
        </w:rPr>
        <w:t>t</w:t>
      </w:r>
      <w:r>
        <w:rPr>
          <w:color w:val="FF0000"/>
          <w:vertAlign w:val="subscript"/>
        </w:rPr>
        <w:t>0.95</w:t>
      </w:r>
      <w:r>
        <w:rPr>
          <w:i/>
          <w:color w:val="FF0000"/>
        </w:rPr>
        <w:t>S</w:t>
      </w:r>
      <w:r>
        <w:rPr>
          <w:color w:val="FF0000"/>
        </w:rPr>
        <w:t>的</w:t>
      </w:r>
      <w:r>
        <w:rPr>
          <w:rFonts w:hint="eastAsia"/>
          <w:color w:val="FF0000"/>
        </w:rPr>
        <w:t>乘积，所以超过</w:t>
      </w:r>
      <w:r>
        <w:rPr>
          <w:color w:val="FF0000"/>
        </w:rPr>
        <w:t>95%</w:t>
      </w:r>
      <w:r>
        <w:rPr>
          <w:rFonts w:hint="eastAsia"/>
          <w:color w:val="FF0000"/>
        </w:rPr>
        <w:t>可以确定两个实验室没有产生统计学上等效的数据</w:t>
      </w:r>
      <w:r>
        <w:rPr>
          <w:rFonts w:hint="eastAsia"/>
        </w:rPr>
        <w:t>。</w:t>
      </w:r>
    </w:p>
    <w:p>
      <w:pPr>
        <w:pStyle w:val="23"/>
      </w:pPr>
      <w:r>
        <w:rPr>
          <w:rFonts w:hint="eastAsia"/>
        </w:rPr>
        <w:t>用不同的混炼胶（混炼胶</w:t>
      </w:r>
      <w:r>
        <w:t>2</w:t>
      </w:r>
      <w:r>
        <w:rPr>
          <w:rFonts w:hint="eastAsia"/>
        </w:rPr>
        <w:t>）进行了相同的试验，其结果也在表</w:t>
      </w:r>
      <w:r>
        <w:t>18</w:t>
      </w:r>
      <w:r>
        <w:rPr>
          <w:rFonts w:hint="eastAsia"/>
        </w:rPr>
        <w:t>中给出。</w:t>
      </w:r>
    </w:p>
    <w:p>
      <w:pPr>
        <w:pStyle w:val="23"/>
      </w:pPr>
      <w:r>
        <w:rPr>
          <w:rFonts w:hint="eastAsia"/>
        </w:rPr>
        <w:t>关于混炼胶</w:t>
      </w:r>
      <w:r>
        <w:t>2</w:t>
      </w:r>
      <w:r>
        <w:rPr>
          <w:rFonts w:hint="eastAsia"/>
        </w:rPr>
        <w:t>，平均值的差接近</w:t>
      </w:r>
      <w:r>
        <w:t>99%</w:t>
      </w:r>
      <w:r>
        <w:rPr>
          <w:rFonts w:hint="eastAsia"/>
        </w:rPr>
        <w:t>的显著性水平。由于实验室</w:t>
      </w:r>
      <w:r>
        <w:t>(Lab)1</w:t>
      </w:r>
      <w:r>
        <w:rPr>
          <w:rFonts w:hint="eastAsia"/>
        </w:rPr>
        <w:t>在这两种情况下都产生了较低的强度，因此很可能，尽管仅根据两组结果并不能确定，实验室之间有系统的差异。这可能是由于切口深度的不同或力传感器的误差造成的。在这种情况下，宜努力找出原因并纠正任何不足之处。</w:t>
      </w:r>
    </w:p>
    <w:p>
      <w:pPr>
        <w:pStyle w:val="127"/>
        <w:spacing w:after="0" w:afterLines="0"/>
        <w:ind w:left="0"/>
      </w:pPr>
      <w:r>
        <w:rPr>
          <w:rFonts w:hint="eastAsia" w:hAnsi="黑体"/>
          <w:szCs w:val="21"/>
        </w:rPr>
        <w:t>撕裂试验</w:t>
      </w:r>
    </w:p>
    <w:p>
      <w:pPr>
        <w:tabs>
          <w:tab w:val="left" w:pos="567"/>
        </w:tabs>
        <w:jc w:val="right"/>
        <w:rPr>
          <w:rFonts w:ascii="宋体" w:hAnsi="宋体"/>
          <w:sz w:val="18"/>
          <w:szCs w:val="18"/>
        </w:rPr>
      </w:pPr>
      <w:r>
        <w:rPr>
          <w:rFonts w:hint="eastAsia" w:ascii="宋体" w:hAnsi="宋体"/>
          <w:sz w:val="18"/>
          <w:szCs w:val="18"/>
        </w:rPr>
        <w:t>单位:N/mm</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490"/>
        <w:gridCol w:w="678"/>
        <w:gridCol w:w="678"/>
        <w:gridCol w:w="678"/>
        <w:gridCol w:w="678"/>
        <w:gridCol w:w="678"/>
        <w:gridCol w:w="710"/>
        <w:gridCol w:w="1208"/>
        <w:gridCol w:w="735"/>
        <w:gridCol w:w="653"/>
        <w:gridCol w:w="817"/>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r>
              <w:rPr>
                <w:rFonts w:hint="eastAsia"/>
                <w:sz w:val="18"/>
                <w:szCs w:val="18"/>
              </w:rPr>
              <w:t>混炼胶</w:t>
            </w:r>
          </w:p>
        </w:tc>
        <w:tc>
          <w:tcPr>
            <w:tcW w:w="256"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r>
              <w:rPr>
                <w:rFonts w:hint="eastAsia"/>
                <w:sz w:val="18"/>
                <w:szCs w:val="18"/>
              </w:rPr>
              <w:t>试样</w:t>
            </w:r>
          </w:p>
        </w:tc>
        <w:tc>
          <w:tcPr>
            <w:tcW w:w="708" w:type="pct"/>
            <w:gridSpan w:val="2"/>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r>
              <w:rPr>
                <w:rFonts w:hint="eastAsia"/>
                <w:sz w:val="18"/>
                <w:szCs w:val="18"/>
              </w:rPr>
              <w:t>撕裂</w:t>
            </w:r>
          </w:p>
          <w:p>
            <w:pPr>
              <w:tabs>
                <w:tab w:val="left" w:pos="567"/>
              </w:tabs>
              <w:spacing w:line="0" w:lineRule="atLeast"/>
              <w:jc w:val="center"/>
              <w:rPr>
                <w:sz w:val="18"/>
                <w:szCs w:val="18"/>
              </w:rPr>
            </w:pPr>
            <w:r>
              <w:rPr>
                <w:rFonts w:hint="eastAsia"/>
                <w:sz w:val="18"/>
                <w:szCs w:val="18"/>
              </w:rPr>
              <w:t>测量值</w:t>
            </w:r>
          </w:p>
        </w:tc>
        <w:tc>
          <w:tcPr>
            <w:tcW w:w="708" w:type="pct"/>
            <w:gridSpan w:val="2"/>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r>
              <w:rPr>
                <w:rFonts w:hint="eastAsia"/>
                <w:sz w:val="18"/>
                <w:szCs w:val="18"/>
              </w:rPr>
              <w:t>平均值</w:t>
            </w:r>
          </w:p>
          <w:p>
            <w:pPr>
              <w:tabs>
                <w:tab w:val="left" w:pos="567"/>
              </w:tabs>
              <w:spacing w:before="156" w:beforeLines="50" w:after="156" w:afterLines="50"/>
              <w:jc w:val="center"/>
              <w:rPr>
                <w:szCs w:val="21"/>
              </w:rPr>
            </w:pPr>
            <w:r>
              <w:rPr>
                <w:szCs w:val="21"/>
              </w:rPr>
              <w:sym w:font="Symbol" w:char="0060"/>
            </w:r>
            <w:r>
              <w:rPr>
                <w:szCs w:val="21"/>
              </w:rPr>
              <w:t>x</w:t>
            </w:r>
          </w:p>
        </w:tc>
        <w:tc>
          <w:tcPr>
            <w:tcW w:w="725" w:type="pct"/>
            <w:gridSpan w:val="2"/>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r>
              <w:rPr>
                <w:rFonts w:hint="eastAsia"/>
                <w:sz w:val="18"/>
                <w:szCs w:val="18"/>
              </w:rPr>
              <w:t>标准差</w:t>
            </w:r>
          </w:p>
          <w:p>
            <w:pPr>
              <w:tabs>
                <w:tab w:val="left" w:pos="567"/>
              </w:tabs>
              <w:spacing w:line="0" w:lineRule="atLeast"/>
              <w:jc w:val="center"/>
              <w:rPr>
                <w:szCs w:val="21"/>
              </w:rPr>
            </w:pPr>
          </w:p>
          <w:p>
            <w:pPr>
              <w:tabs>
                <w:tab w:val="left" w:pos="567"/>
              </w:tabs>
              <w:spacing w:line="0" w:lineRule="atLeast"/>
              <w:jc w:val="center"/>
              <w:rPr>
                <w:i/>
                <w:szCs w:val="21"/>
              </w:rPr>
            </w:pPr>
            <w:r>
              <w:rPr>
                <w:i/>
                <w:szCs w:val="21"/>
              </w:rPr>
              <w:t>s</w:t>
            </w:r>
          </w:p>
        </w:tc>
        <w:tc>
          <w:tcPr>
            <w:tcW w:w="631"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r>
              <w:rPr>
                <w:rFonts w:hint="eastAsia"/>
                <w:sz w:val="18"/>
                <w:szCs w:val="18"/>
              </w:rPr>
              <w:t>平均值差</w:t>
            </w:r>
          </w:p>
          <w:p>
            <w:pPr>
              <w:tabs>
                <w:tab w:val="left" w:pos="567"/>
              </w:tabs>
              <w:spacing w:line="0" w:lineRule="atLeast"/>
              <w:rPr>
                <w:sz w:val="18"/>
                <w:szCs w:val="18"/>
              </w:rPr>
            </w:pPr>
            <w:r>
              <w:rPr>
                <w:rFonts w:hint="eastAsia"/>
                <w:sz w:val="18"/>
                <w:szCs w:val="18"/>
              </w:rPr>
              <w:t>（绝对值）</w:t>
            </w:r>
          </w:p>
          <w:p>
            <w:pPr>
              <w:tabs>
                <w:tab w:val="left" w:pos="567"/>
              </w:tabs>
              <w:spacing w:line="0" w:lineRule="atLeast"/>
              <w:rPr>
                <w:szCs w:val="21"/>
              </w:rPr>
            </w:pPr>
            <w:r>
              <w:rPr>
                <w:sz w:val="18"/>
                <w:szCs w:val="18"/>
              </w:rPr>
              <w:t xml:space="preserve"> </w:t>
            </w:r>
            <w:r>
              <w:rPr>
                <w:szCs w:val="21"/>
              </w:rPr>
              <w:t>|</w:t>
            </w:r>
            <w:r>
              <w:rPr>
                <w:szCs w:val="21"/>
              </w:rPr>
              <w:sym w:font="Symbol" w:char="0060"/>
            </w:r>
            <w:r>
              <w:rPr>
                <w:i/>
                <w:szCs w:val="21"/>
              </w:rPr>
              <w:t>x</w:t>
            </w:r>
            <w:r>
              <w:rPr>
                <w:szCs w:val="21"/>
                <w:vertAlign w:val="subscript"/>
              </w:rPr>
              <w:t>1</w:t>
            </w:r>
            <w:r>
              <w:rPr>
                <w:szCs w:val="21"/>
              </w:rPr>
              <w:t>-</w:t>
            </w:r>
            <w:r>
              <w:rPr>
                <w:szCs w:val="21"/>
              </w:rPr>
              <w:sym w:font="Symbol" w:char="0060"/>
            </w:r>
            <w:r>
              <w:rPr>
                <w:i/>
                <w:szCs w:val="21"/>
              </w:rPr>
              <w:t>x</w:t>
            </w:r>
            <w:r>
              <w:rPr>
                <w:szCs w:val="21"/>
                <w:vertAlign w:val="subscript"/>
              </w:rPr>
              <w:t>2</w:t>
            </w:r>
            <w:r>
              <w:rPr>
                <w:szCs w:val="21"/>
              </w:rPr>
              <w:t>|</w:t>
            </w:r>
          </w:p>
        </w:tc>
        <w:tc>
          <w:tcPr>
            <w:tcW w:w="384"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r>
              <w:rPr>
                <w:rFonts w:hint="eastAsia"/>
                <w:sz w:val="18"/>
                <w:szCs w:val="18"/>
              </w:rPr>
              <w:t>标准误差</w:t>
            </w:r>
          </w:p>
        </w:tc>
        <w:tc>
          <w:tcPr>
            <w:tcW w:w="341"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r>
              <w:rPr>
                <w:rFonts w:hint="eastAsia"/>
                <w:sz w:val="18"/>
                <w:szCs w:val="18"/>
              </w:rPr>
              <w:t>自由度</w:t>
            </w:r>
          </w:p>
        </w:tc>
        <w:tc>
          <w:tcPr>
            <w:tcW w:w="427" w:type="pct"/>
            <w:tcBorders>
              <w:top w:val="single" w:color="auto" w:sz="4" w:space="0"/>
              <w:left w:val="single" w:color="auto" w:sz="4" w:space="0"/>
              <w:bottom w:val="nil"/>
              <w:right w:val="single" w:color="auto" w:sz="4" w:space="0"/>
            </w:tcBorders>
          </w:tcPr>
          <w:p>
            <w:pPr>
              <w:tabs>
                <w:tab w:val="left" w:pos="567"/>
              </w:tabs>
              <w:spacing w:before="156" w:beforeLines="50" w:after="156" w:afterLines="50"/>
              <w:rPr>
                <w:szCs w:val="21"/>
              </w:rPr>
            </w:pPr>
            <w:r>
              <w:rPr>
                <w:i/>
                <w:szCs w:val="21"/>
              </w:rPr>
              <w:t>t</w:t>
            </w:r>
            <w:r>
              <w:rPr>
                <w:szCs w:val="21"/>
                <w:vertAlign w:val="subscript"/>
              </w:rPr>
              <w:t>0.95</w:t>
            </w:r>
          </w:p>
        </w:tc>
        <w:tc>
          <w:tcPr>
            <w:tcW w:w="481" w:type="pct"/>
            <w:tcBorders>
              <w:top w:val="single" w:color="auto" w:sz="4" w:space="0"/>
              <w:left w:val="single" w:color="auto" w:sz="4" w:space="0"/>
              <w:bottom w:val="nil"/>
              <w:right w:val="single" w:color="auto" w:sz="4" w:space="0"/>
            </w:tcBorders>
          </w:tcPr>
          <w:p>
            <w:pPr>
              <w:tabs>
                <w:tab w:val="left" w:pos="567"/>
              </w:tabs>
              <w:spacing w:before="156" w:beforeLines="50" w:after="156" w:afterLines="50"/>
              <w:rPr>
                <w:szCs w:val="21"/>
              </w:rPr>
            </w:pPr>
            <w:r>
              <w:rPr>
                <w:i/>
                <w:szCs w:val="21"/>
              </w:rPr>
              <w:t>t</w:t>
            </w:r>
            <w:r>
              <w:rPr>
                <w:szCs w:val="21"/>
                <w:vertAlign w:val="subscript"/>
              </w:rPr>
              <w:t>0.95</w:t>
            </w:r>
            <w:r>
              <w:rPr>
                <w:i/>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nil"/>
              <w:left w:val="single" w:color="auto" w:sz="4" w:space="0"/>
              <w:bottom w:val="single" w:color="auto" w:sz="4" w:space="0"/>
              <w:right w:val="single" w:color="auto" w:sz="4" w:space="0"/>
            </w:tcBorders>
          </w:tcPr>
          <w:p>
            <w:pPr>
              <w:tabs>
                <w:tab w:val="left" w:pos="567"/>
              </w:tabs>
              <w:spacing w:line="0" w:lineRule="atLeast"/>
              <w:rPr>
                <w:sz w:val="18"/>
                <w:szCs w:val="18"/>
              </w:rPr>
            </w:pPr>
          </w:p>
        </w:tc>
        <w:tc>
          <w:tcPr>
            <w:tcW w:w="256" w:type="pct"/>
            <w:tcBorders>
              <w:top w:val="nil"/>
              <w:left w:val="single" w:color="auto" w:sz="4" w:space="0"/>
              <w:bottom w:val="single" w:color="auto" w:sz="4" w:space="0"/>
              <w:right w:val="single" w:color="auto" w:sz="4" w:space="0"/>
            </w:tcBorders>
          </w:tcPr>
          <w:p>
            <w:pPr>
              <w:tabs>
                <w:tab w:val="left" w:pos="567"/>
              </w:tabs>
              <w:spacing w:line="0" w:lineRule="atLeast"/>
              <w:rPr>
                <w:sz w:val="18"/>
                <w:szCs w:val="18"/>
              </w:rPr>
            </w:pPr>
          </w:p>
        </w:tc>
        <w:tc>
          <w:tcPr>
            <w:tcW w:w="354" w:type="pct"/>
            <w:tcBorders>
              <w:top w:val="nil"/>
              <w:left w:val="single" w:color="auto" w:sz="4" w:space="0"/>
              <w:bottom w:val="single" w:color="auto" w:sz="4" w:space="0"/>
              <w:right w:val="single" w:color="auto" w:sz="4" w:space="0"/>
            </w:tcBorders>
          </w:tcPr>
          <w:p>
            <w:pPr>
              <w:tabs>
                <w:tab w:val="left" w:pos="567"/>
              </w:tabs>
              <w:spacing w:line="0" w:lineRule="atLeast"/>
              <w:rPr>
                <w:sz w:val="18"/>
                <w:szCs w:val="18"/>
              </w:rPr>
            </w:pPr>
            <w:r>
              <w:rPr>
                <w:sz w:val="18"/>
                <w:szCs w:val="18"/>
              </w:rPr>
              <w:t>Lab1</w:t>
            </w:r>
          </w:p>
        </w:tc>
        <w:tc>
          <w:tcPr>
            <w:tcW w:w="354" w:type="pct"/>
            <w:tcBorders>
              <w:top w:val="nil"/>
              <w:left w:val="single" w:color="auto" w:sz="4" w:space="0"/>
              <w:bottom w:val="single" w:color="auto" w:sz="4" w:space="0"/>
              <w:right w:val="single" w:color="auto" w:sz="4" w:space="0"/>
            </w:tcBorders>
          </w:tcPr>
          <w:p>
            <w:pPr>
              <w:tabs>
                <w:tab w:val="left" w:pos="567"/>
              </w:tabs>
              <w:spacing w:line="0" w:lineRule="atLeast"/>
              <w:rPr>
                <w:sz w:val="18"/>
                <w:szCs w:val="18"/>
              </w:rPr>
            </w:pPr>
            <w:r>
              <w:rPr>
                <w:sz w:val="18"/>
                <w:szCs w:val="18"/>
              </w:rPr>
              <w:t>Lab2</w:t>
            </w:r>
          </w:p>
        </w:tc>
        <w:tc>
          <w:tcPr>
            <w:tcW w:w="354" w:type="pct"/>
            <w:tcBorders>
              <w:top w:val="nil"/>
              <w:left w:val="single" w:color="auto" w:sz="4" w:space="0"/>
              <w:bottom w:val="single" w:color="auto" w:sz="4" w:space="0"/>
              <w:right w:val="single" w:color="auto" w:sz="4" w:space="0"/>
            </w:tcBorders>
          </w:tcPr>
          <w:p>
            <w:pPr>
              <w:tabs>
                <w:tab w:val="left" w:pos="567"/>
              </w:tabs>
              <w:spacing w:line="0" w:lineRule="atLeast"/>
              <w:rPr>
                <w:sz w:val="18"/>
                <w:szCs w:val="18"/>
              </w:rPr>
            </w:pPr>
            <w:r>
              <w:rPr>
                <w:sz w:val="18"/>
                <w:szCs w:val="18"/>
              </w:rPr>
              <w:t>Lab1</w:t>
            </w:r>
          </w:p>
        </w:tc>
        <w:tc>
          <w:tcPr>
            <w:tcW w:w="354" w:type="pct"/>
            <w:tcBorders>
              <w:top w:val="nil"/>
              <w:left w:val="single" w:color="auto" w:sz="4" w:space="0"/>
              <w:bottom w:val="single" w:color="auto" w:sz="4" w:space="0"/>
              <w:right w:val="single" w:color="auto" w:sz="4" w:space="0"/>
            </w:tcBorders>
          </w:tcPr>
          <w:p>
            <w:pPr>
              <w:tabs>
                <w:tab w:val="left" w:pos="567"/>
              </w:tabs>
              <w:spacing w:line="0" w:lineRule="atLeast"/>
              <w:rPr>
                <w:sz w:val="18"/>
                <w:szCs w:val="18"/>
              </w:rPr>
            </w:pPr>
            <w:r>
              <w:rPr>
                <w:sz w:val="18"/>
                <w:szCs w:val="18"/>
              </w:rPr>
              <w:t>Lab2</w:t>
            </w:r>
          </w:p>
        </w:tc>
        <w:tc>
          <w:tcPr>
            <w:tcW w:w="354" w:type="pct"/>
            <w:tcBorders>
              <w:top w:val="nil"/>
              <w:left w:val="single" w:color="auto" w:sz="4" w:space="0"/>
              <w:bottom w:val="single" w:color="auto" w:sz="4" w:space="0"/>
              <w:right w:val="single" w:color="auto" w:sz="4" w:space="0"/>
            </w:tcBorders>
          </w:tcPr>
          <w:p>
            <w:pPr>
              <w:tabs>
                <w:tab w:val="left" w:pos="567"/>
              </w:tabs>
              <w:spacing w:line="0" w:lineRule="atLeast"/>
              <w:rPr>
                <w:sz w:val="18"/>
                <w:szCs w:val="18"/>
              </w:rPr>
            </w:pPr>
            <w:r>
              <w:rPr>
                <w:sz w:val="18"/>
                <w:szCs w:val="18"/>
              </w:rPr>
              <w:t>Lab1</w:t>
            </w:r>
          </w:p>
        </w:tc>
        <w:tc>
          <w:tcPr>
            <w:tcW w:w="371" w:type="pct"/>
            <w:tcBorders>
              <w:top w:val="nil"/>
              <w:left w:val="single" w:color="auto" w:sz="4" w:space="0"/>
              <w:bottom w:val="single" w:color="auto" w:sz="4" w:space="0"/>
              <w:right w:val="single" w:color="auto" w:sz="4" w:space="0"/>
            </w:tcBorders>
          </w:tcPr>
          <w:p>
            <w:pPr>
              <w:tabs>
                <w:tab w:val="left" w:pos="567"/>
              </w:tabs>
              <w:spacing w:line="0" w:lineRule="atLeast"/>
              <w:rPr>
                <w:sz w:val="18"/>
                <w:szCs w:val="18"/>
              </w:rPr>
            </w:pPr>
            <w:r>
              <w:rPr>
                <w:sz w:val="18"/>
                <w:szCs w:val="18"/>
              </w:rPr>
              <w:t>Lab2</w:t>
            </w:r>
          </w:p>
        </w:tc>
        <w:tc>
          <w:tcPr>
            <w:tcW w:w="631" w:type="pct"/>
            <w:tcBorders>
              <w:top w:val="nil"/>
              <w:left w:val="single" w:color="auto" w:sz="4" w:space="0"/>
              <w:bottom w:val="single" w:color="auto" w:sz="4" w:space="0"/>
              <w:right w:val="single" w:color="auto" w:sz="4" w:space="0"/>
            </w:tcBorders>
          </w:tcPr>
          <w:p>
            <w:pPr>
              <w:tabs>
                <w:tab w:val="left" w:pos="567"/>
              </w:tabs>
              <w:spacing w:line="0" w:lineRule="atLeast"/>
              <w:rPr>
                <w:sz w:val="18"/>
                <w:szCs w:val="18"/>
              </w:rPr>
            </w:pPr>
          </w:p>
        </w:tc>
        <w:tc>
          <w:tcPr>
            <w:tcW w:w="384" w:type="pct"/>
            <w:tcBorders>
              <w:top w:val="nil"/>
              <w:left w:val="single" w:color="auto" w:sz="4" w:space="0"/>
              <w:bottom w:val="single" w:color="auto" w:sz="4" w:space="0"/>
              <w:right w:val="single" w:color="auto" w:sz="4" w:space="0"/>
            </w:tcBorders>
          </w:tcPr>
          <w:p>
            <w:pPr>
              <w:tabs>
                <w:tab w:val="left" w:pos="567"/>
              </w:tabs>
              <w:spacing w:line="0" w:lineRule="atLeast"/>
              <w:rPr>
                <w:sz w:val="18"/>
                <w:szCs w:val="18"/>
              </w:rPr>
            </w:pPr>
          </w:p>
        </w:tc>
        <w:tc>
          <w:tcPr>
            <w:tcW w:w="341" w:type="pct"/>
            <w:tcBorders>
              <w:top w:val="nil"/>
              <w:left w:val="single" w:color="auto" w:sz="4" w:space="0"/>
              <w:bottom w:val="single" w:color="auto" w:sz="4" w:space="0"/>
              <w:right w:val="single" w:color="auto" w:sz="4" w:space="0"/>
            </w:tcBorders>
          </w:tcPr>
          <w:p>
            <w:pPr>
              <w:tabs>
                <w:tab w:val="left" w:pos="567"/>
              </w:tabs>
              <w:spacing w:line="0" w:lineRule="atLeast"/>
              <w:rPr>
                <w:sz w:val="18"/>
                <w:szCs w:val="18"/>
              </w:rPr>
            </w:pPr>
          </w:p>
        </w:tc>
        <w:tc>
          <w:tcPr>
            <w:tcW w:w="427" w:type="pct"/>
            <w:tcBorders>
              <w:top w:val="nil"/>
              <w:left w:val="single" w:color="auto" w:sz="4" w:space="0"/>
              <w:bottom w:val="single" w:color="auto" w:sz="4" w:space="0"/>
              <w:right w:val="single" w:color="auto" w:sz="4" w:space="0"/>
            </w:tcBorders>
          </w:tcPr>
          <w:p>
            <w:pPr>
              <w:tabs>
                <w:tab w:val="left" w:pos="567"/>
              </w:tabs>
              <w:spacing w:line="0" w:lineRule="atLeast"/>
              <w:rPr>
                <w:sz w:val="18"/>
                <w:szCs w:val="18"/>
              </w:rPr>
            </w:pPr>
          </w:p>
        </w:tc>
        <w:tc>
          <w:tcPr>
            <w:tcW w:w="481" w:type="pct"/>
            <w:tcBorders>
              <w:top w:val="nil"/>
              <w:left w:val="single" w:color="auto" w:sz="4" w:space="0"/>
              <w:bottom w:val="single" w:color="auto" w:sz="4" w:space="0"/>
              <w:right w:val="single" w:color="auto" w:sz="4" w:space="0"/>
            </w:tcBorders>
          </w:tcPr>
          <w:p>
            <w:pPr>
              <w:tabs>
                <w:tab w:val="left" w:pos="567"/>
              </w:tabs>
              <w:spacing w:line="0" w:lineRule="atLeas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r>
              <w:rPr>
                <w:sz w:val="18"/>
                <w:szCs w:val="18"/>
              </w:rPr>
              <w:t>1</w:t>
            </w:r>
          </w:p>
        </w:tc>
        <w:tc>
          <w:tcPr>
            <w:tcW w:w="256" w:type="pct"/>
            <w:tcBorders>
              <w:top w:val="single" w:color="auto" w:sz="4" w:space="0"/>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1</w:t>
            </w:r>
          </w:p>
        </w:tc>
        <w:tc>
          <w:tcPr>
            <w:tcW w:w="354" w:type="pct"/>
            <w:tcBorders>
              <w:top w:val="single" w:color="auto" w:sz="4" w:space="0"/>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19.0 </w:t>
            </w:r>
          </w:p>
        </w:tc>
        <w:tc>
          <w:tcPr>
            <w:tcW w:w="354" w:type="pct"/>
            <w:tcBorders>
              <w:top w:val="single" w:color="auto" w:sz="4" w:space="0"/>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21.0 </w:t>
            </w:r>
          </w:p>
        </w:tc>
        <w:tc>
          <w:tcPr>
            <w:tcW w:w="354"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354"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354"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371"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631"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384"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341"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427"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481"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256"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2</w:t>
            </w:r>
          </w:p>
        </w:tc>
        <w:tc>
          <w:tcPr>
            <w:tcW w:w="354"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20.6 </w:t>
            </w:r>
          </w:p>
        </w:tc>
        <w:tc>
          <w:tcPr>
            <w:tcW w:w="354"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19.9 </w:t>
            </w:r>
          </w:p>
        </w:tc>
        <w:tc>
          <w:tcPr>
            <w:tcW w:w="35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5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5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7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63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8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4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427"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48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256"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3</w:t>
            </w:r>
          </w:p>
        </w:tc>
        <w:tc>
          <w:tcPr>
            <w:tcW w:w="354"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20.2 </w:t>
            </w:r>
          </w:p>
        </w:tc>
        <w:tc>
          <w:tcPr>
            <w:tcW w:w="354"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21.4 </w:t>
            </w:r>
          </w:p>
        </w:tc>
        <w:tc>
          <w:tcPr>
            <w:tcW w:w="354" w:type="pct"/>
            <w:tcBorders>
              <w:top w:val="nil"/>
              <w:left w:val="nil"/>
              <w:bottom w:val="nil"/>
              <w:right w:val="single" w:color="auto" w:sz="4" w:space="0"/>
            </w:tcBorders>
            <w:vAlign w:val="center"/>
          </w:tcPr>
          <w:p>
            <w:pPr>
              <w:widowControl/>
              <w:spacing w:line="0" w:lineRule="atLeast"/>
              <w:jc w:val="center"/>
              <w:rPr>
                <w:color w:val="000000"/>
                <w:kern w:val="0"/>
                <w:sz w:val="18"/>
                <w:szCs w:val="18"/>
              </w:rPr>
            </w:pPr>
            <w:r>
              <w:rPr>
                <w:color w:val="000000"/>
                <w:kern w:val="0"/>
                <w:sz w:val="18"/>
                <w:szCs w:val="18"/>
              </w:rPr>
              <w:t>19.8</w:t>
            </w:r>
          </w:p>
        </w:tc>
        <w:tc>
          <w:tcPr>
            <w:tcW w:w="354" w:type="pct"/>
            <w:tcBorders>
              <w:top w:val="nil"/>
              <w:left w:val="single" w:color="auto" w:sz="4" w:space="0"/>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20.9</w:t>
            </w:r>
          </w:p>
        </w:tc>
        <w:tc>
          <w:tcPr>
            <w:tcW w:w="354" w:type="pct"/>
            <w:tcBorders>
              <w:top w:val="nil"/>
              <w:left w:val="single" w:color="auto" w:sz="4" w:space="0"/>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0.63</w:t>
            </w:r>
          </w:p>
        </w:tc>
        <w:tc>
          <w:tcPr>
            <w:tcW w:w="371" w:type="pct"/>
            <w:tcBorders>
              <w:top w:val="nil"/>
              <w:left w:val="single" w:color="auto" w:sz="4" w:space="0"/>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0.64</w:t>
            </w:r>
          </w:p>
        </w:tc>
        <w:tc>
          <w:tcPr>
            <w:tcW w:w="631" w:type="pct"/>
            <w:tcBorders>
              <w:top w:val="nil"/>
              <w:left w:val="single" w:color="auto" w:sz="4" w:space="0"/>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1.1</w:t>
            </w:r>
          </w:p>
        </w:tc>
        <w:tc>
          <w:tcPr>
            <w:tcW w:w="384" w:type="pct"/>
            <w:tcBorders>
              <w:top w:val="nil"/>
              <w:left w:val="single" w:color="auto" w:sz="4" w:space="0"/>
              <w:bottom w:val="nil"/>
              <w:right w:val="single" w:color="auto" w:sz="4" w:space="0"/>
            </w:tcBorders>
            <w:vAlign w:val="center"/>
          </w:tcPr>
          <w:p>
            <w:pPr>
              <w:spacing w:line="0" w:lineRule="atLeast"/>
              <w:jc w:val="center"/>
              <w:rPr>
                <w:color w:val="FF0000"/>
                <w:kern w:val="0"/>
                <w:sz w:val="18"/>
                <w:szCs w:val="18"/>
              </w:rPr>
            </w:pPr>
            <w:r>
              <w:rPr>
                <w:color w:val="FF0000"/>
                <w:kern w:val="0"/>
                <w:sz w:val="18"/>
                <w:szCs w:val="18"/>
              </w:rPr>
              <w:t>0.40</w:t>
            </w:r>
          </w:p>
        </w:tc>
        <w:tc>
          <w:tcPr>
            <w:tcW w:w="341" w:type="pct"/>
            <w:tcBorders>
              <w:top w:val="nil"/>
              <w:left w:val="single" w:color="auto" w:sz="4" w:space="0"/>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8</w:t>
            </w:r>
          </w:p>
        </w:tc>
        <w:tc>
          <w:tcPr>
            <w:tcW w:w="427" w:type="pct"/>
            <w:tcBorders>
              <w:top w:val="nil"/>
              <w:left w:val="single" w:color="auto" w:sz="4" w:space="0"/>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2.31</w:t>
            </w:r>
          </w:p>
        </w:tc>
        <w:tc>
          <w:tcPr>
            <w:tcW w:w="481" w:type="pct"/>
            <w:tcBorders>
              <w:top w:val="nil"/>
              <w:left w:val="single" w:color="auto" w:sz="4" w:space="0"/>
              <w:bottom w:val="nil"/>
              <w:right w:val="single" w:color="auto" w:sz="4" w:space="0"/>
            </w:tcBorders>
            <w:vAlign w:val="center"/>
          </w:tcPr>
          <w:p>
            <w:pPr>
              <w:spacing w:line="0" w:lineRule="atLeast"/>
              <w:jc w:val="center"/>
              <w:rPr>
                <w:color w:val="FF0000"/>
                <w:kern w:val="0"/>
                <w:sz w:val="18"/>
                <w:szCs w:val="18"/>
              </w:rPr>
            </w:pPr>
            <w:r>
              <w:rPr>
                <w:color w:val="FF0000"/>
                <w:kern w:val="0"/>
                <w:sz w:val="18"/>
                <w:szCs w:val="18"/>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256"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4</w:t>
            </w:r>
          </w:p>
        </w:tc>
        <w:tc>
          <w:tcPr>
            <w:tcW w:w="354"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19.4 </w:t>
            </w:r>
          </w:p>
        </w:tc>
        <w:tc>
          <w:tcPr>
            <w:tcW w:w="354"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21.5 </w:t>
            </w:r>
          </w:p>
        </w:tc>
        <w:tc>
          <w:tcPr>
            <w:tcW w:w="35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5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5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7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63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8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4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427"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48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256" w:type="pct"/>
            <w:tcBorders>
              <w:top w:val="nil"/>
              <w:left w:val="single" w:color="auto" w:sz="4" w:space="0"/>
              <w:bottom w:val="single" w:color="auto" w:sz="4" w:space="0"/>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5</w:t>
            </w:r>
          </w:p>
        </w:tc>
        <w:tc>
          <w:tcPr>
            <w:tcW w:w="354" w:type="pct"/>
            <w:tcBorders>
              <w:top w:val="nil"/>
              <w:left w:val="single" w:color="auto" w:sz="4" w:space="0"/>
              <w:bottom w:val="single" w:color="auto" w:sz="4" w:space="0"/>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19.9 </w:t>
            </w:r>
          </w:p>
        </w:tc>
        <w:tc>
          <w:tcPr>
            <w:tcW w:w="354" w:type="pct"/>
            <w:tcBorders>
              <w:top w:val="nil"/>
              <w:left w:val="single" w:color="auto" w:sz="4" w:space="0"/>
              <w:bottom w:val="single" w:color="auto" w:sz="4" w:space="0"/>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20.8 </w:t>
            </w:r>
          </w:p>
        </w:tc>
        <w:tc>
          <w:tcPr>
            <w:tcW w:w="354"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354"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354"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371"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631"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384"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341"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427"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481"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r>
              <w:rPr>
                <w:sz w:val="18"/>
                <w:szCs w:val="18"/>
              </w:rPr>
              <w:t>2</w:t>
            </w:r>
          </w:p>
        </w:tc>
        <w:tc>
          <w:tcPr>
            <w:tcW w:w="256" w:type="pct"/>
            <w:tcBorders>
              <w:top w:val="single" w:color="auto" w:sz="4" w:space="0"/>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1</w:t>
            </w:r>
          </w:p>
        </w:tc>
        <w:tc>
          <w:tcPr>
            <w:tcW w:w="354" w:type="pct"/>
            <w:tcBorders>
              <w:top w:val="single" w:color="auto" w:sz="4" w:space="0"/>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22.1 </w:t>
            </w:r>
          </w:p>
        </w:tc>
        <w:tc>
          <w:tcPr>
            <w:tcW w:w="354" w:type="pct"/>
            <w:tcBorders>
              <w:top w:val="single" w:color="auto" w:sz="4" w:space="0"/>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25.3 </w:t>
            </w:r>
          </w:p>
        </w:tc>
        <w:tc>
          <w:tcPr>
            <w:tcW w:w="354"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354"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354"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371"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631"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384"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341"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427"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c>
          <w:tcPr>
            <w:tcW w:w="481" w:type="pct"/>
            <w:tcBorders>
              <w:top w:val="single" w:color="auto" w:sz="4" w:space="0"/>
              <w:left w:val="single" w:color="auto" w:sz="4" w:space="0"/>
              <w:bottom w:val="nil"/>
              <w:right w:val="single" w:color="auto" w:sz="4" w:space="0"/>
            </w:tcBorders>
          </w:tcPr>
          <w:p>
            <w:pPr>
              <w:tabs>
                <w:tab w:val="left" w:pos="567"/>
              </w:tabs>
              <w:spacing w:line="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256"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2</w:t>
            </w:r>
          </w:p>
        </w:tc>
        <w:tc>
          <w:tcPr>
            <w:tcW w:w="354"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18.4 </w:t>
            </w:r>
          </w:p>
        </w:tc>
        <w:tc>
          <w:tcPr>
            <w:tcW w:w="354"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23.3 </w:t>
            </w:r>
          </w:p>
        </w:tc>
        <w:tc>
          <w:tcPr>
            <w:tcW w:w="35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5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5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7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63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8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4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427"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48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256"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3</w:t>
            </w:r>
          </w:p>
        </w:tc>
        <w:tc>
          <w:tcPr>
            <w:tcW w:w="354"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22.3 </w:t>
            </w:r>
          </w:p>
        </w:tc>
        <w:tc>
          <w:tcPr>
            <w:tcW w:w="354"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24.0 </w:t>
            </w:r>
          </w:p>
        </w:tc>
        <w:tc>
          <w:tcPr>
            <w:tcW w:w="354" w:type="pct"/>
            <w:tcBorders>
              <w:top w:val="nil"/>
              <w:left w:val="single" w:color="auto" w:sz="4" w:space="0"/>
              <w:bottom w:val="nil"/>
              <w:right w:val="single" w:color="auto" w:sz="4" w:space="0"/>
            </w:tcBorders>
            <w:vAlign w:val="center"/>
          </w:tcPr>
          <w:p>
            <w:pPr>
              <w:widowControl/>
              <w:spacing w:line="0" w:lineRule="atLeast"/>
              <w:jc w:val="center"/>
              <w:rPr>
                <w:color w:val="000000"/>
                <w:kern w:val="0"/>
                <w:sz w:val="18"/>
                <w:szCs w:val="18"/>
              </w:rPr>
            </w:pPr>
            <w:r>
              <w:rPr>
                <w:color w:val="000000"/>
                <w:kern w:val="0"/>
                <w:sz w:val="18"/>
                <w:szCs w:val="18"/>
              </w:rPr>
              <w:t>21.4</w:t>
            </w:r>
          </w:p>
        </w:tc>
        <w:tc>
          <w:tcPr>
            <w:tcW w:w="354" w:type="pct"/>
            <w:tcBorders>
              <w:top w:val="nil"/>
              <w:left w:val="nil"/>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24.7</w:t>
            </w:r>
          </w:p>
        </w:tc>
        <w:tc>
          <w:tcPr>
            <w:tcW w:w="354" w:type="pct"/>
            <w:tcBorders>
              <w:top w:val="nil"/>
              <w:left w:val="nil"/>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1.69</w:t>
            </w:r>
          </w:p>
        </w:tc>
        <w:tc>
          <w:tcPr>
            <w:tcW w:w="371" w:type="pct"/>
            <w:tcBorders>
              <w:top w:val="nil"/>
              <w:left w:val="nil"/>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1.64</w:t>
            </w:r>
          </w:p>
        </w:tc>
        <w:tc>
          <w:tcPr>
            <w:tcW w:w="631" w:type="pct"/>
            <w:tcBorders>
              <w:top w:val="nil"/>
              <w:left w:val="nil"/>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3.3</w:t>
            </w:r>
          </w:p>
        </w:tc>
        <w:tc>
          <w:tcPr>
            <w:tcW w:w="384" w:type="pct"/>
            <w:tcBorders>
              <w:top w:val="nil"/>
              <w:left w:val="nil"/>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1.05</w:t>
            </w:r>
          </w:p>
        </w:tc>
        <w:tc>
          <w:tcPr>
            <w:tcW w:w="341" w:type="pct"/>
            <w:tcBorders>
              <w:top w:val="nil"/>
              <w:left w:val="nil"/>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8</w:t>
            </w:r>
          </w:p>
        </w:tc>
        <w:tc>
          <w:tcPr>
            <w:tcW w:w="427" w:type="pct"/>
            <w:tcBorders>
              <w:top w:val="nil"/>
              <w:left w:val="nil"/>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2.31</w:t>
            </w:r>
          </w:p>
        </w:tc>
        <w:tc>
          <w:tcPr>
            <w:tcW w:w="481" w:type="pct"/>
            <w:tcBorders>
              <w:top w:val="nil"/>
              <w:left w:val="nil"/>
              <w:bottom w:val="nil"/>
              <w:right w:val="single" w:color="auto" w:sz="4" w:space="0"/>
            </w:tcBorders>
            <w:vAlign w:val="center"/>
          </w:tcPr>
          <w:p>
            <w:pPr>
              <w:spacing w:line="0" w:lineRule="atLeast"/>
              <w:jc w:val="center"/>
              <w:rPr>
                <w:color w:val="000000"/>
                <w:kern w:val="0"/>
                <w:sz w:val="18"/>
                <w:szCs w:val="18"/>
              </w:rPr>
            </w:pPr>
            <w:r>
              <w:rPr>
                <w:color w:val="000000"/>
                <w:kern w:val="0"/>
                <w:sz w:val="18"/>
                <w:szCs w:val="18"/>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256"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4</w:t>
            </w:r>
          </w:p>
        </w:tc>
        <w:tc>
          <w:tcPr>
            <w:tcW w:w="354"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22.1 </w:t>
            </w:r>
          </w:p>
        </w:tc>
        <w:tc>
          <w:tcPr>
            <w:tcW w:w="354" w:type="pct"/>
            <w:tcBorders>
              <w:top w:val="nil"/>
              <w:left w:val="single" w:color="auto" w:sz="4" w:space="0"/>
              <w:bottom w:val="nil"/>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27.3 </w:t>
            </w:r>
          </w:p>
        </w:tc>
        <w:tc>
          <w:tcPr>
            <w:tcW w:w="35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5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5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7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63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84"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34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427"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c>
          <w:tcPr>
            <w:tcW w:w="481" w:type="pct"/>
            <w:tcBorders>
              <w:top w:val="nil"/>
              <w:left w:val="single" w:color="auto" w:sz="4" w:space="0"/>
              <w:bottom w:val="nil"/>
              <w:right w:val="single" w:color="auto" w:sz="4" w:space="0"/>
            </w:tcBorders>
          </w:tcPr>
          <w:p>
            <w:pPr>
              <w:tabs>
                <w:tab w:val="left" w:pos="567"/>
              </w:tabs>
              <w:spacing w:line="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256" w:type="pct"/>
            <w:tcBorders>
              <w:top w:val="nil"/>
              <w:left w:val="single" w:color="auto" w:sz="4" w:space="0"/>
              <w:bottom w:val="single" w:color="auto" w:sz="4" w:space="0"/>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5</w:t>
            </w:r>
          </w:p>
        </w:tc>
        <w:tc>
          <w:tcPr>
            <w:tcW w:w="354" w:type="pct"/>
            <w:tcBorders>
              <w:top w:val="nil"/>
              <w:left w:val="single" w:color="auto" w:sz="4" w:space="0"/>
              <w:bottom w:val="single" w:color="auto" w:sz="4" w:space="0"/>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22.2 </w:t>
            </w:r>
          </w:p>
        </w:tc>
        <w:tc>
          <w:tcPr>
            <w:tcW w:w="354" w:type="pct"/>
            <w:tcBorders>
              <w:top w:val="nil"/>
              <w:left w:val="single" w:color="auto" w:sz="4" w:space="0"/>
              <w:bottom w:val="single" w:color="auto" w:sz="4" w:space="0"/>
              <w:right w:val="single" w:color="auto" w:sz="4" w:space="0"/>
            </w:tcBorders>
            <w:vAlign w:val="center"/>
          </w:tcPr>
          <w:p>
            <w:pPr>
              <w:widowControl/>
              <w:spacing w:line="0" w:lineRule="atLeast"/>
              <w:jc w:val="right"/>
              <w:rPr>
                <w:color w:val="000000"/>
                <w:kern w:val="0"/>
                <w:sz w:val="18"/>
                <w:szCs w:val="18"/>
              </w:rPr>
            </w:pPr>
            <w:r>
              <w:rPr>
                <w:color w:val="000000"/>
                <w:kern w:val="0"/>
                <w:sz w:val="18"/>
                <w:szCs w:val="18"/>
              </w:rPr>
              <w:t xml:space="preserve">23.6 </w:t>
            </w:r>
          </w:p>
        </w:tc>
        <w:tc>
          <w:tcPr>
            <w:tcW w:w="354"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354"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354"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371"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631"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384"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341"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427"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c>
          <w:tcPr>
            <w:tcW w:w="481" w:type="pct"/>
            <w:tcBorders>
              <w:top w:val="nil"/>
              <w:left w:val="single" w:color="auto" w:sz="4" w:space="0"/>
              <w:bottom w:val="single" w:color="auto" w:sz="4" w:space="0"/>
              <w:right w:val="single" w:color="auto" w:sz="4" w:space="0"/>
            </w:tcBorders>
          </w:tcPr>
          <w:p>
            <w:pPr>
              <w:tabs>
                <w:tab w:val="left" w:pos="567"/>
              </w:tabs>
              <w:spacing w:line="0" w:lineRule="atLeast"/>
              <w:jc w:val="center"/>
              <w:rPr>
                <w:sz w:val="18"/>
                <w:szCs w:val="18"/>
              </w:rPr>
            </w:pPr>
          </w:p>
        </w:tc>
      </w:tr>
    </w:tbl>
    <w:p>
      <w:pPr>
        <w:pStyle w:val="45"/>
      </w:pPr>
      <w:bookmarkStart w:id="225" w:name="_Toc124173935"/>
      <w:r>
        <w:rPr>
          <w:rFonts w:hint="eastAsia"/>
        </w:rPr>
        <w:t>排序法</w:t>
      </w:r>
      <w:bookmarkEnd w:id="225"/>
    </w:p>
    <w:p>
      <w:pPr>
        <w:pStyle w:val="42"/>
      </w:pPr>
      <w:bookmarkStart w:id="226" w:name="_Toc124173936"/>
      <w:r>
        <w:rPr>
          <w:rFonts w:hint="eastAsia"/>
        </w:rPr>
        <w:t>原理</w:t>
      </w:r>
      <w:bookmarkEnd w:id="226"/>
    </w:p>
    <w:p>
      <w:pPr>
        <w:tabs>
          <w:tab w:val="left" w:pos="284"/>
          <w:tab w:val="left" w:pos="426"/>
        </w:tabs>
        <w:spacing w:before="156" w:beforeLines="50" w:after="156" w:afterLines="50"/>
        <w:ind w:firstLine="420" w:firstLineChars="200"/>
        <w:rPr>
          <w:rFonts w:ascii="宋体" w:hAnsi="宋体"/>
        </w:rPr>
      </w:pPr>
      <w:r>
        <w:rPr>
          <w:rFonts w:hint="eastAsia" w:ascii="宋体" w:hAnsi="宋体"/>
        </w:rPr>
        <w:t>有时，观察不能精确地量化，必须做出主观的评价。在这些情况下，不能使用通常的定量技术，必须采用排序法。</w:t>
      </w:r>
    </w:p>
    <w:p>
      <w:pPr>
        <w:pStyle w:val="42"/>
      </w:pPr>
      <w:bookmarkStart w:id="227" w:name="_Toc124173937"/>
      <w:r>
        <w:rPr>
          <w:rFonts w:hint="eastAsia"/>
        </w:rPr>
        <w:t>方法学</w:t>
      </w:r>
      <w:bookmarkEnd w:id="227"/>
    </w:p>
    <w:p>
      <w:pPr>
        <w:pStyle w:val="46"/>
        <w:spacing w:before="156" w:after="156"/>
      </w:pPr>
      <w:r>
        <w:rPr>
          <w:rFonts w:hint="eastAsia"/>
        </w:rPr>
        <w:t>Friedman 检验</w:t>
      </w:r>
    </w:p>
    <w:p>
      <w:pPr>
        <w:pStyle w:val="113"/>
      </w:pPr>
      <w:r>
        <w:rPr>
          <w:rFonts w:hint="eastAsia"/>
        </w:rPr>
        <w:t>在本检验中宜采取下列步骤：</w:t>
      </w:r>
    </w:p>
    <w:p>
      <w:pPr>
        <w:pStyle w:val="23"/>
      </w:pPr>
      <w:r>
        <w:rPr>
          <w:rFonts w:hint="eastAsia"/>
        </w:rPr>
        <w:t>一组观察者的成员根据先前确定的条件，独立地将同一组样本按优势递增的顺序排序。</w:t>
      </w:r>
    </w:p>
    <w:p>
      <w:pPr>
        <w:pStyle w:val="23"/>
      </w:pPr>
      <w:r>
        <w:rPr>
          <w:rFonts w:hint="eastAsia"/>
        </w:rPr>
        <w:t>确定每一秩的和与平均秩和之差的平方和，并与给定显著性水平对应的临界值进行比较。</w:t>
      </w:r>
    </w:p>
    <w:p>
      <w:pPr>
        <w:pStyle w:val="23"/>
      </w:pPr>
      <w:r>
        <w:rPr>
          <w:rFonts w:hint="eastAsia"/>
        </w:rPr>
        <w:t>如果观察到的因子大于临界因子，则（在给定的置信水平）存在显著差异。</w:t>
      </w:r>
    </w:p>
    <w:p>
      <w:pPr>
        <w:pStyle w:val="113"/>
      </w:pPr>
      <w:r>
        <w:rPr>
          <w:rFonts w:hint="eastAsia"/>
        </w:rPr>
        <w:t>因此，如果有</w:t>
      </w:r>
      <w:r>
        <w:rPr>
          <w:rFonts w:ascii="Times New Roman"/>
          <w:i/>
        </w:rPr>
        <w:t>m</w:t>
      </w:r>
      <w:r>
        <w:rPr>
          <w:rFonts w:hint="eastAsia"/>
        </w:rPr>
        <w:t>个观察者，</w:t>
      </w:r>
      <w:r>
        <w:rPr>
          <w:rFonts w:ascii="Times New Roman"/>
          <w:i/>
        </w:rPr>
        <w:t>n</w:t>
      </w:r>
      <w:r>
        <w:rPr>
          <w:rFonts w:hint="eastAsia"/>
        </w:rPr>
        <w:t>个样本，每位观察者独立地将数字</w:t>
      </w:r>
      <w:r>
        <w:t>1</w:t>
      </w:r>
      <w:r>
        <w:rPr>
          <w:rFonts w:hint="eastAsia"/>
        </w:rPr>
        <w:t>分配给最优的样本，将数字</w:t>
      </w:r>
      <w:r>
        <w:t>2</w:t>
      </w:r>
      <w:r>
        <w:rPr>
          <w:rFonts w:hint="eastAsia"/>
        </w:rPr>
        <w:t>分配给次优样本，一直到将数字</w:t>
      </w:r>
      <w:r>
        <w:rPr>
          <w:rFonts w:ascii="Times New Roman"/>
          <w:i/>
        </w:rPr>
        <w:t>n</w:t>
      </w:r>
      <w:r>
        <w:rPr>
          <w:rFonts w:hint="eastAsia"/>
        </w:rPr>
        <w:t>分配给最次样本。如果有两个或更多样本被判断为相同优劣，那么它们将分配到同一秩数，</w:t>
      </w:r>
      <w:r>
        <w:rPr>
          <w:rFonts w:hint="eastAsia"/>
          <w:highlight w:val="yellow"/>
        </w:rPr>
        <w:t>这个数字就直接称为这组的平均秩</w:t>
      </w:r>
      <w:r>
        <w:rPr>
          <w:rFonts w:hint="eastAsia"/>
        </w:rPr>
        <w:t>。对于每一个样品，秩和</w:t>
      </w:r>
      <w:r>
        <w:rPr>
          <w:i/>
        </w:rPr>
        <w:t>S</w:t>
      </w:r>
      <w:r>
        <w:rPr>
          <w:i/>
          <w:vertAlign w:val="subscript"/>
        </w:rPr>
        <w:t>i</w:t>
      </w:r>
      <w:r>
        <w:rPr>
          <w:rFonts w:hint="eastAsia"/>
        </w:rPr>
        <w:t>由一个个秩值</w:t>
      </w:r>
      <w:r>
        <w:rPr>
          <w:i/>
        </w:rPr>
        <w:t>R</w:t>
      </w:r>
      <w:r>
        <w:t>用公式（</w:t>
      </w:r>
      <w:r>
        <w:rPr>
          <w:rFonts w:hint="eastAsia"/>
        </w:rPr>
        <w:t>23）确定</w:t>
      </w:r>
      <w:r>
        <w:t>:</w:t>
      </w:r>
    </w:p>
    <w:p>
      <w:pPr>
        <w:pStyle w:val="23"/>
      </w:pPr>
      <m:oMath>
        <m:sSub>
          <m:sSubPr>
            <m:ctrlPr>
              <w:rPr>
                <w:rFonts w:ascii="Cambria Math" w:hAnsi="Cambria Math"/>
                <w:szCs w:val="22"/>
              </w:rPr>
            </m:ctrlPr>
          </m:sSubPr>
          <m:e>
            <m:r>
              <m:rPr/>
              <w:rPr>
                <w:rFonts w:ascii="Cambria Math" w:hAnsi="Cambria Math"/>
              </w:rPr>
              <m:t>S</m:t>
            </m:r>
            <m:ctrlPr>
              <w:rPr>
                <w:rFonts w:ascii="Cambria Math" w:hAnsi="Cambria Math"/>
                <w:szCs w:val="22"/>
              </w:rPr>
            </m:ctrlPr>
          </m:e>
          <m:sub>
            <m:r>
              <m:rPr/>
              <w:rPr>
                <w:rFonts w:ascii="Cambria Math" w:hAnsi="Cambria Math"/>
              </w:rPr>
              <m:t>i</m:t>
            </m:r>
            <m:ctrlPr>
              <w:rPr>
                <w:rFonts w:ascii="Cambria Math" w:hAnsi="Cambria Math"/>
                <w:szCs w:val="22"/>
              </w:rPr>
            </m:ctrlPr>
          </m:sub>
        </m:sSub>
        <m:r>
          <m:rPr>
            <m:sty m:val="p"/>
          </m:rPr>
          <w:rPr>
            <w:rFonts w:ascii="Cambria Math" w:hAnsi="Cambria Math"/>
          </w:rPr>
          <m:t>=</m:t>
        </m:r>
        <m:nary>
          <m:naryPr>
            <m:chr m:val="∑"/>
            <m:limLoc m:val="undOvr"/>
            <m:ctrlPr>
              <w:rPr>
                <w:rFonts w:ascii="Cambria Math" w:hAnsi="Cambria Math"/>
                <w:szCs w:val="22"/>
              </w:rPr>
            </m:ctrlPr>
          </m:naryPr>
          <m:sub>
            <m:r>
              <m:rPr/>
              <w:rPr>
                <w:rFonts w:ascii="Cambria Math" w:hAnsi="Cambria Math"/>
              </w:rPr>
              <m:t>j=1</m:t>
            </m:r>
            <m:ctrlPr>
              <w:rPr>
                <w:rFonts w:ascii="Cambria Math" w:hAnsi="Cambria Math"/>
                <w:szCs w:val="22"/>
              </w:rPr>
            </m:ctrlPr>
          </m:sub>
          <m:sup>
            <m:r>
              <m:rPr/>
              <w:rPr>
                <w:rFonts w:ascii="Cambria Math" w:hAnsi="Cambria Math"/>
              </w:rPr>
              <m:t>m</m:t>
            </m:r>
            <m:ctrlPr>
              <w:rPr>
                <w:rFonts w:ascii="Cambria Math" w:hAnsi="Cambria Math"/>
                <w:szCs w:val="22"/>
              </w:rPr>
            </m:ctrlPr>
          </m:sup>
          <m:e>
            <m:sSub>
              <m:sSubPr>
                <m:ctrlPr>
                  <w:rPr>
                    <w:rFonts w:ascii="Cambria Math" w:hAnsi="Cambria Math"/>
                    <w:i/>
                    <w:szCs w:val="22"/>
                  </w:rPr>
                </m:ctrlPr>
              </m:sSubPr>
              <m:e>
                <m:r>
                  <m:rPr/>
                  <w:rPr>
                    <w:rFonts w:ascii="Cambria Math" w:hAnsi="Cambria Math"/>
                  </w:rPr>
                  <m:t>R</m:t>
                </m:r>
                <m:ctrlPr>
                  <w:rPr>
                    <w:rFonts w:ascii="Cambria Math" w:hAnsi="Cambria Math"/>
                    <w:szCs w:val="22"/>
                  </w:rPr>
                </m:ctrlPr>
              </m:e>
              <m:sub>
                <m:r>
                  <m:rPr/>
                  <w:rPr>
                    <w:rFonts w:ascii="Cambria Math" w:hAnsi="Cambria Math"/>
                  </w:rPr>
                  <m:t>ij</m:t>
                </m:r>
                <m:ctrlPr>
                  <w:rPr>
                    <w:rFonts w:ascii="Cambria Math" w:hAnsi="Cambria Math"/>
                    <w:i/>
                    <w:szCs w:val="22"/>
                  </w:rPr>
                </m:ctrlPr>
              </m:sub>
            </m:sSub>
            <m:ctrlPr>
              <w:rPr>
                <w:rFonts w:ascii="Cambria Math" w:hAnsi="Cambria Math"/>
                <w:szCs w:val="22"/>
              </w:rPr>
            </m:ctrlPr>
          </m:e>
        </m:nary>
      </m:oMath>
      <w:r>
        <w:t xml:space="preserve">                                            </w:t>
      </w:r>
      <w:r>
        <w:rPr>
          <w:rFonts w:hint="eastAsia"/>
        </w:rPr>
        <w:t xml:space="preserve">            </w:t>
      </w:r>
      <w:r>
        <w:t xml:space="preserve">           (23)</w:t>
      </w:r>
    </w:p>
    <w:p>
      <w:pPr>
        <w:pStyle w:val="23"/>
      </w:pPr>
      <w:r>
        <w:rPr>
          <w:rFonts w:hint="eastAsia"/>
        </w:rPr>
        <w:t>平均秩和，</w:t>
      </w:r>
      <w:r>
        <w:rPr>
          <w:rFonts w:hint="eastAsia"/>
        </w:rPr>
        <w:sym w:font="Symbol" w:char="F060"/>
      </w:r>
      <w:r>
        <w:rPr>
          <w:i/>
        </w:rPr>
        <w:t>S</w:t>
      </w:r>
      <w:r>
        <w:rPr>
          <w:rFonts w:hint="eastAsia"/>
        </w:rPr>
        <w:t>，是</w:t>
      </w:r>
      <w:r>
        <w:rPr>
          <w:rFonts w:ascii="Times New Roman"/>
          <w:i/>
        </w:rPr>
        <w:t>n</w:t>
      </w:r>
      <w:r>
        <w:rPr>
          <w:rFonts w:hint="eastAsia"/>
        </w:rPr>
        <w:t>个秩和的平均值，如下式（24）所示</w:t>
      </w:r>
      <w:r>
        <w:t>:</w:t>
      </w:r>
    </w:p>
    <w:p>
      <w:pPr>
        <w:pStyle w:val="23"/>
      </w:pPr>
      <m:oMath>
        <m:acc>
          <m:accPr>
            <m:chr m:val="̅"/>
            <m:ctrlPr>
              <w:rPr>
                <w:rFonts w:ascii="Cambria Math" w:hAnsi="Cambria Math"/>
                <w:szCs w:val="22"/>
              </w:rPr>
            </m:ctrlPr>
          </m:accPr>
          <m:e>
            <m:r>
              <m:rPr/>
              <w:rPr>
                <w:rFonts w:ascii="Cambria Math" w:hAnsi="Cambria Math"/>
              </w:rPr>
              <m:t>S</m:t>
            </m:r>
            <m:ctrlPr>
              <w:rPr>
                <w:rFonts w:ascii="Cambria Math" w:hAnsi="Cambria Math"/>
                <w:i/>
                <w:szCs w:val="22"/>
              </w:rPr>
            </m:ctrlPr>
          </m:e>
        </m:acc>
        <m:r>
          <m:rPr/>
          <w:rPr>
            <w:rFonts w:ascii="Cambria Math" w:hAnsi="Cambria Math"/>
          </w:rPr>
          <m:t>=</m:t>
        </m:r>
        <m:f>
          <m:fPr>
            <m:ctrlPr>
              <w:rPr>
                <w:rFonts w:ascii="Cambria Math" w:hAnsi="Cambria Math"/>
                <w:i/>
                <w:szCs w:val="22"/>
              </w:rPr>
            </m:ctrlPr>
          </m:fPr>
          <m:num>
            <m:nary>
              <m:naryPr>
                <m:chr m:val="∑"/>
                <m:limLoc m:val="undOvr"/>
                <m:ctrlPr>
                  <w:rPr>
                    <w:rFonts w:ascii="Cambria Math" w:hAnsi="Cambria Math"/>
                    <w:i/>
                    <w:szCs w:val="22"/>
                  </w:rPr>
                </m:ctrlPr>
              </m:naryPr>
              <m:sub>
                <m:r>
                  <m:rPr/>
                  <w:rPr>
                    <w:rFonts w:ascii="Cambria Math" w:hAnsi="Cambria Math"/>
                  </w:rPr>
                  <m:t>i=1</m:t>
                </m:r>
                <m:ctrlPr>
                  <w:rPr>
                    <w:rFonts w:ascii="Cambria Math" w:hAnsi="Cambria Math"/>
                    <w:i/>
                    <w:szCs w:val="22"/>
                  </w:rPr>
                </m:ctrlPr>
              </m:sub>
              <m:sup>
                <m:r>
                  <m:rPr/>
                  <w:rPr>
                    <w:rFonts w:ascii="Cambria Math" w:hAnsi="Cambria Math"/>
                  </w:rPr>
                  <m:t>n</m:t>
                </m:r>
                <m:ctrlPr>
                  <w:rPr>
                    <w:rFonts w:ascii="Cambria Math" w:hAnsi="Cambria Math"/>
                    <w:i/>
                    <w:szCs w:val="22"/>
                  </w:rPr>
                </m:ctrlPr>
              </m:sup>
              <m:e>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i</m:t>
                    </m:r>
                    <m:ctrlPr>
                      <w:rPr>
                        <w:rFonts w:ascii="Cambria Math" w:hAnsi="Cambria Math"/>
                        <w:i/>
                        <w:szCs w:val="22"/>
                      </w:rPr>
                    </m:ctrlPr>
                  </m:sub>
                </m:sSub>
                <m:ctrlPr>
                  <w:rPr>
                    <w:rFonts w:ascii="Cambria Math" w:hAnsi="Cambria Math"/>
                    <w:i/>
                    <w:szCs w:val="22"/>
                  </w:rPr>
                </m:ctrlPr>
              </m:e>
            </m:nary>
            <m:ctrlPr>
              <w:rPr>
                <w:rFonts w:ascii="Cambria Math" w:hAnsi="Cambria Math"/>
                <w:i/>
                <w:szCs w:val="22"/>
              </w:rPr>
            </m:ctrlPr>
          </m:num>
          <m:den>
            <m:r>
              <m:rPr/>
              <w:rPr>
                <w:rFonts w:ascii="Cambria Math" w:hAnsi="Cambria Math"/>
              </w:rPr>
              <m:t>n</m:t>
            </m:r>
            <m:ctrlPr>
              <w:rPr>
                <w:rFonts w:ascii="Cambria Math" w:hAnsi="Cambria Math"/>
                <w:i/>
                <w:szCs w:val="22"/>
              </w:rPr>
            </m:ctrlPr>
          </m:den>
        </m:f>
      </m:oMath>
      <w:r>
        <w:t xml:space="preserve">                                                    </w:t>
      </w:r>
      <w:r>
        <w:rPr>
          <w:rFonts w:hint="eastAsia"/>
        </w:rPr>
        <w:t xml:space="preserve">            </w:t>
      </w:r>
      <w:r>
        <w:t xml:space="preserve">      (24)</w:t>
      </w:r>
    </w:p>
    <w:p>
      <w:pPr>
        <w:pStyle w:val="23"/>
      </w:pPr>
      <w:r>
        <w:t>Friedman</w:t>
      </w:r>
      <w:r>
        <w:rPr>
          <w:rFonts w:hint="eastAsia"/>
        </w:rPr>
        <w:t>统计量，</w:t>
      </w:r>
      <w:r>
        <w:rPr>
          <w:i/>
        </w:rPr>
        <w:t>K</w:t>
      </w:r>
      <w:r>
        <w:rPr>
          <w:rFonts w:hint="eastAsia"/>
        </w:rPr>
        <w:t>，由式（25）给出：</w:t>
      </w:r>
    </w:p>
    <w:p>
      <w:pPr>
        <w:pStyle w:val="23"/>
      </w:pPr>
      <m:oMath>
        <m:r>
          <m:rPr/>
          <w:rPr>
            <w:rFonts w:ascii="Cambria Math" w:hAnsi="Cambria Math"/>
          </w:rPr>
          <m:t>K</m:t>
        </m:r>
        <m:r>
          <m:rPr>
            <m:sty m:val="p"/>
          </m:rPr>
          <w:rPr>
            <w:rFonts w:ascii="Cambria Math" w:hAnsi="Cambria Math"/>
          </w:rPr>
          <m:t>=</m:t>
        </m:r>
        <m:nary>
          <m:naryPr>
            <m:chr m:val="∑"/>
            <m:ctrlPr>
              <w:rPr>
                <w:rFonts w:ascii="Cambria Math" w:hAnsi="Cambria Math"/>
                <w:szCs w:val="22"/>
              </w:rPr>
            </m:ctrlPr>
          </m:naryPr>
          <m:sub>
            <m:r>
              <m:rPr/>
              <w:rPr>
                <w:rFonts w:ascii="Cambria Math" w:hAnsi="Cambria Math"/>
              </w:rPr>
              <m:t>i</m:t>
            </m:r>
            <m:r>
              <m:rPr>
                <m:sty m:val="p"/>
              </m:rPr>
              <w:rPr>
                <w:rFonts w:ascii="Cambria Math" w:hAnsi="Cambria Math"/>
              </w:rPr>
              <m:t>=1</m:t>
            </m:r>
            <m:ctrlPr>
              <w:rPr>
                <w:rFonts w:ascii="Cambria Math" w:hAnsi="Cambria Math"/>
                <w:szCs w:val="22"/>
              </w:rPr>
            </m:ctrlPr>
          </m:sub>
          <m:sup>
            <m:r>
              <m:rPr/>
              <w:rPr>
                <w:rFonts w:ascii="Cambria Math" w:hAnsi="Cambria Math"/>
              </w:rPr>
              <m:t>n</m:t>
            </m:r>
            <m:ctrlPr>
              <w:rPr>
                <w:rFonts w:ascii="Cambria Math" w:hAnsi="Cambria Math"/>
                <w:szCs w:val="22"/>
              </w:rPr>
            </m:ctrlPr>
          </m:sup>
          <m:e>
            <m:sSup>
              <m:sSupPr>
                <m:ctrlPr>
                  <w:rPr>
                    <w:rFonts w:ascii="Cambria Math" w:hAnsi="Cambria Math"/>
                    <w:i/>
                    <w:szCs w:val="22"/>
                  </w:rPr>
                </m:ctrlPr>
              </m:sSupPr>
              <m:e>
                <m:r>
                  <m:rPr/>
                  <w:rPr>
                    <w:rFonts w:ascii="Cambria Math" w:hAnsi="Cambria Math"/>
                  </w:rPr>
                  <m:t>(</m:t>
                </m:r>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i</m:t>
                    </m:r>
                    <m:ctrlPr>
                      <w:rPr>
                        <w:rFonts w:ascii="Cambria Math" w:hAnsi="Cambria Math"/>
                        <w:i/>
                        <w:szCs w:val="22"/>
                      </w:rPr>
                    </m:ctrlPr>
                  </m:sub>
                </m:sSub>
                <m:r>
                  <m:rPr/>
                  <w:rPr>
                    <w:rFonts w:ascii="Cambria Math" w:hAnsi="Cambria Math"/>
                  </w:rPr>
                  <m:t>−</m:t>
                </m:r>
                <m:acc>
                  <m:accPr>
                    <m:chr m:val="̅"/>
                    <m:ctrlPr>
                      <w:rPr>
                        <w:rFonts w:ascii="Cambria Math" w:hAnsi="Cambria Math"/>
                        <w:i/>
                        <w:szCs w:val="22"/>
                      </w:rPr>
                    </m:ctrlPr>
                  </m:accPr>
                  <m:e>
                    <m:r>
                      <m:rPr/>
                      <w:rPr>
                        <w:rFonts w:ascii="Cambria Math" w:hAnsi="Cambria Math"/>
                      </w:rPr>
                      <m:t>S</m:t>
                    </m:r>
                    <m:ctrlPr>
                      <w:rPr>
                        <w:rFonts w:ascii="Cambria Math" w:hAnsi="Cambria Math"/>
                        <w:i/>
                        <w:szCs w:val="22"/>
                      </w:rPr>
                    </m:ctrlPr>
                  </m:e>
                </m:acc>
                <m:r>
                  <m:rPr/>
                  <w:rPr>
                    <w:rFonts w:ascii="Cambria Math" w:hAnsi="Cambria Math"/>
                  </w:rPr>
                  <m:t>)</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szCs w:val="22"/>
              </w:rPr>
            </m:ctrlPr>
          </m:e>
        </m:nary>
      </m:oMath>
      <w:r>
        <w:t xml:space="preserve">                                           </w:t>
      </w:r>
      <w:r>
        <w:rPr>
          <w:rFonts w:hint="eastAsia"/>
        </w:rPr>
        <w:t xml:space="preserve">           </w:t>
      </w:r>
      <w:r>
        <w:t xml:space="preserve">        (25)</w:t>
      </w:r>
    </w:p>
    <w:p>
      <w:pPr>
        <w:pStyle w:val="23"/>
      </w:pPr>
      <w:r>
        <w:rPr>
          <w:rFonts w:hint="eastAsia"/>
        </w:rPr>
        <w:t>如果</w:t>
      </w:r>
      <w:r>
        <w:rPr>
          <w:i/>
        </w:rPr>
        <w:t>K</w:t>
      </w:r>
      <w:r>
        <w:t>&gt;</w:t>
      </w:r>
      <w:r>
        <w:rPr>
          <w:i/>
        </w:rPr>
        <w:t>K</w:t>
      </w:r>
      <w:r>
        <w:rPr>
          <w:vertAlign w:val="subscript"/>
        </w:rPr>
        <w:t>cr</w:t>
      </w:r>
      <w:r>
        <w:t xml:space="preserve">, </w:t>
      </w:r>
      <w:r>
        <w:rPr>
          <w:rFonts w:hint="eastAsia"/>
        </w:rPr>
        <w:t>样本有显著性差异。</w:t>
      </w:r>
      <w:r>
        <w:t>95%</w:t>
      </w:r>
      <w:r>
        <w:rPr>
          <w:rFonts w:hint="eastAsia"/>
        </w:rPr>
        <w:t>显著性水平的</w:t>
      </w:r>
      <w:r>
        <w:rPr>
          <w:i/>
        </w:rPr>
        <w:t>K</w:t>
      </w:r>
      <w:r>
        <w:rPr>
          <w:vertAlign w:val="subscript"/>
        </w:rPr>
        <w:t>cr</w:t>
      </w:r>
      <w:r>
        <w:rPr>
          <w:rFonts w:hint="eastAsia"/>
        </w:rPr>
        <w:t>值在表</w:t>
      </w:r>
      <w:r>
        <w:t>19</w:t>
      </w:r>
      <w:r>
        <w:rPr>
          <w:rFonts w:hint="eastAsia"/>
        </w:rPr>
        <w:t>中给出。</w:t>
      </w:r>
    </w:p>
    <w:p>
      <w:pPr>
        <w:pStyle w:val="127"/>
        <w:ind w:left="0"/>
      </w:pPr>
      <w:r>
        <w:rPr>
          <w:rFonts w:hint="eastAsia" w:hAnsi="黑体"/>
        </w:rPr>
        <w:t>Friedman检验：显著性水平0.05的临界值</w:t>
      </w:r>
    </w:p>
    <w:tbl>
      <w:tblPr>
        <w:tblStyle w:val="33"/>
        <w:tblW w:w="5000" w:type="pct"/>
        <w:tblInd w:w="0" w:type="dxa"/>
        <w:tblLayout w:type="autofit"/>
        <w:tblCellMar>
          <w:top w:w="0" w:type="dxa"/>
          <w:left w:w="108" w:type="dxa"/>
          <w:bottom w:w="0" w:type="dxa"/>
          <w:right w:w="108" w:type="dxa"/>
        </w:tblCellMar>
      </w:tblPr>
      <w:tblGrid>
        <w:gridCol w:w="554"/>
        <w:gridCol w:w="533"/>
        <w:gridCol w:w="555"/>
        <w:gridCol w:w="618"/>
        <w:gridCol w:w="519"/>
        <w:gridCol w:w="519"/>
        <w:gridCol w:w="683"/>
        <w:gridCol w:w="746"/>
        <w:gridCol w:w="789"/>
        <w:gridCol w:w="789"/>
        <w:gridCol w:w="833"/>
        <w:gridCol w:w="812"/>
        <w:gridCol w:w="812"/>
        <w:gridCol w:w="808"/>
      </w:tblGrid>
      <w:tr>
        <w:tblPrEx>
          <w:tblCellMar>
            <w:top w:w="0" w:type="dxa"/>
            <w:left w:w="108" w:type="dxa"/>
            <w:bottom w:w="0" w:type="dxa"/>
            <w:right w:w="108" w:type="dxa"/>
          </w:tblCellMar>
        </w:tblPrEx>
        <w:trPr>
          <w:trHeight w:val="270" w:hRule="atLeast"/>
        </w:trPr>
        <w:tc>
          <w:tcPr>
            <w:tcW w:w="290" w:type="pct"/>
            <w:tcBorders>
              <w:top w:val="single" w:color="auto" w:sz="8" w:space="0"/>
              <w:left w:val="single" w:color="auto" w:sz="8" w:space="0"/>
              <w:bottom w:val="nil"/>
              <w:right w:val="single" w:color="auto" w:sz="8" w:space="0"/>
            </w:tcBorders>
            <w:shd w:val="clear" w:color="auto" w:fill="auto"/>
          </w:tcPr>
          <w:p>
            <w:pPr>
              <w:widowControl/>
              <w:jc w:val="left"/>
              <w:rPr>
                <w:i/>
                <w:iCs/>
                <w:color w:val="000000"/>
                <w:kern w:val="0"/>
                <w:sz w:val="18"/>
                <w:szCs w:val="18"/>
              </w:rPr>
            </w:pPr>
            <w:r>
              <w:rPr>
                <w:i/>
                <w:iCs/>
                <w:color w:val="000000"/>
                <w:kern w:val="0"/>
                <w:sz w:val="18"/>
                <w:szCs w:val="18"/>
              </w:rPr>
              <w:t>m</w:t>
            </w:r>
            <w:r>
              <w:rPr>
                <w:color w:val="000000"/>
                <w:kern w:val="0"/>
                <w:sz w:val="18"/>
                <w:szCs w:val="18"/>
                <w:vertAlign w:val="superscript"/>
              </w:rPr>
              <w:t>a</w:t>
            </w:r>
          </w:p>
        </w:tc>
        <w:tc>
          <w:tcPr>
            <w:tcW w:w="4710" w:type="pct"/>
            <w:gridSpan w:val="13"/>
            <w:tcBorders>
              <w:top w:val="single" w:color="auto" w:sz="8" w:space="0"/>
              <w:left w:val="nil"/>
              <w:bottom w:val="nil"/>
              <w:right w:val="single" w:color="000000" w:sz="8" w:space="0"/>
            </w:tcBorders>
            <w:shd w:val="clear" w:color="auto" w:fill="auto"/>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样本中的观察值</w:t>
            </w:r>
            <w:r>
              <w:rPr>
                <w:rFonts w:hint="eastAsia" w:ascii="宋体" w:hAnsi="宋体" w:cs="宋体"/>
                <w:kern w:val="0"/>
                <w:sz w:val="18"/>
                <w:szCs w:val="18"/>
              </w:rPr>
              <w:t>编号</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nil"/>
              <w:right w:val="single" w:color="auto" w:sz="8" w:space="0"/>
            </w:tcBorders>
            <w:shd w:val="clear" w:color="auto" w:fill="auto"/>
          </w:tcPr>
          <w:p>
            <w:pPr>
              <w:widowControl/>
              <w:jc w:val="left"/>
              <w:rPr>
                <w:color w:val="000000"/>
                <w:kern w:val="0"/>
                <w:sz w:val="18"/>
                <w:szCs w:val="18"/>
              </w:rPr>
            </w:pPr>
            <w:r>
              <w:rPr>
                <w:color w:val="000000"/>
                <w:kern w:val="0"/>
                <w:sz w:val="18"/>
                <w:szCs w:val="18"/>
              </w:rPr>
              <w:t>　</w:t>
            </w:r>
          </w:p>
        </w:tc>
        <w:tc>
          <w:tcPr>
            <w:tcW w:w="4710" w:type="pct"/>
            <w:gridSpan w:val="13"/>
            <w:tcBorders>
              <w:top w:val="nil"/>
              <w:left w:val="nil"/>
              <w:bottom w:val="single" w:color="auto" w:sz="8" w:space="0"/>
              <w:right w:val="single" w:color="000000" w:sz="8" w:space="0"/>
            </w:tcBorders>
            <w:shd w:val="clear" w:color="auto" w:fill="auto"/>
          </w:tcPr>
          <w:p>
            <w:pPr>
              <w:widowControl/>
              <w:jc w:val="center"/>
              <w:rPr>
                <w:i/>
                <w:iCs/>
                <w:color w:val="000000"/>
                <w:kern w:val="0"/>
                <w:sz w:val="18"/>
                <w:szCs w:val="18"/>
              </w:rPr>
            </w:pPr>
            <w:r>
              <w:rPr>
                <w:i/>
                <w:iCs/>
                <w:color w:val="000000"/>
                <w:kern w:val="0"/>
                <w:sz w:val="18"/>
                <w:szCs w:val="18"/>
              </w:rPr>
              <w:t>N</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tcPr>
          <w:p>
            <w:pPr>
              <w:widowControl/>
              <w:jc w:val="left"/>
              <w:rPr>
                <w:color w:val="000000"/>
                <w:kern w:val="0"/>
                <w:sz w:val="18"/>
                <w:szCs w:val="18"/>
              </w:rPr>
            </w:pPr>
            <w:r>
              <w:rPr>
                <w:color w:val="000000"/>
                <w:kern w:val="0"/>
                <w:sz w:val="18"/>
                <w:szCs w:val="18"/>
              </w:rPr>
              <w:t>　</w:t>
            </w:r>
          </w:p>
        </w:tc>
        <w:tc>
          <w:tcPr>
            <w:tcW w:w="279" w:type="pct"/>
            <w:tcBorders>
              <w:top w:val="nil"/>
              <w:left w:val="nil"/>
              <w:bottom w:val="single" w:color="auto" w:sz="8" w:space="0"/>
              <w:right w:val="single" w:color="auto" w:sz="8" w:space="0"/>
            </w:tcBorders>
            <w:shd w:val="clear" w:color="auto" w:fill="auto"/>
            <w:vAlign w:val="center"/>
          </w:tcPr>
          <w:p>
            <w:pPr>
              <w:widowControl/>
              <w:jc w:val="right"/>
              <w:rPr>
                <w:rFonts w:ascii="Calibri" w:hAnsi="Calibri" w:cs="Calibri"/>
                <w:color w:val="000000"/>
                <w:kern w:val="0"/>
                <w:sz w:val="18"/>
                <w:szCs w:val="18"/>
              </w:rPr>
            </w:pPr>
            <w:r>
              <w:rPr>
                <w:rFonts w:ascii="Calibri" w:hAnsi="Calibri" w:cs="Calibri"/>
                <w:color w:val="000000"/>
                <w:kern w:val="0"/>
                <w:sz w:val="18"/>
                <w:szCs w:val="18"/>
              </w:rPr>
              <w:t>3</w:t>
            </w:r>
          </w:p>
        </w:tc>
        <w:tc>
          <w:tcPr>
            <w:tcW w:w="290" w:type="pct"/>
            <w:tcBorders>
              <w:top w:val="nil"/>
              <w:left w:val="nil"/>
              <w:bottom w:val="single" w:color="auto" w:sz="8" w:space="0"/>
              <w:right w:val="single" w:color="auto" w:sz="8" w:space="0"/>
            </w:tcBorders>
            <w:shd w:val="clear" w:color="auto" w:fill="auto"/>
            <w:vAlign w:val="center"/>
          </w:tcPr>
          <w:p>
            <w:pPr>
              <w:widowControl/>
              <w:jc w:val="right"/>
              <w:rPr>
                <w:rFonts w:ascii="Calibri" w:hAnsi="Calibri" w:cs="Calibri"/>
                <w:color w:val="000000"/>
                <w:kern w:val="0"/>
                <w:sz w:val="18"/>
                <w:szCs w:val="18"/>
              </w:rPr>
            </w:pPr>
            <w:r>
              <w:rPr>
                <w:rFonts w:ascii="Calibri" w:hAnsi="Calibri" w:cs="Calibri"/>
                <w:color w:val="000000"/>
                <w:kern w:val="0"/>
                <w:sz w:val="18"/>
                <w:szCs w:val="18"/>
              </w:rPr>
              <w:t>4</w:t>
            </w:r>
          </w:p>
        </w:tc>
        <w:tc>
          <w:tcPr>
            <w:tcW w:w="323" w:type="pct"/>
            <w:tcBorders>
              <w:top w:val="nil"/>
              <w:left w:val="nil"/>
              <w:bottom w:val="single" w:color="auto" w:sz="8" w:space="0"/>
              <w:right w:val="single" w:color="auto" w:sz="8" w:space="0"/>
            </w:tcBorders>
            <w:shd w:val="clear" w:color="auto" w:fill="auto"/>
            <w:vAlign w:val="center"/>
          </w:tcPr>
          <w:p>
            <w:pPr>
              <w:widowControl/>
              <w:jc w:val="right"/>
              <w:rPr>
                <w:rFonts w:ascii="Calibri" w:hAnsi="Calibri" w:cs="Calibri"/>
                <w:color w:val="000000"/>
                <w:kern w:val="0"/>
                <w:sz w:val="18"/>
                <w:szCs w:val="18"/>
              </w:rPr>
            </w:pPr>
            <w:r>
              <w:rPr>
                <w:rFonts w:ascii="Calibri" w:hAnsi="Calibri" w:cs="Calibri"/>
                <w:color w:val="000000"/>
                <w:kern w:val="0"/>
                <w:sz w:val="18"/>
                <w:szCs w:val="18"/>
              </w:rPr>
              <w:t>5</w:t>
            </w:r>
          </w:p>
        </w:tc>
        <w:tc>
          <w:tcPr>
            <w:tcW w:w="271" w:type="pct"/>
            <w:tcBorders>
              <w:top w:val="nil"/>
              <w:left w:val="nil"/>
              <w:bottom w:val="single" w:color="auto" w:sz="8" w:space="0"/>
              <w:right w:val="single" w:color="auto" w:sz="8" w:space="0"/>
            </w:tcBorders>
            <w:shd w:val="clear" w:color="auto" w:fill="auto"/>
            <w:vAlign w:val="center"/>
          </w:tcPr>
          <w:p>
            <w:pPr>
              <w:widowControl/>
              <w:jc w:val="right"/>
              <w:rPr>
                <w:rFonts w:ascii="Calibri" w:hAnsi="Calibri" w:cs="Calibri"/>
                <w:color w:val="000000"/>
                <w:kern w:val="0"/>
                <w:sz w:val="18"/>
                <w:szCs w:val="18"/>
              </w:rPr>
            </w:pPr>
            <w:r>
              <w:rPr>
                <w:rFonts w:ascii="Calibri" w:hAnsi="Calibri" w:cs="Calibri"/>
                <w:color w:val="000000"/>
                <w:kern w:val="0"/>
                <w:sz w:val="18"/>
                <w:szCs w:val="18"/>
              </w:rPr>
              <w:t>6</w:t>
            </w:r>
          </w:p>
        </w:tc>
        <w:tc>
          <w:tcPr>
            <w:tcW w:w="271" w:type="pct"/>
            <w:tcBorders>
              <w:top w:val="nil"/>
              <w:left w:val="nil"/>
              <w:bottom w:val="single" w:color="auto" w:sz="8" w:space="0"/>
              <w:right w:val="single" w:color="auto" w:sz="8" w:space="0"/>
            </w:tcBorders>
            <w:shd w:val="clear" w:color="auto" w:fill="auto"/>
            <w:vAlign w:val="center"/>
          </w:tcPr>
          <w:p>
            <w:pPr>
              <w:widowControl/>
              <w:jc w:val="right"/>
              <w:rPr>
                <w:rFonts w:ascii="Calibri" w:hAnsi="Calibri" w:cs="Calibri"/>
                <w:color w:val="000000"/>
                <w:kern w:val="0"/>
                <w:sz w:val="18"/>
                <w:szCs w:val="18"/>
              </w:rPr>
            </w:pPr>
            <w:r>
              <w:rPr>
                <w:rFonts w:ascii="Calibri" w:hAnsi="Calibri" w:cs="Calibri"/>
                <w:color w:val="000000"/>
                <w:kern w:val="0"/>
                <w:sz w:val="18"/>
                <w:szCs w:val="18"/>
              </w:rPr>
              <w:t>7</w:t>
            </w:r>
          </w:p>
        </w:tc>
        <w:tc>
          <w:tcPr>
            <w:tcW w:w="357" w:type="pct"/>
            <w:tcBorders>
              <w:top w:val="nil"/>
              <w:left w:val="nil"/>
              <w:bottom w:val="single" w:color="auto" w:sz="8" w:space="0"/>
              <w:right w:val="single" w:color="auto" w:sz="8" w:space="0"/>
            </w:tcBorders>
            <w:shd w:val="clear" w:color="auto" w:fill="auto"/>
            <w:vAlign w:val="center"/>
          </w:tcPr>
          <w:p>
            <w:pPr>
              <w:widowControl/>
              <w:jc w:val="right"/>
              <w:rPr>
                <w:rFonts w:ascii="Calibri" w:hAnsi="Calibri" w:cs="Calibri"/>
                <w:color w:val="000000"/>
                <w:kern w:val="0"/>
                <w:sz w:val="18"/>
                <w:szCs w:val="18"/>
              </w:rPr>
            </w:pPr>
            <w:r>
              <w:rPr>
                <w:rFonts w:ascii="Calibri" w:hAnsi="Calibri" w:cs="Calibri"/>
                <w:color w:val="000000"/>
                <w:kern w:val="0"/>
                <w:sz w:val="18"/>
                <w:szCs w:val="18"/>
              </w:rPr>
              <w:t>8</w:t>
            </w:r>
          </w:p>
        </w:tc>
        <w:tc>
          <w:tcPr>
            <w:tcW w:w="390" w:type="pct"/>
            <w:tcBorders>
              <w:top w:val="nil"/>
              <w:left w:val="nil"/>
              <w:bottom w:val="single" w:color="auto" w:sz="8" w:space="0"/>
              <w:right w:val="single" w:color="auto" w:sz="8" w:space="0"/>
            </w:tcBorders>
            <w:shd w:val="clear" w:color="auto" w:fill="auto"/>
            <w:vAlign w:val="center"/>
          </w:tcPr>
          <w:p>
            <w:pPr>
              <w:widowControl/>
              <w:jc w:val="center"/>
              <w:rPr>
                <w:rFonts w:ascii="Calibri" w:hAnsi="Calibri" w:cs="Calibri"/>
                <w:color w:val="000000"/>
                <w:kern w:val="0"/>
                <w:sz w:val="18"/>
                <w:szCs w:val="18"/>
              </w:rPr>
            </w:pPr>
            <w:r>
              <w:rPr>
                <w:rFonts w:ascii="Calibri" w:hAnsi="Calibri" w:cs="Calibri"/>
                <w:color w:val="000000"/>
                <w:kern w:val="0"/>
                <w:sz w:val="18"/>
                <w:szCs w:val="18"/>
              </w:rPr>
              <w:t>9</w:t>
            </w:r>
          </w:p>
        </w:tc>
        <w:tc>
          <w:tcPr>
            <w:tcW w:w="412" w:type="pct"/>
            <w:tcBorders>
              <w:top w:val="nil"/>
              <w:left w:val="nil"/>
              <w:bottom w:val="single" w:color="auto" w:sz="8" w:space="0"/>
              <w:right w:val="single" w:color="auto" w:sz="8" w:space="0"/>
            </w:tcBorders>
            <w:shd w:val="clear" w:color="auto" w:fill="auto"/>
            <w:vAlign w:val="center"/>
          </w:tcPr>
          <w:p>
            <w:pPr>
              <w:widowControl/>
              <w:jc w:val="right"/>
              <w:rPr>
                <w:rFonts w:ascii="Calibri" w:hAnsi="Calibri" w:cs="Calibri"/>
                <w:color w:val="000000"/>
                <w:kern w:val="0"/>
                <w:sz w:val="18"/>
                <w:szCs w:val="18"/>
              </w:rPr>
            </w:pPr>
            <w:r>
              <w:rPr>
                <w:rFonts w:ascii="Calibri" w:hAnsi="Calibri" w:cs="Calibri"/>
                <w:color w:val="000000"/>
                <w:kern w:val="0"/>
                <w:sz w:val="18"/>
                <w:szCs w:val="18"/>
              </w:rPr>
              <w:t>10</w:t>
            </w:r>
          </w:p>
        </w:tc>
        <w:tc>
          <w:tcPr>
            <w:tcW w:w="412" w:type="pct"/>
            <w:tcBorders>
              <w:top w:val="nil"/>
              <w:left w:val="nil"/>
              <w:bottom w:val="single" w:color="auto" w:sz="8" w:space="0"/>
              <w:right w:val="single" w:color="auto" w:sz="8" w:space="0"/>
            </w:tcBorders>
            <w:shd w:val="clear" w:color="auto" w:fill="auto"/>
            <w:vAlign w:val="center"/>
          </w:tcPr>
          <w:p>
            <w:pPr>
              <w:widowControl/>
              <w:jc w:val="right"/>
              <w:rPr>
                <w:rFonts w:ascii="Calibri" w:hAnsi="Calibri" w:cs="Calibri"/>
                <w:color w:val="000000"/>
                <w:kern w:val="0"/>
                <w:sz w:val="18"/>
                <w:szCs w:val="18"/>
              </w:rPr>
            </w:pPr>
            <w:r>
              <w:rPr>
                <w:rFonts w:ascii="Calibri" w:hAnsi="Calibri" w:cs="Calibri"/>
                <w:color w:val="000000"/>
                <w:kern w:val="0"/>
                <w:sz w:val="18"/>
                <w:szCs w:val="18"/>
              </w:rPr>
              <w:t>11</w:t>
            </w:r>
          </w:p>
        </w:tc>
        <w:tc>
          <w:tcPr>
            <w:tcW w:w="435" w:type="pct"/>
            <w:tcBorders>
              <w:top w:val="nil"/>
              <w:left w:val="nil"/>
              <w:bottom w:val="single" w:color="auto" w:sz="8" w:space="0"/>
              <w:right w:val="single" w:color="auto" w:sz="8" w:space="0"/>
            </w:tcBorders>
            <w:shd w:val="clear" w:color="auto" w:fill="auto"/>
            <w:vAlign w:val="center"/>
          </w:tcPr>
          <w:p>
            <w:pPr>
              <w:widowControl/>
              <w:jc w:val="right"/>
              <w:rPr>
                <w:rFonts w:ascii="Calibri" w:hAnsi="Calibri" w:cs="Calibri"/>
                <w:color w:val="000000"/>
                <w:kern w:val="0"/>
                <w:sz w:val="18"/>
                <w:szCs w:val="18"/>
              </w:rPr>
            </w:pPr>
            <w:r>
              <w:rPr>
                <w:rFonts w:ascii="Calibri" w:hAnsi="Calibri" w:cs="Calibri"/>
                <w:color w:val="000000"/>
                <w:kern w:val="0"/>
                <w:sz w:val="18"/>
                <w:szCs w:val="18"/>
              </w:rPr>
              <w:t>12</w:t>
            </w:r>
          </w:p>
        </w:tc>
        <w:tc>
          <w:tcPr>
            <w:tcW w:w="424" w:type="pct"/>
            <w:tcBorders>
              <w:top w:val="nil"/>
              <w:left w:val="nil"/>
              <w:bottom w:val="single" w:color="auto" w:sz="8" w:space="0"/>
              <w:right w:val="single" w:color="auto" w:sz="8" w:space="0"/>
            </w:tcBorders>
            <w:shd w:val="clear" w:color="auto" w:fill="auto"/>
            <w:vAlign w:val="center"/>
          </w:tcPr>
          <w:p>
            <w:pPr>
              <w:widowControl/>
              <w:jc w:val="right"/>
              <w:rPr>
                <w:rFonts w:ascii="Calibri" w:hAnsi="Calibri" w:cs="Calibri"/>
                <w:color w:val="000000"/>
                <w:kern w:val="0"/>
                <w:sz w:val="18"/>
                <w:szCs w:val="18"/>
              </w:rPr>
            </w:pPr>
            <w:r>
              <w:rPr>
                <w:rFonts w:ascii="Calibri" w:hAnsi="Calibri" w:cs="Calibri"/>
                <w:color w:val="000000"/>
                <w:kern w:val="0"/>
                <w:sz w:val="18"/>
                <w:szCs w:val="18"/>
              </w:rPr>
              <w:t>13</w:t>
            </w:r>
          </w:p>
        </w:tc>
        <w:tc>
          <w:tcPr>
            <w:tcW w:w="424" w:type="pct"/>
            <w:tcBorders>
              <w:top w:val="nil"/>
              <w:left w:val="nil"/>
              <w:bottom w:val="single" w:color="auto" w:sz="8" w:space="0"/>
              <w:right w:val="single" w:color="auto" w:sz="8" w:space="0"/>
            </w:tcBorders>
            <w:shd w:val="clear" w:color="auto" w:fill="auto"/>
            <w:vAlign w:val="center"/>
          </w:tcPr>
          <w:p>
            <w:pPr>
              <w:widowControl/>
              <w:jc w:val="right"/>
              <w:rPr>
                <w:rFonts w:ascii="Calibri" w:hAnsi="Calibri" w:cs="Calibri"/>
                <w:color w:val="000000"/>
                <w:kern w:val="0"/>
                <w:sz w:val="18"/>
                <w:szCs w:val="18"/>
              </w:rPr>
            </w:pPr>
            <w:r>
              <w:rPr>
                <w:rFonts w:ascii="Calibri" w:hAnsi="Calibri" w:cs="Calibri"/>
                <w:color w:val="000000"/>
                <w:kern w:val="0"/>
                <w:sz w:val="18"/>
                <w:szCs w:val="18"/>
              </w:rPr>
              <w:t>14</w:t>
            </w:r>
          </w:p>
        </w:tc>
        <w:tc>
          <w:tcPr>
            <w:tcW w:w="424" w:type="pct"/>
            <w:tcBorders>
              <w:top w:val="nil"/>
              <w:left w:val="nil"/>
              <w:bottom w:val="single" w:color="auto" w:sz="8" w:space="0"/>
              <w:right w:val="single" w:color="auto" w:sz="8" w:space="0"/>
            </w:tcBorders>
            <w:shd w:val="clear" w:color="auto" w:fill="auto"/>
            <w:vAlign w:val="center"/>
          </w:tcPr>
          <w:p>
            <w:pPr>
              <w:widowControl/>
              <w:jc w:val="right"/>
              <w:rPr>
                <w:rFonts w:ascii="Calibri" w:hAnsi="Calibri" w:cs="Calibri"/>
                <w:color w:val="000000"/>
                <w:kern w:val="0"/>
                <w:sz w:val="18"/>
                <w:szCs w:val="18"/>
              </w:rPr>
            </w:pPr>
            <w:r>
              <w:rPr>
                <w:rFonts w:ascii="Calibri" w:hAnsi="Calibri" w:cs="Calibri"/>
                <w:color w:val="000000"/>
                <w:kern w:val="0"/>
                <w:sz w:val="18"/>
                <w:szCs w:val="18"/>
              </w:rPr>
              <w:t>15</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96</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138</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192</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258</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336</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429</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538</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664</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808</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104</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158</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225</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311</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416</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542</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691</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865</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1 063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1 292 </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89</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144</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217</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311</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429</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574</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747</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950</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1 189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1 460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1 770 </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65</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113</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183</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277</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396</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547</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731</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950</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1 210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1 512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1 859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2 254 </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76</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137</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222</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336</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482</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664</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887</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1 155 </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1 469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1 831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2 253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2 738 </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92</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167</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272</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412</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591</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815</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1 086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1 410 </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1 791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2 233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2 740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3 316 </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105</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190</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310</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471</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676</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931</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1 241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1 612 </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2 047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2 552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3 131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3 790 </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118</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214</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349</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529</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760</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1 047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1 396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1 813 </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2 302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2 871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3 523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4 264 </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62</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131</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238</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388</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588</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845</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1 164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1 551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2 014 </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2 558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3 189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3 914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4 737 </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66</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144</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261</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427</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647</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929</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1 280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1 706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2 216 </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2 814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3 508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4 305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5 211 </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72</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157</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285</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465</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706</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1 013 </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1 396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1 862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2 417 </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3 070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3 827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4 697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5 685 </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170</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309</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504</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764</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1 098 </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1 512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2 017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2 618 </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3 326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4 146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5 088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6 159 </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84</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183</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333</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543</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823</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1 182 </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1 629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2 172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2 820 </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3 581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4 465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5 479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6 632 </w:t>
            </w:r>
          </w:p>
        </w:tc>
      </w:tr>
      <w:tr>
        <w:tblPrEx>
          <w:tblCellMar>
            <w:top w:w="0" w:type="dxa"/>
            <w:left w:w="108" w:type="dxa"/>
            <w:bottom w:w="0" w:type="dxa"/>
            <w:right w:w="108" w:type="dxa"/>
          </w:tblCellMar>
        </w:tblPrEx>
        <w:trPr>
          <w:trHeight w:val="285" w:hRule="atLeast"/>
        </w:trPr>
        <w:tc>
          <w:tcPr>
            <w:tcW w:w="290" w:type="pct"/>
            <w:tcBorders>
              <w:top w:val="nil"/>
              <w:left w:val="single" w:color="auto" w:sz="8" w:space="0"/>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279"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90</w:t>
            </w:r>
          </w:p>
        </w:tc>
        <w:tc>
          <w:tcPr>
            <w:tcW w:w="290"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196</w:t>
            </w:r>
          </w:p>
        </w:tc>
        <w:tc>
          <w:tcPr>
            <w:tcW w:w="323"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356</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582</w:t>
            </w:r>
          </w:p>
        </w:tc>
        <w:tc>
          <w:tcPr>
            <w:tcW w:w="271" w:type="pct"/>
            <w:tcBorders>
              <w:top w:val="nil"/>
              <w:left w:val="nil"/>
              <w:bottom w:val="single" w:color="auto" w:sz="8" w:space="0"/>
              <w:right w:val="single" w:color="auto" w:sz="8" w:space="0"/>
            </w:tcBorders>
            <w:shd w:val="clear" w:color="auto" w:fill="auto"/>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882</w:t>
            </w:r>
          </w:p>
        </w:tc>
        <w:tc>
          <w:tcPr>
            <w:tcW w:w="357"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1 267 </w:t>
            </w:r>
          </w:p>
        </w:tc>
        <w:tc>
          <w:tcPr>
            <w:tcW w:w="390"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1 745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2 327 </w:t>
            </w:r>
          </w:p>
        </w:tc>
        <w:tc>
          <w:tcPr>
            <w:tcW w:w="412"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3 021 </w:t>
            </w:r>
          </w:p>
        </w:tc>
        <w:tc>
          <w:tcPr>
            <w:tcW w:w="435"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3 837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4 784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5 871 </w:t>
            </w:r>
          </w:p>
        </w:tc>
        <w:tc>
          <w:tcPr>
            <w:tcW w:w="424" w:type="pct"/>
            <w:tcBorders>
              <w:top w:val="nil"/>
              <w:left w:val="nil"/>
              <w:bottom w:val="single" w:color="auto" w:sz="8" w:space="0"/>
              <w:right w:val="single" w:color="auto" w:sz="8" w:space="0"/>
            </w:tcBorders>
            <w:shd w:val="clear" w:color="auto" w:fill="auto"/>
            <w:noWrap/>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 xml:space="preserve">7 106 </w:t>
            </w:r>
          </w:p>
        </w:tc>
      </w:tr>
      <w:tr>
        <w:trPr>
          <w:trHeight w:val="285" w:hRule="atLeast"/>
        </w:trPr>
        <w:tc>
          <w:tcPr>
            <w:tcW w:w="5000" w:type="pct"/>
            <w:gridSpan w:val="14"/>
            <w:tcBorders>
              <w:top w:val="single" w:color="auto" w:sz="8" w:space="0"/>
              <w:left w:val="single" w:color="auto" w:sz="8" w:space="0"/>
              <w:bottom w:val="single" w:color="auto" w:sz="8" w:space="0"/>
              <w:right w:val="single" w:color="000000" w:sz="8" w:space="0"/>
            </w:tcBorders>
            <w:shd w:val="clear" w:color="auto" w:fill="auto"/>
          </w:tcPr>
          <w:p>
            <w:pPr>
              <w:widowControl/>
              <w:jc w:val="left"/>
              <w:rPr>
                <w:color w:val="000000"/>
                <w:kern w:val="0"/>
                <w:sz w:val="18"/>
                <w:szCs w:val="18"/>
              </w:rPr>
            </w:pPr>
            <w:r>
              <w:rPr>
                <w:color w:val="000000"/>
                <w:kern w:val="0"/>
                <w:sz w:val="18"/>
                <w:szCs w:val="18"/>
                <w:vertAlign w:val="superscript"/>
              </w:rPr>
              <w:t>a</w:t>
            </w:r>
            <w:r>
              <w:rPr>
                <w:color w:val="000000"/>
                <w:kern w:val="0"/>
                <w:sz w:val="18"/>
                <w:szCs w:val="18"/>
              </w:rPr>
              <w:t xml:space="preserve">  </w:t>
            </w:r>
            <w:r>
              <w:rPr>
                <w:i/>
                <w:iCs/>
                <w:color w:val="000000"/>
                <w:kern w:val="0"/>
                <w:sz w:val="18"/>
                <w:szCs w:val="18"/>
              </w:rPr>
              <w:t>m</w:t>
            </w:r>
            <w:r>
              <w:rPr>
                <w:color w:val="000000"/>
                <w:kern w:val="0"/>
                <w:sz w:val="18"/>
                <w:szCs w:val="18"/>
              </w:rPr>
              <w:t>=</w:t>
            </w:r>
            <w:r>
              <w:rPr>
                <w:rFonts w:hint="eastAsia" w:ascii="宋体" w:hAnsi="宋体"/>
                <w:color w:val="000000"/>
                <w:kern w:val="0"/>
                <w:sz w:val="18"/>
                <w:szCs w:val="18"/>
              </w:rPr>
              <w:t>对样本中的观察结果进行排序的观察者</w:t>
            </w:r>
            <w:r>
              <w:rPr>
                <w:rFonts w:hint="eastAsia" w:ascii="宋体" w:hAnsi="宋体"/>
                <w:kern w:val="0"/>
                <w:sz w:val="18"/>
                <w:szCs w:val="18"/>
              </w:rPr>
              <w:t>编号</w:t>
            </w:r>
            <w:r>
              <w:rPr>
                <w:rFonts w:hint="eastAsia" w:ascii="宋体" w:hAnsi="宋体"/>
                <w:color w:val="000000"/>
                <w:kern w:val="0"/>
                <w:sz w:val="18"/>
                <w:szCs w:val="18"/>
              </w:rPr>
              <w:t>。</w:t>
            </w:r>
          </w:p>
        </w:tc>
      </w:tr>
    </w:tbl>
    <w:p>
      <w:pPr>
        <w:pStyle w:val="23"/>
      </w:pPr>
    </w:p>
    <w:p>
      <w:pPr>
        <w:pStyle w:val="113"/>
      </w:pPr>
      <w:r>
        <w:rPr>
          <w:rFonts w:hint="eastAsia"/>
        </w:rPr>
        <w:t>当出现显著性差异时，每个样本的平均秩由式（26）确定：</w:t>
      </w:r>
    </w:p>
    <w:p>
      <w:pPr>
        <w:pStyle w:val="23"/>
      </w:pPr>
      <w:r>
        <w:rPr/>
        <w:sym w:font="Symbol" w:char="0060"/>
      </w:r>
      <w:r>
        <w:rPr>
          <w:i/>
        </w:rPr>
        <w:t>R</w:t>
      </w:r>
      <w:r>
        <w:rPr>
          <w:vertAlign w:val="subscript"/>
        </w:rPr>
        <w:t xml:space="preserve">i </w:t>
      </w:r>
      <w:r>
        <w:t xml:space="preserve">= </w:t>
      </w:r>
      <w:r>
        <w:rPr>
          <w:i/>
        </w:rPr>
        <w:t>S</w:t>
      </w:r>
      <w:r>
        <w:rPr>
          <w:vertAlign w:val="subscript"/>
        </w:rPr>
        <w:t>i</w:t>
      </w:r>
      <w:r>
        <w:t>/</w:t>
      </w:r>
      <w:r>
        <w:rPr>
          <w:i/>
        </w:rPr>
        <w:t>m</w:t>
      </w:r>
      <w:r>
        <w:t xml:space="preserve">                                 </w:t>
      </w:r>
      <w:r>
        <w:rPr>
          <w:rFonts w:hint="eastAsia"/>
        </w:rPr>
        <w:t xml:space="preserve">               </w:t>
      </w:r>
      <w:r>
        <w:t xml:space="preserve">                     (26)</w:t>
      </w:r>
    </w:p>
    <w:p>
      <w:pPr>
        <w:pStyle w:val="23"/>
      </w:pPr>
      <w:r>
        <w:rPr>
          <w:rFonts w:hint="eastAsia"/>
        </w:rPr>
        <w:t>虽然即使整个</w:t>
      </w:r>
      <w:r>
        <w:rPr>
          <w:rFonts w:ascii="Times New Roman"/>
          <w:i/>
        </w:rPr>
        <w:t>n</w:t>
      </w:r>
      <w:r>
        <w:rPr>
          <w:rFonts w:hint="eastAsia"/>
        </w:rPr>
        <w:t>个样本值之间存在显著差异，也不宜该假设任何一对平均秩值之间必然存在显著差异。</w:t>
      </w:r>
    </w:p>
    <w:p>
      <w:pPr>
        <w:pStyle w:val="113"/>
      </w:pPr>
      <w:r>
        <w:rPr>
          <w:rFonts w:hint="eastAsia"/>
        </w:rPr>
        <w:t>是否显著取决于样本间的差异和观察者间一致性程度。观察者之间的一致性系数由式（27）给出</w:t>
      </w:r>
      <w:r>
        <w:t>:</w:t>
      </w:r>
    </w:p>
    <w:p>
      <w:pPr>
        <w:pStyle w:val="23"/>
      </w:pPr>
      <m:oMath>
        <m:r>
          <m:rPr/>
          <w:rPr>
            <w:rFonts w:ascii="Cambria Math" w:hAnsi="Cambria Math"/>
          </w:rPr>
          <m:t>C=</m:t>
        </m:r>
        <m:f>
          <m:fPr>
            <m:ctrlPr>
              <w:rPr>
                <w:rFonts w:ascii="Cambria Math" w:hAnsi="Cambria Math"/>
                <w:i/>
                <w:szCs w:val="22"/>
              </w:rPr>
            </m:ctrlPr>
          </m:fPr>
          <m:num>
            <m:r>
              <m:rPr/>
              <w:rPr>
                <w:rFonts w:ascii="Cambria Math" w:hAnsi="Cambria Math"/>
              </w:rPr>
              <m:t>12K</m:t>
            </m:r>
            <m:ctrlPr>
              <w:rPr>
                <w:rFonts w:ascii="Cambria Math" w:hAnsi="Cambria Math"/>
                <w:i/>
                <w:szCs w:val="22"/>
              </w:rPr>
            </m:ctrlPr>
          </m:num>
          <m:den>
            <m:r>
              <m:rPr/>
              <w:rPr>
                <w:rFonts w:ascii="Cambria Math" w:hAnsi="Cambria Math"/>
              </w:rPr>
              <m:t>n</m:t>
            </m:r>
            <m:sSup>
              <m:sSupPr>
                <m:ctrlPr>
                  <w:rPr>
                    <w:rFonts w:ascii="Cambria Math" w:hAnsi="Cambria Math"/>
                    <w:i/>
                    <w:szCs w:val="22"/>
                  </w:rPr>
                </m:ctrlPr>
              </m:sSupPr>
              <m:e>
                <m:r>
                  <m:rPr/>
                  <w:rPr>
                    <w:rFonts w:ascii="Cambria Math" w:hAnsi="Cambria Math"/>
                  </w:rPr>
                  <m:t>m</m:t>
                </m:r>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r>
                  <m:rPr/>
                  <w:rPr>
                    <w:rFonts w:ascii="Cambria Math" w:hAnsi="Cambria Math"/>
                  </w:rPr>
                  <m:t>n</m:t>
                </m:r>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−1)</m:t>
            </m:r>
            <m:ctrlPr>
              <w:rPr>
                <w:rFonts w:ascii="Cambria Math" w:hAnsi="Cambria Math"/>
                <w:i/>
                <w:szCs w:val="22"/>
              </w:rPr>
            </m:ctrlPr>
          </m:den>
        </m:f>
      </m:oMath>
      <w:r>
        <w:rPr>
          <w:rFonts w:hint="eastAsia"/>
        </w:rPr>
        <w:t xml:space="preserve">                                                                  (27)</w:t>
      </w:r>
    </w:p>
    <w:p>
      <w:pPr>
        <w:pStyle w:val="113"/>
      </w:pPr>
      <w:r>
        <w:rPr>
          <w:rFonts w:hint="eastAsia"/>
        </w:rPr>
        <w:t>本参数可以取</w:t>
      </w:r>
      <w:r>
        <w:t>0</w:t>
      </w:r>
      <w:r>
        <w:rPr>
          <w:rFonts w:hint="eastAsia"/>
        </w:rPr>
        <w:t>（不一致）和</w:t>
      </w:r>
      <w:r>
        <w:t>1</w:t>
      </w:r>
      <w:r>
        <w:rPr>
          <w:rFonts w:hint="eastAsia"/>
        </w:rPr>
        <w:t>（完全一致）。为了达到高度的一致性，排序应以一个已明确说明的单一评判标准为基础。</w:t>
      </w:r>
    </w:p>
    <w:p>
      <w:pPr>
        <w:pStyle w:val="46"/>
        <w:spacing w:before="156" w:after="156"/>
      </w:pPr>
      <w:r>
        <w:rPr>
          <w:rFonts w:hint="eastAsia"/>
        </w:rPr>
        <w:t>外计数检验</w:t>
      </w:r>
    </w:p>
    <w:p>
      <w:pPr>
        <w:pStyle w:val="113"/>
      </w:pPr>
      <w:r>
        <w:rPr>
          <w:rFonts w:hint="eastAsia"/>
        </w:rPr>
        <w:t>这是一种粗略而现成的方法，用于比较总共</w:t>
      </w:r>
      <w:r>
        <w:rPr>
          <w:rFonts w:ascii="Times New Roman"/>
          <w:i/>
        </w:rPr>
        <w:t>n</w:t>
      </w:r>
      <w:r>
        <w:rPr>
          <w:rFonts w:hint="eastAsia"/>
        </w:rPr>
        <w:t>个样本中的两个特定样本。当两个样本中的一个是用于比较目的的参比材料时，它尤其有用。</w:t>
      </w:r>
    </w:p>
    <w:p>
      <w:pPr>
        <w:pStyle w:val="113"/>
      </w:pPr>
      <w:r>
        <w:rPr>
          <w:rFonts w:hint="eastAsia"/>
        </w:rPr>
        <w:t>步骤如下：</w:t>
      </w:r>
    </w:p>
    <w:p>
      <w:pPr>
        <w:pStyle w:val="59"/>
        <w:numPr>
          <w:ilvl w:val="0"/>
          <w:numId w:val="24"/>
        </w:numPr>
      </w:pPr>
      <w:r>
        <w:rPr>
          <w:rFonts w:hint="eastAsia"/>
        </w:rPr>
        <w:t>在包含最大值的样本中，计数比另一个样本中最大值高的值的个数</w:t>
      </w:r>
      <w:r>
        <w:t>;</w:t>
      </w:r>
    </w:p>
    <w:p>
      <w:pPr>
        <w:pStyle w:val="59"/>
      </w:pPr>
      <w:r>
        <w:rPr>
          <w:rFonts w:hint="eastAsia"/>
        </w:rPr>
        <w:t>计数另一个样本中小于第一个样本中最小值的值的个数。</w:t>
      </w:r>
    </w:p>
    <w:p>
      <w:pPr>
        <w:pStyle w:val="23"/>
      </w:pPr>
      <w:r>
        <w:rPr>
          <w:rFonts w:hint="eastAsia"/>
        </w:rPr>
        <w:t>如果这两个计数之和大于</w:t>
      </w:r>
      <w:r>
        <w:t>6</w:t>
      </w:r>
      <w:r>
        <w:rPr>
          <w:rFonts w:hint="eastAsia"/>
        </w:rPr>
        <w:t>，可以得出结论两个样本在</w:t>
      </w:r>
      <w:r>
        <w:t>95%</w:t>
      </w:r>
      <w:r>
        <w:rPr>
          <w:rFonts w:hint="eastAsia"/>
        </w:rPr>
        <w:t>置信水平上是不同的。</w:t>
      </w:r>
    </w:p>
    <w:p>
      <w:pPr>
        <w:pStyle w:val="42"/>
      </w:pPr>
      <w:bookmarkStart w:id="228" w:name="_Toc124173938"/>
      <w:r>
        <w:rPr>
          <w:rFonts w:hint="eastAsia"/>
        </w:rPr>
        <w:t>在橡胶试验中的应用</w:t>
      </w:r>
      <w:bookmarkEnd w:id="228"/>
    </w:p>
    <w:p>
      <w:pPr>
        <w:pStyle w:val="23"/>
      </w:pPr>
      <w:r>
        <w:rPr>
          <w:rFonts w:hint="eastAsia"/>
        </w:rPr>
        <w:t>按</w:t>
      </w:r>
      <w:r>
        <w:t>ISO 1431-1</w:t>
      </w:r>
      <w:r>
        <w:rPr>
          <w:rFonts w:hint="eastAsia"/>
        </w:rPr>
        <w:t>对</w:t>
      </w:r>
      <w:r>
        <w:t>10</w:t>
      </w:r>
      <w:r>
        <w:rPr>
          <w:rFonts w:hint="eastAsia"/>
        </w:rPr>
        <w:t>种含有不同抗臭氧剂的硫化胶同时进行耐臭氧性能试验，之后</w:t>
      </w:r>
      <w:r>
        <w:t>5</w:t>
      </w:r>
      <w:r>
        <w:rPr>
          <w:rFonts w:hint="eastAsia"/>
        </w:rPr>
        <w:t>名观察者分别以裂纹长度为指标对这</w:t>
      </w:r>
      <w:r>
        <w:t>10</w:t>
      </w:r>
      <w:r>
        <w:rPr>
          <w:rFonts w:hint="eastAsia"/>
        </w:rPr>
        <w:t>种硫化胶的龟裂长度进行排序。表</w:t>
      </w:r>
      <w:r>
        <w:t>20</w:t>
      </w:r>
      <w:r>
        <w:rPr>
          <w:rFonts w:hint="eastAsia"/>
        </w:rPr>
        <w:t>和表</w:t>
      </w:r>
      <w:r>
        <w:t>21</w:t>
      </w:r>
      <w:r>
        <w:rPr>
          <w:rFonts w:hint="eastAsia"/>
        </w:rPr>
        <w:t>分别给出了本次试验的结果和统计计算结果。</w:t>
      </w:r>
    </w:p>
    <w:p>
      <w:pPr>
        <w:pStyle w:val="127"/>
        <w:ind w:left="0"/>
      </w:pPr>
      <w:r>
        <w:rPr>
          <w:rFonts w:hint="eastAsia" w:hAnsi="黑体"/>
        </w:rPr>
        <w:t>耐臭氧试验结果</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4"/>
        <w:gridCol w:w="1594"/>
        <w:gridCol w:w="1596"/>
        <w:gridCol w:w="1596"/>
        <w:gridCol w:w="1597"/>
        <w:gridCol w:w="1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3" w:type="pct"/>
            <w:tcBorders>
              <w:top w:val="single" w:color="auto" w:sz="4" w:space="0"/>
              <w:left w:val="single" w:color="auto" w:sz="4" w:space="0"/>
              <w:bottom w:val="nil"/>
              <w:right w:val="single" w:color="auto" w:sz="4" w:space="0"/>
            </w:tcBorders>
            <w:vAlign w:val="center"/>
          </w:tcPr>
          <w:p>
            <w:pPr>
              <w:tabs>
                <w:tab w:val="left" w:pos="284"/>
                <w:tab w:val="left" w:pos="426"/>
                <w:tab w:val="left" w:pos="709"/>
                <w:tab w:val="center" w:pos="4201"/>
                <w:tab w:val="right" w:leader="dot" w:pos="9298"/>
              </w:tabs>
              <w:autoSpaceDE w:val="0"/>
              <w:autoSpaceDN w:val="0"/>
              <w:spacing w:line="0" w:lineRule="atLeast"/>
              <w:ind w:firstLine="360" w:firstLineChars="200"/>
              <w:jc w:val="center"/>
              <w:rPr>
                <w:sz w:val="18"/>
                <w:szCs w:val="18"/>
              </w:rPr>
            </w:pPr>
            <w:r>
              <w:rPr>
                <w:rFonts w:hint="eastAsia"/>
                <w:sz w:val="18"/>
                <w:szCs w:val="18"/>
              </w:rPr>
              <w:t>硫化胶</w:t>
            </w:r>
          </w:p>
        </w:tc>
        <w:tc>
          <w:tcPr>
            <w:tcW w:w="4167" w:type="pct"/>
            <w:gridSpan w:val="5"/>
            <w:tcBorders>
              <w:top w:val="single" w:color="auto" w:sz="4" w:space="0"/>
              <w:left w:val="single" w:color="auto" w:sz="4" w:space="0"/>
              <w:bottom w:val="nil"/>
              <w:right w:val="single" w:color="auto" w:sz="4" w:space="0"/>
            </w:tcBorders>
            <w:vAlign w:val="center"/>
          </w:tcPr>
          <w:p>
            <w:pPr>
              <w:tabs>
                <w:tab w:val="left" w:pos="284"/>
                <w:tab w:val="left" w:pos="426"/>
                <w:tab w:val="left" w:pos="709"/>
                <w:tab w:val="center" w:pos="4201"/>
                <w:tab w:val="right" w:leader="dot" w:pos="9298"/>
              </w:tabs>
              <w:autoSpaceDE w:val="0"/>
              <w:autoSpaceDN w:val="0"/>
              <w:spacing w:line="0" w:lineRule="atLeast"/>
              <w:ind w:firstLine="360" w:firstLineChars="200"/>
              <w:jc w:val="center"/>
              <w:rPr>
                <w:sz w:val="18"/>
                <w:szCs w:val="18"/>
              </w:rPr>
            </w:pPr>
            <w:r>
              <w:rPr>
                <w:rFonts w:hint="eastAsia"/>
                <w:sz w:val="18"/>
                <w:szCs w:val="18"/>
              </w:rPr>
              <w:t>观察者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3" w:type="pct"/>
            <w:tcBorders>
              <w:top w:val="nil"/>
              <w:left w:val="single" w:color="auto" w:sz="4" w:space="0"/>
              <w:bottom w:val="single" w:color="auto" w:sz="4" w:space="0"/>
              <w:right w:val="single" w:color="auto" w:sz="4" w:space="0"/>
            </w:tcBorders>
            <w:vAlign w:val="center"/>
          </w:tcPr>
          <w:p>
            <w:pPr>
              <w:tabs>
                <w:tab w:val="left" w:pos="284"/>
                <w:tab w:val="left" w:pos="426"/>
                <w:tab w:val="left" w:pos="709"/>
                <w:tab w:val="center" w:pos="4201"/>
                <w:tab w:val="right" w:leader="dot" w:pos="9298"/>
              </w:tabs>
              <w:autoSpaceDE w:val="0"/>
              <w:autoSpaceDN w:val="0"/>
              <w:spacing w:line="0" w:lineRule="atLeast"/>
              <w:ind w:firstLine="360" w:firstLineChars="200"/>
              <w:jc w:val="center"/>
              <w:rPr>
                <w:sz w:val="18"/>
                <w:szCs w:val="18"/>
              </w:rPr>
            </w:pPr>
          </w:p>
        </w:tc>
        <w:tc>
          <w:tcPr>
            <w:tcW w:w="833" w:type="pct"/>
            <w:tcBorders>
              <w:top w:val="nil"/>
              <w:left w:val="single" w:color="auto" w:sz="4" w:space="0"/>
              <w:bottom w:val="single" w:color="auto" w:sz="4" w:space="0"/>
              <w:right w:val="single" w:color="auto" w:sz="4" w:space="0"/>
            </w:tcBorders>
            <w:vAlign w:val="center"/>
          </w:tcPr>
          <w:p>
            <w:pPr>
              <w:tabs>
                <w:tab w:val="left" w:pos="284"/>
                <w:tab w:val="left" w:pos="426"/>
                <w:tab w:val="left" w:pos="709"/>
                <w:tab w:val="center" w:pos="4201"/>
                <w:tab w:val="right" w:leader="dot" w:pos="9298"/>
              </w:tabs>
              <w:autoSpaceDE w:val="0"/>
              <w:autoSpaceDN w:val="0"/>
              <w:spacing w:line="0" w:lineRule="atLeast"/>
              <w:ind w:firstLine="360" w:firstLineChars="200"/>
              <w:jc w:val="center"/>
              <w:rPr>
                <w:sz w:val="18"/>
                <w:szCs w:val="18"/>
              </w:rPr>
            </w:pPr>
            <w:r>
              <w:rPr>
                <w:sz w:val="18"/>
                <w:szCs w:val="18"/>
              </w:rPr>
              <w:t>A</w:t>
            </w:r>
          </w:p>
        </w:tc>
        <w:tc>
          <w:tcPr>
            <w:tcW w:w="834" w:type="pct"/>
            <w:tcBorders>
              <w:top w:val="nil"/>
              <w:left w:val="single" w:color="auto" w:sz="4" w:space="0"/>
              <w:bottom w:val="single" w:color="auto" w:sz="4" w:space="0"/>
              <w:right w:val="single" w:color="auto" w:sz="4" w:space="0"/>
            </w:tcBorders>
            <w:vAlign w:val="center"/>
          </w:tcPr>
          <w:p>
            <w:pPr>
              <w:tabs>
                <w:tab w:val="left" w:pos="284"/>
                <w:tab w:val="left" w:pos="426"/>
                <w:tab w:val="left" w:pos="709"/>
                <w:tab w:val="center" w:pos="4201"/>
                <w:tab w:val="right" w:leader="dot" w:pos="9298"/>
              </w:tabs>
              <w:autoSpaceDE w:val="0"/>
              <w:autoSpaceDN w:val="0"/>
              <w:spacing w:line="0" w:lineRule="atLeast"/>
              <w:ind w:firstLine="360" w:firstLineChars="200"/>
              <w:jc w:val="center"/>
              <w:rPr>
                <w:sz w:val="18"/>
                <w:szCs w:val="18"/>
              </w:rPr>
            </w:pPr>
            <w:r>
              <w:rPr>
                <w:sz w:val="18"/>
                <w:szCs w:val="18"/>
              </w:rPr>
              <w:t>B</w:t>
            </w:r>
          </w:p>
        </w:tc>
        <w:tc>
          <w:tcPr>
            <w:tcW w:w="834" w:type="pct"/>
            <w:tcBorders>
              <w:top w:val="nil"/>
              <w:left w:val="single" w:color="auto" w:sz="4" w:space="0"/>
              <w:bottom w:val="single" w:color="auto" w:sz="4" w:space="0"/>
              <w:right w:val="single" w:color="auto" w:sz="4" w:space="0"/>
            </w:tcBorders>
            <w:vAlign w:val="center"/>
          </w:tcPr>
          <w:p>
            <w:pPr>
              <w:tabs>
                <w:tab w:val="left" w:pos="284"/>
                <w:tab w:val="left" w:pos="426"/>
                <w:tab w:val="left" w:pos="709"/>
                <w:tab w:val="center" w:pos="4201"/>
                <w:tab w:val="right" w:leader="dot" w:pos="9298"/>
              </w:tabs>
              <w:autoSpaceDE w:val="0"/>
              <w:autoSpaceDN w:val="0"/>
              <w:spacing w:line="0" w:lineRule="atLeast"/>
              <w:ind w:firstLine="360" w:firstLineChars="200"/>
              <w:jc w:val="center"/>
              <w:rPr>
                <w:sz w:val="18"/>
                <w:szCs w:val="18"/>
              </w:rPr>
            </w:pPr>
            <w:r>
              <w:rPr>
                <w:sz w:val="18"/>
                <w:szCs w:val="18"/>
              </w:rPr>
              <w:t>C</w:t>
            </w:r>
          </w:p>
        </w:tc>
        <w:tc>
          <w:tcPr>
            <w:tcW w:w="834" w:type="pct"/>
            <w:tcBorders>
              <w:top w:val="nil"/>
              <w:left w:val="single" w:color="auto" w:sz="4" w:space="0"/>
              <w:bottom w:val="single" w:color="auto" w:sz="4" w:space="0"/>
              <w:right w:val="single" w:color="auto" w:sz="4" w:space="0"/>
            </w:tcBorders>
            <w:vAlign w:val="center"/>
          </w:tcPr>
          <w:p>
            <w:pPr>
              <w:tabs>
                <w:tab w:val="left" w:pos="284"/>
                <w:tab w:val="left" w:pos="426"/>
                <w:tab w:val="left" w:pos="709"/>
                <w:tab w:val="center" w:pos="4201"/>
                <w:tab w:val="right" w:leader="dot" w:pos="9298"/>
              </w:tabs>
              <w:autoSpaceDE w:val="0"/>
              <w:autoSpaceDN w:val="0"/>
              <w:spacing w:line="0" w:lineRule="atLeast"/>
              <w:ind w:firstLine="360" w:firstLineChars="200"/>
              <w:jc w:val="center"/>
              <w:rPr>
                <w:sz w:val="18"/>
                <w:szCs w:val="18"/>
              </w:rPr>
            </w:pPr>
            <w:r>
              <w:rPr>
                <w:sz w:val="18"/>
                <w:szCs w:val="18"/>
              </w:rPr>
              <w:t>D</w:t>
            </w:r>
          </w:p>
        </w:tc>
        <w:tc>
          <w:tcPr>
            <w:tcW w:w="834" w:type="pct"/>
            <w:tcBorders>
              <w:top w:val="nil"/>
              <w:left w:val="single" w:color="auto" w:sz="4" w:space="0"/>
              <w:bottom w:val="single" w:color="auto" w:sz="4" w:space="0"/>
              <w:right w:val="single" w:color="auto" w:sz="4" w:space="0"/>
            </w:tcBorders>
            <w:vAlign w:val="center"/>
          </w:tcPr>
          <w:p>
            <w:pPr>
              <w:tabs>
                <w:tab w:val="left" w:pos="284"/>
                <w:tab w:val="left" w:pos="426"/>
                <w:tab w:val="left" w:pos="709"/>
                <w:tab w:val="center" w:pos="4201"/>
                <w:tab w:val="right" w:leader="dot" w:pos="9298"/>
              </w:tabs>
              <w:autoSpaceDE w:val="0"/>
              <w:autoSpaceDN w:val="0"/>
              <w:spacing w:line="0" w:lineRule="atLeast"/>
              <w:ind w:firstLine="360" w:firstLineChars="200"/>
              <w:jc w:val="center"/>
              <w:rPr>
                <w:sz w:val="18"/>
                <w:szCs w:val="18"/>
              </w:rPr>
            </w:pPr>
            <w:r>
              <w:rPr>
                <w:sz w:val="18"/>
                <w:szCs w:val="18"/>
              </w:rPr>
              <w: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r>
              <w:rPr>
                <w:rFonts w:hint="eastAsia" w:ascii="Arial Unicode MS" w:hAnsi="Arial Unicode MS" w:eastAsia="Arial Unicode MS" w:cs="Arial Unicode MS"/>
                <w:color w:val="000000"/>
                <w:kern w:val="0"/>
                <w:sz w:val="18"/>
                <w:szCs w:val="18"/>
              </w:rPr>
              <w:t>½</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w:t>
            </w:r>
            <w:r>
              <w:rPr>
                <w:rFonts w:hint="eastAsia" w:ascii="Arial Unicode MS" w:hAnsi="Arial Unicode MS" w:eastAsia="Arial Unicode MS" w:cs="Arial Unicode MS"/>
                <w:color w:val="000000"/>
                <w:kern w:val="0"/>
                <w:sz w:val="18"/>
                <w:szCs w:val="18"/>
              </w:rPr>
              <w:t>½</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w:t>
            </w:r>
            <w:r>
              <w:rPr>
                <w:rFonts w:hint="eastAsia" w:ascii="Arial Unicode MS" w:hAnsi="Arial Unicode MS" w:eastAsia="Arial Unicode MS" w:cs="Arial Unicode MS"/>
                <w:color w:val="000000"/>
                <w:kern w:val="0"/>
                <w:sz w:val="18"/>
                <w:szCs w:val="18"/>
              </w:rPr>
              <w:t>½</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r>
              <w:rPr>
                <w:rFonts w:hint="eastAsia" w:ascii="Arial Unicode MS" w:hAnsi="Arial Unicode MS" w:eastAsia="Arial Unicode MS" w:cs="Arial Unicode MS"/>
                <w:color w:val="000000"/>
                <w:kern w:val="0"/>
                <w:sz w:val="18"/>
                <w:szCs w:val="18"/>
              </w:rPr>
              <w:t>½</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7</w:t>
            </w:r>
            <w:r>
              <w:rPr>
                <w:rFonts w:hint="eastAsia" w:ascii="Arial Unicode MS" w:hAnsi="Arial Unicode MS" w:eastAsia="Arial Unicode MS" w:cs="Arial Unicode MS"/>
                <w:color w:val="000000"/>
                <w:kern w:val="0"/>
                <w:sz w:val="18"/>
                <w:szCs w:val="18"/>
              </w:rPr>
              <w:t>½</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7</w:t>
            </w:r>
            <w:r>
              <w:rPr>
                <w:rFonts w:hint="eastAsia" w:ascii="Arial Unicode MS" w:hAnsi="Arial Unicode MS" w:eastAsia="Arial Unicode MS" w:cs="Arial Unicode MS"/>
                <w:color w:val="000000"/>
                <w:kern w:val="0"/>
                <w:sz w:val="18"/>
                <w:szCs w:val="18"/>
              </w:rPr>
              <w:t>½</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w:t>
            </w:r>
          </w:p>
        </w:tc>
      </w:tr>
    </w:tbl>
    <w:p>
      <w:pPr>
        <w:pStyle w:val="23"/>
      </w:pPr>
    </w:p>
    <w:p>
      <w:pPr>
        <w:pStyle w:val="127"/>
        <w:ind w:left="0"/>
      </w:pPr>
      <w:r>
        <w:rPr>
          <w:rFonts w:hint="eastAsia" w:hAnsi="黑体"/>
        </w:rPr>
        <w:t>耐臭氧试验统计学计算</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14"/>
        <w:gridCol w:w="1914"/>
        <w:gridCol w:w="1914"/>
        <w:gridCol w:w="1914"/>
        <w:gridCol w:w="19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0" w:type="pct"/>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硫化胶</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和</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平均和</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差</w:t>
            </w:r>
          </w:p>
        </w:tc>
        <w:tc>
          <w:tcPr>
            <w:tcW w:w="1000" w:type="pct"/>
            <w:tcBorders>
              <w:top w:val="single" w:color="auto" w:sz="4" w:space="0"/>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平均秩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tabs>
                <w:tab w:val="center" w:pos="4201"/>
                <w:tab w:val="right" w:leader="dot" w:pos="9298"/>
              </w:tabs>
              <w:autoSpaceDE w:val="0"/>
              <w:autoSpaceDN w:val="0"/>
              <w:spacing w:line="0" w:lineRule="atLeast"/>
              <w:ind w:firstLine="360" w:firstLineChars="200"/>
              <w:jc w:val="center"/>
              <w:rPr>
                <w:rFonts w:ascii="Calibri" w:hAnsi="Calibri"/>
                <w:sz w:val="18"/>
                <w:szCs w:val="18"/>
              </w:rPr>
            </w:pPr>
            <w:r>
              <w:rPr>
                <w:rFonts w:hint="eastAsia" w:ascii="宋体" w:hAnsi="宋体" w:cs="宋体"/>
                <w:color w:val="000000"/>
                <w:kern w:val="0"/>
                <w:sz w:val="18"/>
                <w:szCs w:val="18"/>
              </w:rPr>
              <w:t>27</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tabs>
                <w:tab w:val="center" w:pos="4201"/>
                <w:tab w:val="right" w:leader="dot" w:pos="9298"/>
              </w:tabs>
              <w:autoSpaceDE w:val="0"/>
              <w:autoSpaceDN w:val="0"/>
              <w:spacing w:line="0" w:lineRule="atLeast"/>
              <w:ind w:firstLine="360" w:firstLineChars="200"/>
              <w:jc w:val="center"/>
              <w:rPr>
                <w:rFonts w:ascii="Calibri" w:hAnsi="Calibri"/>
                <w:sz w:val="18"/>
                <w:szCs w:val="18"/>
              </w:rPr>
            </w:pPr>
            <w:r>
              <w:rPr>
                <w:rFonts w:hint="eastAsia" w:ascii="宋体" w:hAnsi="宋体" w:cs="宋体"/>
                <w:color w:val="000000"/>
                <w:kern w:val="0"/>
                <w:sz w:val="18"/>
                <w:szCs w:val="18"/>
              </w:rPr>
              <w:t>27</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000" w:type="pct"/>
            <w:tcBorders>
              <w:top w:val="single" w:color="auto" w:sz="4" w:space="0"/>
              <w:left w:val="single" w:color="auto" w:sz="4" w:space="0"/>
              <w:bottom w:val="single" w:color="auto" w:sz="4" w:space="0"/>
              <w:right w:val="single" w:color="auto" w:sz="4" w:space="0"/>
            </w:tcBorders>
            <w:noWrap/>
            <w:vAlign w:val="center"/>
          </w:tcPr>
          <w:p>
            <w:pPr>
              <w:tabs>
                <w:tab w:val="center" w:pos="4201"/>
                <w:tab w:val="right" w:leader="dot" w:pos="9298"/>
              </w:tabs>
              <w:autoSpaceDE w:val="0"/>
              <w:autoSpaceDN w:val="0"/>
              <w:spacing w:line="0" w:lineRule="atLeast"/>
              <w:ind w:firstLine="360" w:firstLineChars="200"/>
              <w:jc w:val="center"/>
              <w:rPr>
                <w:rFonts w:ascii="Calibri" w:hAnsi="Calibri"/>
                <w:sz w:val="18"/>
                <w:szCs w:val="18"/>
              </w:rPr>
            </w:pPr>
            <w:r>
              <w:rPr>
                <w:rFonts w:hint="eastAsia" w:ascii="宋体" w:hAnsi="宋体" w:cs="宋体"/>
                <w:color w:val="000000"/>
                <w:kern w:val="0"/>
                <w:sz w:val="18"/>
                <w:szCs w:val="18"/>
              </w:rPr>
              <w:t>27</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-21</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18</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tabs>
                <w:tab w:val="center" w:pos="4201"/>
                <w:tab w:val="right" w:leader="dot" w:pos="9298"/>
              </w:tabs>
              <w:autoSpaceDE w:val="0"/>
              <w:autoSpaceDN w:val="0"/>
              <w:spacing w:line="0" w:lineRule="atLeast"/>
              <w:ind w:firstLine="360" w:firstLineChars="200"/>
              <w:jc w:val="center"/>
              <w:rPr>
                <w:rFonts w:ascii="Calibri" w:hAnsi="Calibri"/>
                <w:sz w:val="18"/>
                <w:szCs w:val="18"/>
              </w:rPr>
            </w:pPr>
            <w:r>
              <w:rPr>
                <w:rFonts w:hint="eastAsia" w:ascii="宋体" w:hAnsi="宋体" w:cs="宋体"/>
                <w:color w:val="000000"/>
                <w:kern w:val="0"/>
                <w:sz w:val="18"/>
                <w:szCs w:val="18"/>
              </w:rPr>
              <w:t>27</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41</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tabs>
                <w:tab w:val="center" w:pos="4201"/>
                <w:tab w:val="right" w:leader="dot" w:pos="9298"/>
              </w:tabs>
              <w:autoSpaceDE w:val="0"/>
              <w:autoSpaceDN w:val="0"/>
              <w:spacing w:line="0" w:lineRule="atLeast"/>
              <w:ind w:firstLine="360" w:firstLineChars="200"/>
              <w:jc w:val="center"/>
              <w:rPr>
                <w:rFonts w:ascii="Calibri" w:hAnsi="Calibri"/>
                <w:sz w:val="18"/>
                <w:szCs w:val="18"/>
              </w:rPr>
            </w:pPr>
            <w:r>
              <w:rPr>
                <w:rFonts w:hint="eastAsia" w:ascii="宋体" w:hAnsi="宋体" w:cs="宋体"/>
                <w:color w:val="000000"/>
                <w:kern w:val="0"/>
                <w:sz w:val="18"/>
                <w:szCs w:val="18"/>
              </w:rPr>
              <w:t>27</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1000" w:type="pct"/>
            <w:tcBorders>
              <w:top w:val="single" w:color="auto" w:sz="4" w:space="0"/>
              <w:left w:val="single" w:color="auto" w:sz="4" w:space="0"/>
              <w:bottom w:val="single" w:color="auto" w:sz="4" w:space="0"/>
              <w:right w:val="single" w:color="auto" w:sz="4" w:space="0"/>
            </w:tcBorders>
            <w:noWrap/>
            <w:vAlign w:val="center"/>
          </w:tcPr>
          <w:p>
            <w:pPr>
              <w:tabs>
                <w:tab w:val="center" w:pos="4201"/>
                <w:tab w:val="right" w:leader="dot" w:pos="9298"/>
              </w:tabs>
              <w:autoSpaceDE w:val="0"/>
              <w:autoSpaceDN w:val="0"/>
              <w:spacing w:line="0" w:lineRule="atLeast"/>
              <w:ind w:firstLine="360" w:firstLineChars="200"/>
              <w:jc w:val="center"/>
              <w:rPr>
                <w:rFonts w:ascii="Calibri" w:hAnsi="Calibri"/>
                <w:sz w:val="18"/>
                <w:szCs w:val="18"/>
              </w:rPr>
            </w:pPr>
            <w:r>
              <w:rPr>
                <w:rFonts w:hint="eastAsia" w:ascii="宋体" w:hAnsi="宋体" w:cs="宋体"/>
                <w:color w:val="000000"/>
                <w:kern w:val="0"/>
                <w:sz w:val="18"/>
                <w:szCs w:val="18"/>
              </w:rPr>
              <w:t>27</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+16</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36</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tabs>
                <w:tab w:val="center" w:pos="4201"/>
                <w:tab w:val="right" w:leader="dot" w:pos="9298"/>
              </w:tabs>
              <w:autoSpaceDE w:val="0"/>
              <w:autoSpaceDN w:val="0"/>
              <w:spacing w:line="0" w:lineRule="atLeast"/>
              <w:ind w:firstLine="360" w:firstLineChars="200"/>
              <w:jc w:val="center"/>
              <w:rPr>
                <w:rFonts w:ascii="Calibri" w:hAnsi="Calibri"/>
                <w:sz w:val="18"/>
                <w:szCs w:val="18"/>
              </w:rPr>
            </w:pPr>
            <w:r>
              <w:rPr>
                <w:rFonts w:hint="eastAsia" w:ascii="宋体" w:hAnsi="宋体" w:cs="宋体"/>
                <w:color w:val="000000"/>
                <w:kern w:val="0"/>
                <w:sz w:val="18"/>
                <w:szCs w:val="18"/>
              </w:rPr>
              <w:t>27</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1000" w:type="pct"/>
            <w:tcBorders>
              <w:top w:val="single" w:color="auto" w:sz="4" w:space="0"/>
              <w:left w:val="single" w:color="auto" w:sz="4" w:space="0"/>
              <w:bottom w:val="single" w:color="auto" w:sz="4" w:space="0"/>
              <w:right w:val="single" w:color="auto" w:sz="4" w:space="0"/>
            </w:tcBorders>
            <w:noWrap/>
            <w:vAlign w:val="center"/>
          </w:tcPr>
          <w:p>
            <w:pPr>
              <w:tabs>
                <w:tab w:val="center" w:pos="4201"/>
                <w:tab w:val="right" w:leader="dot" w:pos="9298"/>
              </w:tabs>
              <w:autoSpaceDE w:val="0"/>
              <w:autoSpaceDN w:val="0"/>
              <w:spacing w:line="0" w:lineRule="atLeast"/>
              <w:ind w:firstLine="360" w:firstLineChars="200"/>
              <w:jc w:val="center"/>
              <w:rPr>
                <w:rFonts w:ascii="Calibri" w:hAnsi="Calibri"/>
                <w:sz w:val="18"/>
                <w:szCs w:val="18"/>
              </w:rPr>
            </w:pPr>
            <w:r>
              <w:rPr>
                <w:rFonts w:hint="eastAsia" w:ascii="宋体" w:hAnsi="宋体" w:cs="宋体"/>
                <w:color w:val="000000"/>
                <w:kern w:val="0"/>
                <w:sz w:val="18"/>
                <w:szCs w:val="18"/>
              </w:rPr>
              <w:t>27</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w:t>
            </w:r>
            <w:r>
              <w:rPr>
                <w:rFonts w:hint="eastAsia" w:ascii="Arial Unicode MS" w:hAnsi="Arial Unicode MS" w:eastAsia="Arial Unicode MS" w:cs="Arial Unicode MS"/>
                <w:color w:val="000000"/>
                <w:kern w:val="0"/>
                <w:sz w:val="18"/>
                <w:szCs w:val="18"/>
              </w:rPr>
              <w:t>½</w:t>
            </w:r>
          </w:p>
        </w:tc>
        <w:tc>
          <w:tcPr>
            <w:tcW w:w="1000" w:type="pct"/>
            <w:tcBorders>
              <w:top w:val="single" w:color="auto" w:sz="4" w:space="0"/>
              <w:left w:val="single" w:color="auto" w:sz="4" w:space="0"/>
              <w:bottom w:val="single" w:color="auto" w:sz="4" w:space="0"/>
              <w:right w:val="single" w:color="auto" w:sz="4" w:space="0"/>
            </w:tcBorders>
            <w:noWrap/>
            <w:vAlign w:val="center"/>
          </w:tcPr>
          <w:p>
            <w:pPr>
              <w:widowControl/>
              <w:tabs>
                <w:tab w:val="center" w:pos="4201"/>
                <w:tab w:val="right" w:leader="dot" w:pos="9298"/>
              </w:tabs>
              <w:autoSpaceDE w:val="0"/>
              <w:autoSpaceDN w:val="0"/>
              <w:spacing w:line="0" w:lineRule="atLeast"/>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9.6</w:t>
            </w:r>
          </w:p>
        </w:tc>
      </w:tr>
    </w:tbl>
    <w:p>
      <w:pPr>
        <w:pStyle w:val="23"/>
      </w:pPr>
    </w:p>
    <w:p>
      <w:pPr>
        <w:pStyle w:val="23"/>
      </w:pPr>
      <w:r>
        <w:rPr>
          <w:rFonts w:hint="eastAsia"/>
        </w:rPr>
        <w:t>由这些数据：</w:t>
      </w:r>
    </w:p>
    <w:p>
      <w:pPr>
        <w:pStyle w:val="23"/>
        <w:rPr>
          <w:rFonts w:ascii="Times New Roman"/>
        </w:rPr>
      </w:pPr>
      <w:r>
        <w:rPr>
          <w:rFonts w:ascii="Times New Roman"/>
          <w:i/>
        </w:rPr>
        <w:t>K</w:t>
      </w:r>
      <w:r>
        <w:rPr>
          <w:rFonts w:ascii="Times New Roman"/>
        </w:rPr>
        <w:t>= (-10)</w:t>
      </w:r>
      <w:r>
        <w:rPr>
          <w:rFonts w:ascii="Times New Roman"/>
          <w:vertAlign w:val="superscript"/>
        </w:rPr>
        <w:t>2</w:t>
      </w:r>
      <w:r>
        <w:rPr>
          <w:rFonts w:ascii="Times New Roman"/>
        </w:rPr>
        <w:t xml:space="preserve"> +</w:t>
      </w:r>
      <w:r>
        <w:rPr>
          <w:rFonts w:hint="eastAsia" w:ascii="Times New Roman"/>
        </w:rPr>
        <w:t>（</w:t>
      </w:r>
      <w:r>
        <w:rPr>
          <w:rFonts w:ascii="Times New Roman"/>
        </w:rPr>
        <w:t>-17</w:t>
      </w:r>
      <w:r>
        <w:rPr>
          <w:rFonts w:hint="eastAsia"/>
        </w:rPr>
        <w:t>½）</w:t>
      </w:r>
      <w:r>
        <w:rPr>
          <w:rFonts w:hint="eastAsia"/>
          <w:vertAlign w:val="superscript"/>
        </w:rPr>
        <w:t>2</w:t>
      </w:r>
      <w:r>
        <w:rPr>
          <w:rFonts w:hint="eastAsia"/>
        </w:rPr>
        <w:t>+（-3）</w:t>
      </w:r>
      <w:r>
        <w:rPr>
          <w:rFonts w:hint="eastAsia"/>
          <w:vertAlign w:val="superscript"/>
        </w:rPr>
        <w:t>2</w:t>
      </w:r>
      <w:r>
        <w:rPr>
          <w:rFonts w:hint="eastAsia"/>
        </w:rPr>
        <w:t>+……+（20½）</w:t>
      </w:r>
      <w:r>
        <w:rPr>
          <w:rFonts w:hint="eastAsia"/>
          <w:vertAlign w:val="superscript"/>
        </w:rPr>
        <w:t>2</w:t>
      </w:r>
      <w:r>
        <w:rPr>
          <w:rFonts w:hint="eastAsia"/>
        </w:rPr>
        <w:t>=1 929</w:t>
      </w:r>
    </w:p>
    <w:p>
      <w:pPr>
        <w:pStyle w:val="23"/>
        <w:rPr>
          <w:rFonts w:ascii="Times New Roman"/>
        </w:rPr>
      </w:pPr>
      <w:r>
        <w:rPr>
          <w:rFonts w:hint="eastAsia" w:ascii="Times New Roman"/>
        </w:rPr>
        <w:t>其中，</w:t>
      </w:r>
      <w:r>
        <w:rPr>
          <w:rFonts w:ascii="Times New Roman"/>
          <w:i/>
        </w:rPr>
        <w:t>K</w:t>
      </w:r>
      <w:r>
        <w:rPr>
          <w:rFonts w:hint="eastAsia" w:ascii="Times New Roman"/>
        </w:rPr>
        <w:t>是</w:t>
      </w:r>
      <w:r>
        <w:rPr>
          <w:rFonts w:ascii="Times New Roman"/>
        </w:rPr>
        <w:t>Friedman</w:t>
      </w:r>
      <w:r>
        <w:rPr>
          <w:rFonts w:hint="eastAsia" w:ascii="Times New Roman"/>
        </w:rPr>
        <w:t>检验的</w:t>
      </w:r>
      <w:r>
        <w:rPr>
          <w:rFonts w:ascii="Times New Roman"/>
          <w:i/>
        </w:rPr>
        <w:t>K</w:t>
      </w:r>
      <w:r>
        <w:rPr>
          <w:rFonts w:hint="eastAsia" w:ascii="Times New Roman"/>
        </w:rPr>
        <w:t>值</w:t>
      </w:r>
      <w:r>
        <w:rPr>
          <w:rFonts w:ascii="Times New Roman"/>
        </w:rPr>
        <w:t>.</w:t>
      </w:r>
    </w:p>
    <w:p>
      <w:pPr>
        <w:pStyle w:val="23"/>
        <w:rPr>
          <w:rFonts w:ascii="Times New Roman"/>
        </w:rPr>
      </w:pPr>
      <w:r>
        <w:rPr>
          <w:rFonts w:hint="eastAsia" w:ascii="Times New Roman"/>
        </w:rPr>
        <w:t>对于</w:t>
      </w:r>
      <w:r>
        <w:rPr>
          <w:rFonts w:ascii="Times New Roman"/>
        </w:rPr>
        <w:t>n=10</w:t>
      </w:r>
      <w:r>
        <w:rPr>
          <w:rFonts w:hint="eastAsia" w:ascii="Times New Roman"/>
        </w:rPr>
        <w:t>、</w:t>
      </w:r>
      <w:r>
        <w:rPr>
          <w:rFonts w:ascii="Times New Roman"/>
        </w:rPr>
        <w:t>m=5</w:t>
      </w:r>
      <w:r>
        <w:rPr>
          <w:rFonts w:hint="eastAsia" w:ascii="Times New Roman"/>
        </w:rPr>
        <w:t>，</w:t>
      </w:r>
      <w:r>
        <w:rPr>
          <w:rFonts w:ascii="Times New Roman"/>
          <w:i/>
        </w:rPr>
        <w:t>K</w:t>
      </w:r>
      <w:r>
        <w:rPr>
          <w:rFonts w:ascii="Times New Roman"/>
          <w:vertAlign w:val="subscript"/>
        </w:rPr>
        <w:t>cr</w:t>
      </w:r>
      <w:r>
        <w:rPr>
          <w:rFonts w:ascii="Times New Roman"/>
        </w:rPr>
        <w:t>=731</w:t>
      </w:r>
      <w:r>
        <w:rPr>
          <w:rFonts w:hint="eastAsia" w:ascii="Times New Roman"/>
        </w:rPr>
        <w:t>。因此，在硫化胶间的耐臭氧性能方面，不同的抗臭氧剂产生统计学上的显著差异。</w:t>
      </w:r>
    </w:p>
    <w:p>
      <w:pPr>
        <w:pStyle w:val="23"/>
        <w:rPr>
          <w:rFonts w:ascii="Times New Roman"/>
        </w:rPr>
      </w:pPr>
      <w:r>
        <w:rPr>
          <w:rFonts w:hint="eastAsia" w:ascii="Times New Roman"/>
        </w:rPr>
        <w:t>一致性系数</w:t>
      </w:r>
      <w:r>
        <w:rPr>
          <w:rFonts w:ascii="Times New Roman"/>
          <w:i/>
        </w:rPr>
        <w:t>C</w:t>
      </w:r>
      <w:r>
        <w:rPr>
          <w:rFonts w:hint="eastAsia" w:ascii="Times New Roman"/>
        </w:rPr>
        <w:t>计算如下：</w:t>
      </w:r>
    </w:p>
    <w:p>
      <w:pPr>
        <w:pStyle w:val="23"/>
        <w:rPr>
          <w:rFonts w:ascii="Times New Roman"/>
        </w:rPr>
      </w:pPr>
      <w:r>
        <w:rPr>
          <w:rFonts w:ascii="Times New Roman"/>
          <w:i/>
        </w:rPr>
        <w:t>C</w:t>
      </w:r>
      <w:r>
        <w:rPr>
          <w:rFonts w:ascii="Times New Roman"/>
        </w:rPr>
        <w:t>=12×1929/[5</w:t>
      </w:r>
      <w:r>
        <w:rPr>
          <w:rFonts w:ascii="Times New Roman"/>
          <w:vertAlign w:val="superscript"/>
        </w:rPr>
        <w:t>2</w:t>
      </w:r>
      <w:r>
        <w:rPr>
          <w:rFonts w:ascii="Times New Roman"/>
        </w:rPr>
        <w:t>×</w:t>
      </w:r>
      <w:r>
        <w:rPr>
          <w:rFonts w:hint="eastAsia" w:ascii="Times New Roman"/>
        </w:rPr>
        <w:t>（</w:t>
      </w:r>
      <w:r>
        <w:rPr>
          <w:rFonts w:ascii="Times New Roman"/>
        </w:rPr>
        <w:t>10</w:t>
      </w:r>
      <w:r>
        <w:rPr>
          <w:rFonts w:ascii="Times New Roman"/>
          <w:vertAlign w:val="superscript"/>
        </w:rPr>
        <w:t>3</w:t>
      </w:r>
      <w:r>
        <w:rPr>
          <w:rFonts w:ascii="Times New Roman"/>
        </w:rPr>
        <w:t>-10</w:t>
      </w:r>
      <w:r>
        <w:rPr>
          <w:rFonts w:hint="eastAsia" w:ascii="Times New Roman"/>
        </w:rPr>
        <w:t>）</w:t>
      </w:r>
      <w:r>
        <w:rPr>
          <w:rFonts w:ascii="Times New Roman"/>
        </w:rPr>
        <w:t>]</w:t>
      </w:r>
    </w:p>
    <w:p>
      <w:pPr>
        <w:pStyle w:val="23"/>
        <w:rPr>
          <w:rFonts w:ascii="Times New Roman"/>
        </w:rPr>
      </w:pPr>
      <w:r>
        <w:rPr>
          <w:rFonts w:ascii="Times New Roman"/>
        </w:rPr>
        <w:t xml:space="preserve"> =0.94</w:t>
      </w:r>
    </w:p>
    <w:p>
      <w:pPr>
        <w:pStyle w:val="23"/>
      </w:pPr>
      <w:r>
        <w:rPr>
          <w:rFonts w:hint="eastAsia"/>
        </w:rPr>
        <w:t>这表明五位观察者的判断高度一致。</w:t>
      </w:r>
    </w:p>
    <w:p>
      <w:pPr>
        <w:pStyle w:val="45"/>
      </w:pPr>
      <w:bookmarkStart w:id="229" w:name="_Toc124173939"/>
      <w:r>
        <w:rPr>
          <w:rFonts w:hint="eastAsia"/>
        </w:rPr>
        <w:t>拒绝离群值的标准</w:t>
      </w:r>
      <w:bookmarkEnd w:id="229"/>
    </w:p>
    <w:p>
      <w:pPr>
        <w:pStyle w:val="42"/>
      </w:pPr>
      <w:bookmarkStart w:id="230" w:name="_Toc124173940"/>
      <w:r>
        <w:rPr>
          <w:rFonts w:hint="eastAsia"/>
        </w:rPr>
        <w:t>原理</w:t>
      </w:r>
      <w:bookmarkEnd w:id="230"/>
    </w:p>
    <w:p>
      <w:pPr>
        <w:pStyle w:val="63"/>
      </w:pPr>
      <w:r>
        <w:rPr>
          <w:rFonts w:hint="eastAsia"/>
        </w:rPr>
        <w:t>在某些情况下，测试序列中的某个结果可能与其他数据不一致。有时会考虑将这样的结果作为离群值排除掉，否则会扭曲其他结果所代表的真实数据。这是一个应该避免的行动过程。没有充分理由而拒绝接受结果会导致真实分布的严重失真，尤其会导致对标准偏差的严重低估。</w:t>
      </w:r>
    </w:p>
    <w:p>
      <w:pPr>
        <w:pStyle w:val="63"/>
      </w:pPr>
      <w:r>
        <w:rPr>
          <w:rFonts w:hint="eastAsia"/>
        </w:rPr>
        <w:t>一个测试结果不应被拒绝，除非符合下列情况之一:</w:t>
      </w:r>
    </w:p>
    <w:p>
      <w:pPr>
        <w:pStyle w:val="59"/>
        <w:numPr>
          <w:ilvl w:val="0"/>
          <w:numId w:val="25"/>
        </w:numPr>
      </w:pPr>
      <w:r>
        <w:rPr>
          <w:rFonts w:hint="eastAsia"/>
        </w:rPr>
        <w:t>有明显的物理证据表明，这一结果是由样品中一些可识别的错误造成的。</w:t>
      </w:r>
    </w:p>
    <w:p>
      <w:pPr>
        <w:pStyle w:val="59"/>
        <w:numPr>
          <w:ilvl w:val="0"/>
          <w:numId w:val="25"/>
        </w:numPr>
        <w:ind w:left="0" w:firstLine="420" w:firstLineChars="200"/>
      </w:pPr>
      <w:r>
        <w:rPr>
          <w:rFonts w:hint="eastAsia"/>
        </w:rPr>
        <w:t>客观的统计检验强有力地表明，结果不太可能纯粹是偶然出现的。与任何统计测试一样，一个给定的置信水平宜被强行指定为拒绝的标准。</w:t>
      </w:r>
    </w:p>
    <w:p>
      <w:pPr>
        <w:pStyle w:val="63"/>
      </w:pPr>
      <w:r>
        <w:rPr>
          <w:rFonts w:hint="eastAsia"/>
        </w:rPr>
        <w:t xml:space="preserve">一个在95%和99%的置信水平之间出现异常的结果宜标记为歧离值(straggler)（见ISO 5725系列标准）。  </w:t>
      </w:r>
    </w:p>
    <w:p>
      <w:pPr>
        <w:pStyle w:val="23"/>
      </w:pPr>
      <w:r>
        <w:rPr>
          <w:rFonts w:hint="eastAsia"/>
        </w:rPr>
        <w:t>一个超过99%置信水平的结果宜标记为离群值(</w:t>
      </w:r>
      <w:r>
        <w:rPr>
          <w:rFonts w:ascii="Arial" w:hAnsi="Arial" w:cs="Arial"/>
          <w:sz w:val="20"/>
        </w:rPr>
        <w:t>outlier)</w:t>
      </w:r>
      <w:r>
        <w:rPr>
          <w:rFonts w:hint="eastAsia"/>
        </w:rPr>
        <w:t>，然后从分析中删除(一些工作人员使用四个标准差作为该水平)。</w:t>
      </w:r>
    </w:p>
    <w:p>
      <w:pPr>
        <w:pStyle w:val="23"/>
      </w:pPr>
      <w:r>
        <w:rPr>
          <w:rFonts w:hint="eastAsia"/>
        </w:rPr>
        <w:t>在这两种情况下，宜检查引起可疑结果的试样，以寻找其异常的证据。对于歧离值(straggler)，缺乏这样的证据则会导致将该数据保留在分析中，但是，如果有明显的异常的物理证据，则其结果可以弃用。</w:t>
      </w:r>
    </w:p>
    <w:p>
      <w:pPr>
        <w:pStyle w:val="63"/>
      </w:pPr>
      <w:r>
        <w:rPr>
          <w:rFonts w:hint="eastAsia"/>
        </w:rPr>
        <w:t>除了对一组中各个观测值进行检验外，根据所进行的一系列试验的平均值来检验离群值可能更适合，例如在实验室间试验中。然而，在这之前宜进行标准差检验。例如，如果一个实验室的标准差与根据其他实验室的标准偏差所能得到的标准差有很大的不同，那么这个实验室的结果就不能被认为是来自和其他实验室相同的总体，因此应该被丢弃。与以前一样，宜严格检查被拒绝的或歧离的数据，以查明原因，以便纠正任何错误。</w:t>
      </w:r>
    </w:p>
    <w:p>
      <w:pPr>
        <w:pStyle w:val="63"/>
      </w:pPr>
      <w:r>
        <w:rPr>
          <w:rFonts w:hint="eastAsia"/>
        </w:rPr>
        <w:t>对离群数据的检查可以在报告结果之前发现简单的计算错误或类似的计量错误，并从源头上纠正。纠正后的数据可以代替原始数据输入，并重新进行统计检验。</w:t>
      </w:r>
    </w:p>
    <w:p>
      <w:pPr>
        <w:pStyle w:val="42"/>
      </w:pPr>
      <w:bookmarkStart w:id="231" w:name="_Toc124173941"/>
      <w:r>
        <w:rPr>
          <w:rFonts w:hint="eastAsia"/>
        </w:rPr>
        <w:t>方法</w:t>
      </w:r>
      <w:bookmarkEnd w:id="231"/>
    </w:p>
    <w:p>
      <w:pPr>
        <w:pStyle w:val="46"/>
        <w:spacing w:before="156" w:after="156"/>
      </w:pPr>
      <w:r>
        <w:rPr>
          <w:rFonts w:hint="eastAsia"/>
        </w:rPr>
        <w:t>概述</w:t>
      </w:r>
    </w:p>
    <w:p>
      <w:pPr>
        <w:pStyle w:val="23"/>
      </w:pPr>
      <w:r>
        <w:rPr>
          <w:rFonts w:hint="eastAsia"/>
        </w:rPr>
        <w:t>在以下检验中假设所检查的数据是正态分布的(见6.2.5)，或者已经转换成正态分布的形式(见6.2.4)。</w:t>
      </w:r>
    </w:p>
    <w:p>
      <w:pPr>
        <w:pStyle w:val="46"/>
        <w:spacing w:before="156" w:after="156"/>
      </w:pPr>
      <w:r>
        <w:rPr>
          <w:rFonts w:hint="eastAsia"/>
        </w:rPr>
        <w:t>狄克逊检验（</w:t>
      </w:r>
      <w:r>
        <w:t>Dixon</w:t>
      </w:r>
      <w:r>
        <w:rPr/>
        <w:sym w:font="Symbol" w:char="00A2"/>
      </w:r>
      <w:r>
        <w:t>s test</w:t>
      </w:r>
      <w:r>
        <w:rPr>
          <w:rFonts w:hint="eastAsia"/>
        </w:rPr>
        <w:t>）</w:t>
      </w:r>
    </w:p>
    <w:p>
      <w:pPr>
        <w:pStyle w:val="113"/>
      </w:pPr>
      <w:r>
        <w:rPr>
          <w:rFonts w:hint="eastAsia"/>
        </w:rPr>
        <w:t>Dixon检验适用于一个个观察值的检验或各观察集的平均值检验，假设异常大或异常小的观察值都要根据Dixon准则进行同等的拒绝性检验。</w:t>
      </w:r>
    </w:p>
    <w:p>
      <w:pPr>
        <w:pStyle w:val="113"/>
      </w:pPr>
      <w:r>
        <w:rPr>
          <w:rFonts w:hint="eastAsia"/>
        </w:rPr>
        <w:t>步骤如下：</w:t>
      </w:r>
    </w:p>
    <w:p>
      <w:pPr>
        <w:pStyle w:val="59"/>
        <w:numPr>
          <w:ilvl w:val="0"/>
          <w:numId w:val="26"/>
        </w:numPr>
      </w:pPr>
      <w:r>
        <w:rPr>
          <w:rFonts w:hint="eastAsia"/>
        </w:rPr>
        <w:t>将这</w:t>
      </w:r>
      <w:r>
        <w:rPr>
          <w:rFonts w:ascii="Times New Roman"/>
          <w:i/>
        </w:rPr>
        <w:t>n</w:t>
      </w:r>
      <w:r>
        <w:rPr>
          <w:rFonts w:hint="eastAsia"/>
        </w:rPr>
        <w:t>个观测值按升序排列；即，从最小值</w:t>
      </w:r>
      <w:r>
        <w:rPr>
          <w:rFonts w:ascii="Times New Roman"/>
          <w:i/>
        </w:rPr>
        <w:t>x</w:t>
      </w:r>
      <w:r>
        <w:rPr>
          <w:rFonts w:ascii="Times New Roman"/>
          <w:vertAlign w:val="subscript"/>
        </w:rPr>
        <w:t>1</w:t>
      </w:r>
      <w:r>
        <w:rPr>
          <w:rFonts w:hint="eastAsia" w:ascii="Times New Roman"/>
        </w:rPr>
        <w:t>到最大值</w:t>
      </w:r>
      <w:r>
        <w:rPr>
          <w:rFonts w:ascii="Times New Roman"/>
          <w:i/>
        </w:rPr>
        <w:t>x</w:t>
      </w:r>
      <w:r>
        <w:rPr>
          <w:rFonts w:ascii="Times New Roman"/>
          <w:i/>
          <w:vertAlign w:val="subscript"/>
        </w:rPr>
        <w:t>n</w:t>
      </w:r>
      <w:r>
        <w:rPr>
          <w:rFonts w:hint="eastAsia"/>
        </w:rPr>
        <w:t>。</w:t>
      </w:r>
    </w:p>
    <w:p>
      <w:pPr>
        <w:pStyle w:val="59"/>
      </w:pPr>
      <w:r>
        <w:rPr>
          <w:rFonts w:hint="eastAsia"/>
        </w:rPr>
        <w:t>根据需要，从步骤</w:t>
      </w:r>
      <w:r>
        <w:t>c)</w:t>
      </w:r>
      <w:r>
        <w:rPr>
          <w:rFonts w:hint="eastAsia"/>
        </w:rPr>
        <w:t>、</w:t>
      </w:r>
      <w:r>
        <w:t>d)</w:t>
      </w:r>
      <w:r>
        <w:rPr>
          <w:rFonts w:hint="eastAsia"/>
        </w:rPr>
        <w:t>或</w:t>
      </w:r>
      <w:r>
        <w:t>e)</w:t>
      </w:r>
      <w:r>
        <w:rPr>
          <w:rFonts w:hint="eastAsia"/>
        </w:rPr>
        <w:t>推导</w:t>
      </w:r>
      <w:r>
        <w:t>Dixon</w:t>
      </w:r>
      <w:r>
        <w:rPr>
          <w:rFonts w:hint="eastAsia"/>
        </w:rPr>
        <w:t>商</w:t>
      </w:r>
      <w:r>
        <w:rPr>
          <w:rFonts w:ascii="Times New Roman"/>
          <w:i/>
          <w:iCs/>
          <w:sz w:val="20"/>
        </w:rPr>
        <w:t>Q</w:t>
      </w:r>
      <w:r>
        <w:rPr>
          <w:rFonts w:hint="eastAsia"/>
        </w:rPr>
        <w:t>。</w:t>
      </w:r>
    </w:p>
    <w:p>
      <w:pPr>
        <w:pStyle w:val="59"/>
      </w:pPr>
      <w:r>
        <w:rPr>
          <w:rFonts w:hint="eastAsia"/>
        </w:rPr>
        <w:t>如果</w:t>
      </w:r>
      <w:r>
        <w:t>3</w:t>
      </w:r>
      <w:r>
        <w:rPr>
          <w:rFonts w:hint="eastAsia"/>
        </w:rPr>
        <w:t>≤</w:t>
      </w:r>
      <w:r>
        <w:rPr>
          <w:rFonts w:ascii="Times New Roman"/>
          <w:i/>
        </w:rPr>
        <w:t>n</w:t>
      </w:r>
      <w:r>
        <w:rPr>
          <w:rFonts w:hint="eastAsia"/>
        </w:rPr>
        <w:t>≤</w:t>
      </w:r>
      <w:r>
        <w:t>7</w:t>
      </w:r>
      <w:r>
        <w:rPr>
          <w:rFonts w:hint="eastAsia"/>
        </w:rPr>
        <w:t>，那么记录式（28）中较大者：</w:t>
      </w:r>
    </w:p>
    <w:p>
      <w:pPr>
        <w:pStyle w:val="23"/>
      </w:pPr>
      <m:oMath>
        <m:f>
          <m:fPr>
            <m:ctrlPr>
              <w:rPr>
                <w:rFonts w:ascii="Cambria Math" w:hAnsi="Cambria Math"/>
                <w:szCs w:val="22"/>
              </w:rPr>
            </m:ctrlPr>
          </m:fPr>
          <m:num>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szCs w:val="22"/>
              </w:rPr>
            </m:ctrlPr>
          </m:num>
          <m:den>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n</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szCs w:val="22"/>
              </w:rPr>
            </m:ctrlPr>
          </m:den>
        </m:f>
      </m:oMath>
      <w:r>
        <w:rPr>
          <w:rFonts w:hint="eastAsia"/>
        </w:rPr>
        <w:t>和</w:t>
      </w:r>
      <m:oMath>
        <m:f>
          <m:fPr>
            <m:ctrlPr>
              <w:rPr>
                <w:rFonts w:ascii="Cambria Math" w:hAnsi="Cambria Math"/>
                <w:szCs w:val="22"/>
              </w:rPr>
            </m:ctrlPr>
          </m:fPr>
          <m:num>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n</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n−1</m:t>
                </m:r>
                <m:ctrlPr>
                  <w:rPr>
                    <w:rFonts w:ascii="Cambria Math" w:hAnsi="Cambria Math"/>
                    <w:i/>
                    <w:szCs w:val="22"/>
                  </w:rPr>
                </m:ctrlPr>
              </m:sub>
            </m:sSub>
            <m:ctrlPr>
              <w:rPr>
                <w:rFonts w:ascii="Cambria Math" w:hAnsi="Cambria Math"/>
                <w:szCs w:val="22"/>
              </w:rPr>
            </m:ctrlPr>
          </m:num>
          <m:den>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n</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szCs w:val="22"/>
              </w:rPr>
            </m:ctrlPr>
          </m:den>
        </m:f>
      </m:oMath>
      <w:r>
        <w:t xml:space="preserve">                                            </w:t>
      </w:r>
      <w:r>
        <w:rPr>
          <w:rFonts w:hint="eastAsia"/>
        </w:rPr>
        <w:t xml:space="preserve">          </w:t>
      </w:r>
      <w:r>
        <w:t xml:space="preserve">          (28)</w:t>
      </w:r>
    </w:p>
    <w:p>
      <w:pPr>
        <w:pStyle w:val="59"/>
      </w:pPr>
      <w:r>
        <w:rPr>
          <w:rFonts w:hint="eastAsia"/>
        </w:rPr>
        <w:t>如果</w:t>
      </w:r>
      <w:r>
        <w:t>8</w:t>
      </w:r>
      <w:r>
        <w:rPr>
          <w:rFonts w:hint="eastAsia"/>
        </w:rPr>
        <w:t>≤</w:t>
      </w:r>
      <w:r>
        <w:rPr>
          <w:rFonts w:ascii="Times New Roman"/>
          <w:i/>
        </w:rPr>
        <w:t>n</w:t>
      </w:r>
      <w:r>
        <w:rPr>
          <w:rFonts w:hint="eastAsia"/>
        </w:rPr>
        <w:t>≤</w:t>
      </w:r>
      <w:r>
        <w:t>12</w:t>
      </w:r>
      <w:r>
        <w:rPr>
          <w:rFonts w:hint="eastAsia"/>
        </w:rPr>
        <w:t>，那么记录式（29）中较大者：</w:t>
      </w:r>
    </w:p>
    <w:p>
      <w:pPr>
        <w:pStyle w:val="23"/>
      </w:pPr>
      <m:oMath>
        <m:f>
          <m:fPr>
            <m:ctrlPr>
              <w:rPr>
                <w:rFonts w:ascii="Cambria Math" w:hAnsi="Cambria Math"/>
                <w:szCs w:val="22"/>
              </w:rPr>
            </m:ctrlPr>
          </m:fPr>
          <m:num>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szCs w:val="22"/>
              </w:rPr>
            </m:ctrlPr>
          </m:num>
          <m:den>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n−1</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szCs w:val="22"/>
              </w:rPr>
            </m:ctrlPr>
          </m:den>
        </m:f>
      </m:oMath>
      <w:r>
        <w:rPr>
          <w:rFonts w:hint="eastAsia"/>
        </w:rPr>
        <w:t>和</w:t>
      </w:r>
      <m:oMath>
        <m:f>
          <m:fPr>
            <m:ctrlPr>
              <w:rPr>
                <w:rFonts w:ascii="Cambria Math" w:hAnsi="Cambria Math"/>
                <w:szCs w:val="22"/>
              </w:rPr>
            </m:ctrlPr>
          </m:fPr>
          <m:num>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n</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n−1</m:t>
                </m:r>
                <m:ctrlPr>
                  <w:rPr>
                    <w:rFonts w:ascii="Cambria Math" w:hAnsi="Cambria Math"/>
                    <w:i/>
                    <w:szCs w:val="22"/>
                  </w:rPr>
                </m:ctrlPr>
              </m:sub>
            </m:sSub>
            <m:ctrlPr>
              <w:rPr>
                <w:rFonts w:ascii="Cambria Math" w:hAnsi="Cambria Math"/>
                <w:szCs w:val="22"/>
              </w:rPr>
            </m:ctrlPr>
          </m:num>
          <m:den>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n</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m:t>
                </m:r>
                <m:ctrlPr>
                  <w:rPr>
                    <w:rFonts w:ascii="Cambria Math" w:hAnsi="Cambria Math"/>
                    <w:i/>
                    <w:szCs w:val="22"/>
                  </w:rPr>
                </m:ctrlPr>
              </m:sub>
            </m:sSub>
            <m:ctrlPr>
              <w:rPr>
                <w:rFonts w:ascii="Cambria Math" w:hAnsi="Cambria Math"/>
                <w:szCs w:val="22"/>
              </w:rPr>
            </m:ctrlPr>
          </m:den>
        </m:f>
      </m:oMath>
      <w:r>
        <w:t xml:space="preserve">                                            </w:t>
      </w:r>
      <w:r>
        <w:rPr>
          <w:rFonts w:hint="eastAsia"/>
        </w:rPr>
        <w:t xml:space="preserve">           </w:t>
      </w:r>
      <w:r>
        <w:t xml:space="preserve">        (29)</w:t>
      </w:r>
    </w:p>
    <w:p>
      <w:pPr>
        <w:pStyle w:val="59"/>
        <w:rPr>
          <w:rFonts w:ascii="Times New Roman"/>
        </w:rPr>
      </w:pPr>
      <w:r>
        <w:rPr>
          <w:rFonts w:ascii="Times New Roman"/>
        </w:rPr>
        <w:t>如果</w:t>
      </w:r>
      <w:r>
        <w:rPr>
          <w:rFonts w:ascii="Times New Roman"/>
          <w:i/>
        </w:rPr>
        <w:t>n</w:t>
      </w:r>
      <w:r>
        <w:rPr>
          <w:rFonts w:ascii="Times New Roman"/>
        </w:rPr>
        <w:t>&gt;12，那么记录式（30）中较大者：</w:t>
      </w:r>
    </w:p>
    <w:p>
      <w:pPr>
        <w:tabs>
          <w:tab w:val="left" w:pos="284"/>
          <w:tab w:val="left" w:pos="709"/>
        </w:tabs>
        <w:spacing w:before="156" w:beforeLines="50" w:after="156" w:afterLines="50"/>
        <w:ind w:left="420" w:leftChars="200"/>
      </w:pPr>
      <m:oMath>
        <m:f>
          <m:fPr>
            <m:ctrlPr>
              <w:rPr>
                <w:rFonts w:ascii="Cambria Math" w:hAnsi="Cambria Math"/>
                <w:szCs w:val="22"/>
              </w:rPr>
            </m:ctrlPr>
          </m:fPr>
          <m:num>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3</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szCs w:val="22"/>
              </w:rPr>
            </m:ctrlPr>
          </m:num>
          <m:den>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n−2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szCs w:val="22"/>
              </w:rPr>
            </m:ctrlPr>
          </m:den>
        </m:f>
      </m:oMath>
      <w:r>
        <w:rPr>
          <w:rFonts w:hint="eastAsia"/>
        </w:rPr>
        <w:t>和</w:t>
      </w:r>
      <m:oMath>
        <m:f>
          <m:fPr>
            <m:ctrlPr>
              <w:rPr>
                <w:rFonts w:ascii="Cambria Math" w:hAnsi="Cambria Math"/>
                <w:szCs w:val="22"/>
              </w:rPr>
            </m:ctrlPr>
          </m:fPr>
          <m:num>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n</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n−2</m:t>
                </m:r>
                <m:ctrlPr>
                  <w:rPr>
                    <w:rFonts w:ascii="Cambria Math" w:hAnsi="Cambria Math"/>
                    <w:i/>
                    <w:szCs w:val="22"/>
                  </w:rPr>
                </m:ctrlPr>
              </m:sub>
            </m:sSub>
            <m:ctrlPr>
              <w:rPr>
                <w:rFonts w:ascii="Cambria Math" w:hAnsi="Cambria Math"/>
                <w:szCs w:val="22"/>
              </w:rPr>
            </m:ctrlPr>
          </m:num>
          <m:den>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n</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3</m:t>
                </m:r>
                <m:ctrlPr>
                  <w:rPr>
                    <w:rFonts w:ascii="Cambria Math" w:hAnsi="Cambria Math"/>
                    <w:i/>
                    <w:szCs w:val="22"/>
                  </w:rPr>
                </m:ctrlPr>
              </m:sub>
            </m:sSub>
            <m:ctrlPr>
              <w:rPr>
                <w:rFonts w:ascii="Cambria Math" w:hAnsi="Cambria Math"/>
                <w:szCs w:val="22"/>
              </w:rPr>
            </m:ctrlPr>
          </m:den>
        </m:f>
      </m:oMath>
      <w:r>
        <w:t xml:space="preserve">                                               </w:t>
      </w:r>
      <w:r>
        <w:rPr>
          <w:rFonts w:hint="eastAsia"/>
        </w:rPr>
        <w:t xml:space="preserve">           </w:t>
      </w:r>
      <w:r>
        <w:t xml:space="preserve">     (30)</w:t>
      </w:r>
    </w:p>
    <w:p>
      <w:pPr>
        <w:pStyle w:val="59"/>
        <w:rPr>
          <w:rFonts w:ascii="Times New Roman"/>
        </w:rPr>
      </w:pPr>
      <w:r>
        <w:rPr>
          <w:rFonts w:ascii="Times New Roman"/>
        </w:rPr>
        <w:t>将导出Dixon商</w:t>
      </w:r>
      <w:r>
        <w:rPr>
          <w:rFonts w:ascii="Times New Roman"/>
          <w:i/>
        </w:rPr>
        <w:t>Q</w:t>
      </w:r>
      <w:r>
        <w:rPr>
          <w:rFonts w:ascii="Times New Roman"/>
        </w:rPr>
        <w:t>与表22中的数据比较。能够得出下列结论：</w:t>
      </w:r>
    </w:p>
    <w:p>
      <w:pPr>
        <w:pStyle w:val="54"/>
        <w:rPr>
          <w:rFonts w:ascii="Times New Roman"/>
        </w:rPr>
      </w:pPr>
      <w:r>
        <w:rPr>
          <w:rFonts w:ascii="Times New Roman"/>
        </w:rPr>
        <w:t>如果</w:t>
      </w:r>
      <w:r>
        <w:rPr>
          <w:rFonts w:ascii="Times New Roman"/>
          <w:i/>
        </w:rPr>
        <w:t>Q</w:t>
      </w:r>
      <w:r>
        <w:rPr>
          <w:rFonts w:ascii="Times New Roman"/>
        </w:rPr>
        <w:t>超过5%的值，但小于1%的值，则第一个或最后一个(根据两个比值计算中哪一个给出的</w:t>
      </w:r>
      <w:r>
        <w:rPr>
          <w:rFonts w:ascii="Times New Roman"/>
          <w:i/>
        </w:rPr>
        <w:t>Q</w:t>
      </w:r>
      <w:r>
        <w:rPr>
          <w:rFonts w:ascii="Times New Roman"/>
        </w:rPr>
        <w:t>值更高)被标记为歧离值（straggler）;</w:t>
      </w:r>
    </w:p>
    <w:p>
      <w:pPr>
        <w:pStyle w:val="54"/>
        <w:rPr>
          <w:rFonts w:ascii="Times New Roman"/>
        </w:rPr>
      </w:pPr>
      <w:r>
        <w:rPr>
          <w:rFonts w:ascii="Times New Roman"/>
        </w:rPr>
        <w:t>如果</w:t>
      </w:r>
      <w:r>
        <w:rPr>
          <w:rFonts w:ascii="Times New Roman"/>
          <w:i/>
        </w:rPr>
        <w:t>Q</w:t>
      </w:r>
      <w:r>
        <w:rPr>
          <w:rFonts w:ascii="Times New Roman"/>
        </w:rPr>
        <w:t>超过1%的值，该结果标记为离群值，拒绝。在这种情况下，检验可以用剩余的（</w:t>
      </w:r>
      <w:r>
        <w:rPr>
          <w:rFonts w:ascii="Times New Roman"/>
          <w:i/>
        </w:rPr>
        <w:t>n</w:t>
      </w:r>
      <w:r>
        <w:rPr>
          <w:rFonts w:ascii="Times New Roman"/>
        </w:rPr>
        <w:t>-1）个结果重做。</w:t>
      </w:r>
    </w:p>
    <w:p>
      <w:pPr>
        <w:pStyle w:val="64"/>
        <w:rPr>
          <w:rFonts w:ascii="Times New Roman"/>
        </w:rPr>
      </w:pPr>
      <w:r>
        <w:rPr>
          <w:rFonts w:hint="eastAsia"/>
        </w:rPr>
        <w:t>在表</w:t>
      </w:r>
      <w:r>
        <w:t>22</w:t>
      </w:r>
      <w:r>
        <w:rPr>
          <w:rFonts w:hint="eastAsia"/>
        </w:rPr>
        <w:t>中，</w:t>
      </w:r>
      <w:r>
        <w:rPr>
          <w:rFonts w:ascii="Times New Roman"/>
          <w:i/>
        </w:rPr>
        <w:t>n</w:t>
      </w:r>
      <w:r>
        <w:rPr>
          <w:rFonts w:ascii="Times New Roman"/>
        </w:rPr>
        <w:t>等于观测值的个数。这个版本的Dixon检验发表在《统计学手册》（</w:t>
      </w:r>
      <w:r>
        <w:rPr>
          <w:rFonts w:ascii="Times New Roman"/>
          <w:i/>
          <w:iCs/>
        </w:rPr>
        <w:t>Statistical Manual</w:t>
      </w:r>
      <w:r>
        <w:rPr>
          <w:rFonts w:ascii="Times New Roman" w:hAnsi="Arial,Italic"/>
          <w:iCs/>
        </w:rPr>
        <w:t>）</w:t>
      </w:r>
      <w:r>
        <w:rPr>
          <w:rFonts w:ascii="Times New Roman"/>
        </w:rPr>
        <w:t>, Edited by E.L. Crow, F.A. Davis and M.W. Maxfield, Dover Publications, 1960</w:t>
      </w:r>
      <w:r>
        <w:rPr>
          <w:rFonts w:ascii="Times New Roman" w:hAnsi="Arial"/>
        </w:rPr>
        <w:t>。</w:t>
      </w:r>
    </w:p>
    <w:p>
      <w:pPr>
        <w:pStyle w:val="127"/>
        <w:ind w:left="0"/>
      </w:pPr>
      <w:r>
        <w:rPr>
          <w:rFonts w:hint="eastAsia" w:hAnsi="黑体" w:cs="Arial"/>
          <w:szCs w:val="21"/>
        </w:rPr>
        <w:t>Dixon检验临界值</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92"/>
        <w:gridCol w:w="2392"/>
        <w:gridCol w:w="2393"/>
        <w:gridCol w:w="2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r>
              <w:rPr>
                <w:rFonts w:hint="eastAsia"/>
                <w:sz w:val="18"/>
                <w:szCs w:val="18"/>
              </w:rPr>
              <w:t>准则（</w:t>
            </w:r>
            <w:r>
              <w:rPr>
                <w:sz w:val="18"/>
                <w:szCs w:val="18"/>
              </w:rPr>
              <w:t>Criterion</w:t>
            </w:r>
            <w:r>
              <w:rPr>
                <w:rFonts w:hint="eastAsia"/>
                <w:sz w:val="18"/>
                <w:szCs w:val="18"/>
              </w:rPr>
              <w:t>）</w:t>
            </w:r>
          </w:p>
        </w:tc>
        <w:tc>
          <w:tcPr>
            <w:tcW w:w="1250" w:type="pct"/>
            <w:tcBorders>
              <w:top w:val="single" w:color="auto" w:sz="4" w:space="0"/>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i/>
                <w:sz w:val="18"/>
                <w:szCs w:val="18"/>
              </w:rPr>
            </w:pPr>
            <w:r>
              <w:rPr>
                <w:i/>
                <w:sz w:val="18"/>
                <w:szCs w:val="18"/>
              </w:rPr>
              <w:t>n</w:t>
            </w:r>
          </w:p>
        </w:tc>
        <w:tc>
          <w:tcPr>
            <w:tcW w:w="2501" w:type="pct"/>
            <w:gridSpan w:val="2"/>
            <w:tcBorders>
              <w:top w:val="single" w:color="auto" w:sz="4" w:space="0"/>
              <w:left w:val="single" w:color="auto" w:sz="4" w:space="0"/>
              <w:bottom w:val="nil"/>
              <w:right w:val="single" w:color="auto" w:sz="4" w:space="0"/>
            </w:tcBorders>
            <w:vAlign w:val="center"/>
          </w:tcPr>
          <w:p>
            <w:pPr>
              <w:tabs>
                <w:tab w:val="center" w:pos="4201"/>
                <w:tab w:val="right" w:leader="dot" w:pos="9298"/>
              </w:tabs>
              <w:autoSpaceDE w:val="0"/>
              <w:autoSpaceDN w:val="0"/>
              <w:adjustRightInd w:val="0"/>
              <w:jc w:val="center"/>
              <w:rPr>
                <w:rFonts w:ascii="宋体" w:hAnsi="宋体"/>
                <w:sz w:val="18"/>
                <w:szCs w:val="18"/>
              </w:rPr>
            </w:pPr>
            <w:r>
              <w:rPr>
                <w:rFonts w:hint="eastAsia" w:ascii="宋体" w:hAnsi="宋体"/>
                <w:sz w:val="18"/>
                <w:szCs w:val="18"/>
              </w:rPr>
              <w:t>临界值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adjustRightInd w:val="0"/>
              <w:ind w:firstLine="360" w:firstLineChars="200"/>
              <w:jc w:val="center"/>
              <w:rPr>
                <w:rFonts w:ascii="宋体" w:hAnsi="宋体"/>
                <w:sz w:val="18"/>
                <w:szCs w:val="18"/>
              </w:rPr>
            </w:pPr>
          </w:p>
        </w:tc>
        <w:tc>
          <w:tcPr>
            <w:tcW w:w="1250" w:type="pct"/>
            <w:tcBorders>
              <w:top w:val="nil"/>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adjustRightInd w:val="0"/>
              <w:ind w:firstLine="360" w:firstLineChars="200"/>
              <w:jc w:val="center"/>
              <w:rPr>
                <w:rFonts w:ascii="宋体" w:hAnsi="宋体"/>
                <w:sz w:val="18"/>
                <w:szCs w:val="18"/>
              </w:rPr>
            </w:pPr>
          </w:p>
        </w:tc>
        <w:tc>
          <w:tcPr>
            <w:tcW w:w="1250" w:type="pct"/>
            <w:tcBorders>
              <w:top w:val="nil"/>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adjustRightInd w:val="0"/>
              <w:ind w:firstLine="360" w:firstLineChars="200"/>
              <w:jc w:val="center"/>
              <w:rPr>
                <w:rFonts w:ascii="宋体" w:hAnsi="宋体"/>
                <w:sz w:val="18"/>
                <w:szCs w:val="18"/>
              </w:rPr>
            </w:pPr>
            <w:r>
              <w:rPr>
                <w:rFonts w:hint="eastAsia" w:ascii="宋体" w:hAnsi="宋体"/>
                <w:sz w:val="18"/>
                <w:szCs w:val="18"/>
              </w:rPr>
              <w:t>5%</w:t>
            </w:r>
          </w:p>
        </w:tc>
        <w:tc>
          <w:tcPr>
            <w:tcW w:w="1250" w:type="pct"/>
            <w:tcBorders>
              <w:top w:val="nil"/>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adjustRightInd w:val="0"/>
              <w:ind w:firstLine="360" w:firstLineChars="200"/>
              <w:jc w:val="center"/>
              <w:rPr>
                <w:rFonts w:ascii="宋体" w:hAnsi="宋体"/>
                <w:sz w:val="18"/>
                <w:szCs w:val="18"/>
              </w:rPr>
            </w:pPr>
            <w:r>
              <w:rPr>
                <w:rFonts w:hint="eastAsia" w:ascii="宋体" w:hAnsi="宋体"/>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kern w:val="0"/>
                <w:sz w:val="18"/>
                <w:szCs w:val="18"/>
              </w:rPr>
            </w:pPr>
            <w:r>
              <w:rPr>
                <w:i/>
                <w:iCs/>
                <w:kern w:val="0"/>
                <w:sz w:val="18"/>
                <w:szCs w:val="18"/>
              </w:rPr>
              <w:t>Q</w:t>
            </w:r>
            <w:r>
              <w:rPr>
                <w:kern w:val="0"/>
                <w:sz w:val="18"/>
                <w:szCs w:val="18"/>
              </w:rPr>
              <w:t>10</w:t>
            </w:r>
          </w:p>
        </w:tc>
        <w:tc>
          <w:tcPr>
            <w:tcW w:w="1250" w:type="pct"/>
            <w:tcBorders>
              <w:top w:val="single" w:color="auto" w:sz="4" w:space="0"/>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250" w:type="pct"/>
            <w:tcBorders>
              <w:top w:val="single" w:color="auto" w:sz="4" w:space="0"/>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0.970</w:t>
            </w:r>
          </w:p>
        </w:tc>
        <w:tc>
          <w:tcPr>
            <w:tcW w:w="1250" w:type="pct"/>
            <w:tcBorders>
              <w:top w:val="single" w:color="auto" w:sz="4" w:space="0"/>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0.994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0.829</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0.926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0.710</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0.821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0.628</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0.740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250" w:type="pct"/>
            <w:tcBorders>
              <w:top w:val="nil"/>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0.569</w:t>
            </w:r>
          </w:p>
        </w:tc>
        <w:tc>
          <w:tcPr>
            <w:tcW w:w="1250" w:type="pct"/>
            <w:tcBorders>
              <w:top w:val="nil"/>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0.680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kern w:val="0"/>
                <w:sz w:val="18"/>
                <w:szCs w:val="18"/>
              </w:rPr>
            </w:pPr>
            <w:r>
              <w:rPr>
                <w:i/>
                <w:iCs/>
                <w:kern w:val="0"/>
                <w:sz w:val="18"/>
                <w:szCs w:val="18"/>
              </w:rPr>
              <w:t>Q</w:t>
            </w:r>
            <w:r>
              <w:rPr>
                <w:kern w:val="0"/>
                <w:sz w:val="18"/>
                <w:szCs w:val="18"/>
              </w:rPr>
              <w:t>11</w:t>
            </w:r>
          </w:p>
        </w:tc>
        <w:tc>
          <w:tcPr>
            <w:tcW w:w="1250" w:type="pct"/>
            <w:tcBorders>
              <w:top w:val="single" w:color="auto" w:sz="4" w:space="0"/>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250" w:type="pct"/>
            <w:tcBorders>
              <w:top w:val="single" w:color="auto" w:sz="4" w:space="0"/>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0.608</w:t>
            </w:r>
          </w:p>
        </w:tc>
        <w:tc>
          <w:tcPr>
            <w:tcW w:w="1250" w:type="pct"/>
            <w:tcBorders>
              <w:top w:val="single" w:color="auto" w:sz="4" w:space="0"/>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0.717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0.564</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0.672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0.530</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0.635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0.502</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0.605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250" w:type="pct"/>
            <w:tcBorders>
              <w:top w:val="nil"/>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0.479</w:t>
            </w:r>
          </w:p>
        </w:tc>
        <w:tc>
          <w:tcPr>
            <w:tcW w:w="1250" w:type="pct"/>
            <w:tcBorders>
              <w:top w:val="nil"/>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kern w:val="0"/>
                <w:sz w:val="18"/>
                <w:szCs w:val="18"/>
              </w:rPr>
            </w:pPr>
            <w:r>
              <w:rPr>
                <w:i/>
                <w:iCs/>
                <w:kern w:val="0"/>
                <w:sz w:val="18"/>
                <w:szCs w:val="18"/>
              </w:rPr>
              <w:t>Q</w:t>
            </w:r>
            <w:r>
              <w:rPr>
                <w:kern w:val="0"/>
                <w:sz w:val="18"/>
                <w:szCs w:val="18"/>
              </w:rPr>
              <w:t>22</w:t>
            </w:r>
          </w:p>
        </w:tc>
        <w:tc>
          <w:tcPr>
            <w:tcW w:w="1250" w:type="pct"/>
            <w:tcBorders>
              <w:top w:val="single" w:color="auto" w:sz="4" w:space="0"/>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250" w:type="pct"/>
            <w:tcBorders>
              <w:top w:val="single" w:color="auto" w:sz="4" w:space="0"/>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0.611</w:t>
            </w:r>
          </w:p>
        </w:tc>
        <w:tc>
          <w:tcPr>
            <w:tcW w:w="1250" w:type="pct"/>
            <w:tcBorders>
              <w:top w:val="single" w:color="auto" w:sz="4" w:space="0"/>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0.697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0.586</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0.670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0.565</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0.647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0.546</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0.627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0.529</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0.610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0.514</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0.501</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0.489</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0.478</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0.468</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0.459</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0.451</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0.443</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0.436</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0.429</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0.423</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0.417</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0.412</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0.407</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0.402</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0.397</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0.393</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0.388</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0.384</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0.381</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0.377</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nil"/>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0.374</w:t>
            </w:r>
          </w:p>
        </w:tc>
        <w:tc>
          <w:tcPr>
            <w:tcW w:w="1250" w:type="pct"/>
            <w:tcBorders>
              <w:top w:val="nil"/>
              <w:left w:val="single" w:color="auto" w:sz="4" w:space="0"/>
              <w:bottom w:val="nil"/>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nil"/>
              <w:left w:val="single" w:color="auto" w:sz="4" w:space="0"/>
              <w:bottom w:val="single" w:color="auto" w:sz="4" w:space="0"/>
              <w:right w:val="single" w:color="auto" w:sz="4" w:space="0"/>
            </w:tcBorders>
            <w:vAlign w:val="center"/>
          </w:tcPr>
          <w:p>
            <w:pPr>
              <w:tabs>
                <w:tab w:val="center" w:pos="4201"/>
                <w:tab w:val="right" w:leader="dot" w:pos="9298"/>
              </w:tabs>
              <w:autoSpaceDE w:val="0"/>
              <w:autoSpaceDN w:val="0"/>
              <w:adjustRightInd w:val="0"/>
              <w:ind w:firstLine="360" w:firstLineChars="200"/>
              <w:jc w:val="center"/>
              <w:rPr>
                <w:sz w:val="18"/>
                <w:szCs w:val="18"/>
              </w:rPr>
            </w:pPr>
          </w:p>
        </w:tc>
        <w:tc>
          <w:tcPr>
            <w:tcW w:w="1250" w:type="pct"/>
            <w:tcBorders>
              <w:top w:val="nil"/>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1250" w:type="pct"/>
            <w:tcBorders>
              <w:top w:val="nil"/>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0.371</w:t>
            </w:r>
          </w:p>
        </w:tc>
        <w:tc>
          <w:tcPr>
            <w:tcW w:w="1250" w:type="pct"/>
            <w:tcBorders>
              <w:top w:val="nil"/>
              <w:left w:val="single" w:color="auto" w:sz="4" w:space="0"/>
              <w:bottom w:val="single" w:color="auto" w:sz="4" w:space="0"/>
              <w:right w:val="single" w:color="auto" w:sz="4" w:space="0"/>
            </w:tcBorders>
            <w:vAlign w:val="center"/>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0.438</w:t>
            </w:r>
          </w:p>
        </w:tc>
      </w:tr>
    </w:tbl>
    <w:p>
      <w:pPr>
        <w:pStyle w:val="46"/>
        <w:spacing w:before="156" w:after="156"/>
      </w:pPr>
      <w:r>
        <w:rPr>
          <w:rFonts w:hint="eastAsia"/>
        </w:rPr>
        <w:t>柯克伦（Cochran）方差检验</w:t>
      </w:r>
    </w:p>
    <w:p>
      <w:pPr>
        <w:pStyle w:val="113"/>
      </w:pPr>
      <w:r>
        <w:t>柯克伦</w:t>
      </w:r>
      <w:r>
        <w:rPr>
          <w:rFonts w:hint="eastAsia"/>
        </w:rPr>
        <w:t>检验适用于观测集的方差，宜在Dixon均值检验之前实施。假设如下:</w:t>
      </w:r>
    </w:p>
    <w:p>
      <w:pPr>
        <w:pStyle w:val="59"/>
        <w:numPr>
          <w:ilvl w:val="0"/>
          <w:numId w:val="27"/>
        </w:numPr>
      </w:pPr>
      <w:r>
        <w:rPr>
          <w:rFonts w:hint="eastAsia"/>
        </w:rPr>
        <w:t>假设每个集合中有相同数量的观察值(平行观察值)。在不严重影响检验的情况下，这个条件可有所放松，但是宜尽量满足，并且</w:t>
      </w:r>
      <w:r>
        <w:rPr>
          <w:rFonts w:hint="eastAsia"/>
          <w:highlight w:val="yellow"/>
        </w:rPr>
        <w:t>例外</w:t>
      </w:r>
      <w:r>
        <w:rPr>
          <w:rFonts w:hint="eastAsia"/>
        </w:rPr>
        <w:t>的数量要少。</w:t>
      </w:r>
    </w:p>
    <w:p>
      <w:pPr>
        <w:pStyle w:val="59"/>
        <w:numPr>
          <w:ilvl w:val="0"/>
          <w:numId w:val="27"/>
        </w:numPr>
      </w:pPr>
      <w:r>
        <w:rPr>
          <w:rFonts w:hint="eastAsia"/>
        </w:rPr>
        <w:t>假设只对异常大的方差才进行拒绝性检查（也就是说，这是一个单侧检验，与Dixon检验不同）。</w:t>
      </w:r>
    </w:p>
    <w:p>
      <w:pPr>
        <w:pStyle w:val="113"/>
      </w:pPr>
      <w:r>
        <w:rPr>
          <w:rFonts w:hint="eastAsia"/>
        </w:rPr>
        <w:t>步骤如下：</w:t>
      </w:r>
    </w:p>
    <w:p>
      <w:pPr>
        <w:pStyle w:val="59"/>
        <w:numPr>
          <w:ilvl w:val="0"/>
          <w:numId w:val="28"/>
        </w:numPr>
      </w:pPr>
      <w:r>
        <w:rPr>
          <w:rFonts w:ascii="Times New Roman"/>
        </w:rPr>
        <w:t>给定一组</w:t>
      </w:r>
      <w:r>
        <w:rPr>
          <w:rFonts w:ascii="Times New Roman"/>
          <w:i/>
        </w:rPr>
        <w:t>n</w:t>
      </w:r>
      <w:r>
        <w:rPr>
          <w:rFonts w:ascii="Times New Roman"/>
        </w:rPr>
        <w:t>个标准差，</w:t>
      </w:r>
      <w:r>
        <w:rPr>
          <w:rFonts w:ascii="Times New Roman"/>
          <w:i/>
        </w:rPr>
        <w:t>s</w:t>
      </w:r>
      <w:r>
        <w:rPr>
          <w:rFonts w:ascii="Times New Roman"/>
          <w:i/>
          <w:vertAlign w:val="subscript"/>
        </w:rPr>
        <w:t>i</w:t>
      </w:r>
      <w:r>
        <w:rPr>
          <w:rFonts w:ascii="Times New Roman"/>
        </w:rPr>
        <w:t>，按式（</w:t>
      </w:r>
      <w:r>
        <w:rPr>
          <w:rFonts w:hint="eastAsia" w:ascii="Times New Roman"/>
        </w:rPr>
        <w:t>31）</w:t>
      </w:r>
      <w:r>
        <w:rPr>
          <w:rFonts w:ascii="Times New Roman"/>
        </w:rPr>
        <w:t>计算</w:t>
      </w:r>
      <w:r>
        <w:rPr>
          <w:rFonts w:hint="eastAsia" w:ascii="Times New Roman"/>
        </w:rPr>
        <w:t>柯</w:t>
      </w:r>
      <w:r>
        <w:rPr>
          <w:rFonts w:ascii="Times New Roman"/>
        </w:rPr>
        <w:t>克伦商</w:t>
      </w:r>
      <w:r>
        <w:rPr>
          <w:rFonts w:ascii="Times New Roman"/>
          <w:i/>
        </w:rPr>
        <w:t>C</w:t>
      </w:r>
      <w:r>
        <w:rPr>
          <w:rFonts w:hint="eastAsia"/>
        </w:rPr>
        <w:t>：</w:t>
      </w:r>
    </w:p>
    <w:p>
      <w:pPr>
        <w:pStyle w:val="23"/>
      </w:pPr>
      <m:oMath>
        <m:r>
          <m:rPr/>
          <w:rPr>
            <w:rFonts w:ascii="Cambria Math" w:hAnsi="Cambria Math"/>
          </w:rPr>
          <m:t>C</m:t>
        </m:r>
        <m:r>
          <m:rPr>
            <m:sty m:val="p"/>
          </m:rPr>
          <w:rPr>
            <w:rFonts w:ascii="Cambria Math" w:hAnsi="Cambria Math"/>
          </w:rPr>
          <m:t xml:space="preserve">= </m:t>
        </m:r>
        <m:sSup>
          <m:sSupPr>
            <m:ctrlPr>
              <w:rPr>
                <w:rFonts w:ascii="Cambria Math" w:hAnsi="Cambria Math"/>
                <w:szCs w:val="22"/>
              </w:rPr>
            </m:ctrlPr>
          </m:sSupPr>
          <m:e>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max</m:t>
                </m:r>
                <m:ctrlPr>
                  <w:rPr>
                    <w:rFonts w:ascii="Cambria Math" w:hAnsi="Cambria Math"/>
                    <w:i/>
                    <w:szCs w:val="22"/>
                  </w:rPr>
                </m:ctrlPr>
              </m:sub>
            </m:sSub>
            <m:ctrlPr>
              <w:rPr>
                <w:rFonts w:ascii="Cambria Math" w:hAnsi="Cambria Math"/>
                <w:szCs w:val="22"/>
              </w:rPr>
            </m:ctrlPr>
          </m:e>
          <m:sup>
            <m:r>
              <m:rPr/>
              <w:rPr>
                <w:rFonts w:ascii="Cambria Math" w:hAnsi="Cambria Math"/>
              </w:rPr>
              <m:t>2</m:t>
            </m:r>
            <m:ctrlPr>
              <w:rPr>
                <w:rFonts w:ascii="Cambria Math" w:hAnsi="Cambria Math"/>
                <w:szCs w:val="22"/>
              </w:rPr>
            </m:ctrlPr>
          </m:sup>
        </m:sSup>
        <m:r>
          <m:rPr/>
          <w:rPr>
            <w:rFonts w:ascii="Cambria Math" w:hAnsi="Cambria Math"/>
          </w:rPr>
          <m:t>/</m:t>
        </m:r>
        <m:nary>
          <m:naryPr>
            <m:chr m:val="∑"/>
            <m:limLoc m:val="undOvr"/>
            <m:ctrlPr>
              <w:rPr>
                <w:rFonts w:ascii="Cambria Math" w:hAnsi="Cambria Math"/>
                <w:i/>
                <w:szCs w:val="22"/>
              </w:rPr>
            </m:ctrlPr>
          </m:naryPr>
          <m:sub>
            <m:r>
              <m:rPr/>
              <w:rPr>
                <w:rFonts w:ascii="Cambria Math" w:hAnsi="Cambria Math"/>
              </w:rPr>
              <m:t>i=1</m:t>
            </m:r>
            <m:ctrlPr>
              <w:rPr>
                <w:rFonts w:ascii="Cambria Math" w:hAnsi="Cambria Math"/>
                <w:i/>
                <w:szCs w:val="22"/>
              </w:rPr>
            </m:ctrlPr>
          </m:sub>
          <m:sup>
            <m:r>
              <m:rPr/>
              <w:rPr>
                <w:rFonts w:ascii="Cambria Math" w:hAnsi="Cambria Math"/>
              </w:rPr>
              <m:t>n</m:t>
            </m:r>
            <m:ctrlPr>
              <w:rPr>
                <w:rFonts w:ascii="Cambria Math" w:hAnsi="Cambria Math"/>
                <w:i/>
                <w:szCs w:val="22"/>
              </w:rPr>
            </m:ctrlPr>
          </m:sup>
          <m:e>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i</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nary>
      </m:oMath>
      <w:r>
        <w:t xml:space="preserve">                   </w:t>
      </w:r>
      <w:r>
        <w:rPr>
          <w:rFonts w:hint="eastAsia"/>
        </w:rPr>
        <w:t xml:space="preserve">                </w:t>
      </w:r>
      <w:r>
        <w:t xml:space="preserve">                          (31)</w:t>
      </w:r>
    </w:p>
    <w:p>
      <w:pPr>
        <w:pStyle w:val="23"/>
        <w:ind w:firstLine="0" w:firstLineChars="0"/>
      </w:pPr>
      <w:r>
        <w:rPr>
          <w:rFonts w:hint="eastAsia"/>
        </w:rPr>
        <w:t>其中，</w:t>
      </w:r>
      <w:r>
        <w:rPr>
          <w:i/>
        </w:rPr>
        <w:t>s</w:t>
      </w:r>
      <w:r>
        <w:rPr>
          <w:vertAlign w:val="subscript"/>
        </w:rPr>
        <w:t>max</w:t>
      </w:r>
      <w:r>
        <w:rPr>
          <w:rFonts w:hint="eastAsia"/>
        </w:rPr>
        <w:t>是这组</w:t>
      </w:r>
      <w:commentRangeStart w:id="5"/>
      <w:r>
        <w:rPr>
          <w:rFonts w:ascii="Times New Roman"/>
          <w:i/>
        </w:rPr>
        <w:t>n</w:t>
      </w:r>
      <w:commentRangeEnd w:id="5"/>
      <w:r>
        <w:rPr>
          <w:rStyle w:val="39"/>
          <w:rFonts w:ascii="Times New Roman"/>
          <w:kern w:val="2"/>
        </w:rPr>
        <w:commentReference w:id="5"/>
      </w:r>
      <w:r>
        <w:rPr>
          <w:rFonts w:hint="eastAsia"/>
        </w:rPr>
        <w:t>中最大的标准差。</w:t>
      </w:r>
    </w:p>
    <w:p>
      <w:pPr>
        <w:pStyle w:val="64"/>
      </w:pPr>
      <w:r>
        <w:rPr>
          <w:rFonts w:hint="eastAsia"/>
        </w:rPr>
        <w:t>作为例外，当平行观察数为2时，用极差代替标准差。</w:t>
      </w:r>
    </w:p>
    <w:p>
      <w:pPr>
        <w:pStyle w:val="59"/>
      </w:pPr>
      <w:r>
        <w:rPr>
          <w:rFonts w:hint="eastAsia"/>
        </w:rPr>
        <w:t>将</w:t>
      </w:r>
      <w:r>
        <w:rPr>
          <w:i/>
        </w:rPr>
        <w:t>C</w:t>
      </w:r>
      <w:r>
        <w:rPr>
          <w:rFonts w:hint="eastAsia"/>
        </w:rPr>
        <w:t>与表</w:t>
      </w:r>
      <w:r>
        <w:t>23</w:t>
      </w:r>
      <w:r>
        <w:rPr>
          <w:rFonts w:hint="eastAsia"/>
        </w:rPr>
        <w:t>中给出的临界值进行比较，表</w:t>
      </w:r>
      <w:r>
        <w:t>23</w:t>
      </w:r>
      <w:r>
        <w:rPr>
          <w:rFonts w:hint="eastAsia"/>
        </w:rPr>
        <w:t>可用于包含</w:t>
      </w:r>
      <w:r>
        <w:t>2</w:t>
      </w:r>
      <w:r>
        <w:rPr>
          <w:rFonts w:hint="eastAsia"/>
        </w:rPr>
        <w:t>到</w:t>
      </w:r>
      <w:r>
        <w:t>6</w:t>
      </w:r>
      <w:r>
        <w:rPr>
          <w:rFonts w:hint="eastAsia"/>
        </w:rPr>
        <w:t>个之间的平行观察值，最多可用于</w:t>
      </w:r>
      <w:r>
        <w:t>40</w:t>
      </w:r>
      <w:r>
        <w:rPr>
          <w:rFonts w:hint="eastAsia"/>
        </w:rPr>
        <w:t>组结果。可做出以下推论：</w:t>
      </w:r>
    </w:p>
    <w:p>
      <w:pPr>
        <w:pStyle w:val="54"/>
      </w:pPr>
      <w:r>
        <w:rPr>
          <w:rFonts w:hint="eastAsia"/>
        </w:rPr>
        <w:t>如果观察到的</w:t>
      </w:r>
      <w:r>
        <w:rPr>
          <w:i/>
        </w:rPr>
        <w:t>C</w:t>
      </w:r>
      <w:r>
        <w:rPr>
          <w:rFonts w:hint="eastAsia"/>
        </w:rPr>
        <w:t>值大于</w:t>
      </w:r>
      <w:r>
        <w:t>5%的</w:t>
      </w:r>
      <w:r>
        <w:rPr>
          <w:rFonts w:hint="eastAsia"/>
        </w:rPr>
        <w:t>临界值，小于</w:t>
      </w:r>
      <w:r>
        <w:t>1%的</w:t>
      </w:r>
      <w:r>
        <w:rPr>
          <w:rFonts w:hint="eastAsia"/>
        </w:rPr>
        <w:t>临界值，则该标准差标记为歧离值；</w:t>
      </w:r>
    </w:p>
    <w:p>
      <w:pPr>
        <w:pStyle w:val="54"/>
      </w:pPr>
      <w:r>
        <w:rPr>
          <w:rFonts w:hint="eastAsia"/>
        </w:rPr>
        <w:t>如果观察到的</w:t>
      </w:r>
      <w:r>
        <w:rPr>
          <w:i/>
        </w:rPr>
        <w:t>C</w:t>
      </w:r>
      <w:r>
        <w:rPr>
          <w:rFonts w:hint="eastAsia"/>
        </w:rPr>
        <w:t>值超过</w:t>
      </w:r>
      <w:r>
        <w:t>1%</w:t>
      </w:r>
      <w:r>
        <w:rPr>
          <w:rFonts w:hint="eastAsia"/>
        </w:rPr>
        <w:t>临界值，则产生该标准差的数据集将作为离群值被拒绝。</w:t>
      </w:r>
    </w:p>
    <w:p>
      <w:pPr>
        <w:pStyle w:val="64"/>
      </w:pPr>
      <w:r>
        <w:rPr>
          <w:rFonts w:hint="eastAsia"/>
        </w:rPr>
        <w:t>对于表</w:t>
      </w:r>
      <w:r>
        <w:t>23</w:t>
      </w:r>
      <w:r>
        <w:rPr>
          <w:rFonts w:hint="eastAsia"/>
        </w:rPr>
        <w:t>范围以外的结果，应参考更大的统计表。</w:t>
      </w:r>
    </w:p>
    <w:p>
      <w:pPr>
        <w:pStyle w:val="127"/>
        <w:ind w:left="0"/>
      </w:pPr>
      <w:r>
        <w:rPr>
          <w:rFonts w:hint="eastAsia" w:hAnsi="黑体"/>
        </w:rPr>
        <w:t>Cochran检验临界值</w:t>
      </w:r>
    </w:p>
    <w:tbl>
      <w:tblPr>
        <w:tblStyle w:val="33"/>
        <w:tblW w:w="5000" w:type="pct"/>
        <w:tblInd w:w="0" w:type="dxa"/>
        <w:tblLayout w:type="autofit"/>
        <w:tblCellMar>
          <w:top w:w="0" w:type="dxa"/>
          <w:left w:w="108" w:type="dxa"/>
          <w:bottom w:w="0" w:type="dxa"/>
          <w:right w:w="108" w:type="dxa"/>
        </w:tblCellMar>
      </w:tblPr>
      <w:tblGrid>
        <w:gridCol w:w="870"/>
        <w:gridCol w:w="871"/>
        <w:gridCol w:w="871"/>
        <w:gridCol w:w="871"/>
        <w:gridCol w:w="871"/>
        <w:gridCol w:w="871"/>
        <w:gridCol w:w="871"/>
        <w:gridCol w:w="871"/>
        <w:gridCol w:w="871"/>
        <w:gridCol w:w="871"/>
        <w:gridCol w:w="861"/>
      </w:tblGrid>
      <w:tr>
        <w:tblPrEx>
          <w:tblCellMar>
            <w:top w:w="0" w:type="dxa"/>
            <w:left w:w="108" w:type="dxa"/>
            <w:bottom w:w="0" w:type="dxa"/>
            <w:right w:w="108" w:type="dxa"/>
          </w:tblCellMar>
        </w:tblPrEx>
        <w:trPr>
          <w:trHeight w:val="270" w:hRule="atLeast"/>
        </w:trPr>
        <w:tc>
          <w:tcPr>
            <w:tcW w:w="455" w:type="pct"/>
            <w:tcBorders>
              <w:top w:val="single" w:color="auto" w:sz="4" w:space="0"/>
              <w:left w:val="single" w:color="auto" w:sz="4" w:space="0"/>
              <w:right w:val="single" w:color="auto" w:sz="4" w:space="0"/>
            </w:tcBorders>
            <w:shd w:val="clear" w:color="auto" w:fill="auto"/>
            <w:vAlign w:val="center"/>
          </w:tcPr>
          <w:p>
            <w:pPr>
              <w:widowControl/>
              <w:jc w:val="center"/>
              <w:rPr>
                <w:i/>
                <w:iCs/>
                <w:color w:val="000000"/>
                <w:kern w:val="0"/>
                <w:sz w:val="18"/>
                <w:szCs w:val="18"/>
              </w:rPr>
            </w:pPr>
            <w:r>
              <w:rPr>
                <w:i/>
                <w:iCs/>
                <w:color w:val="000000"/>
                <w:kern w:val="0"/>
                <w:sz w:val="18"/>
                <w:szCs w:val="18"/>
              </w:rPr>
              <w:t>P</w:t>
            </w:r>
          </w:p>
        </w:tc>
        <w:tc>
          <w:tcPr>
            <w:tcW w:w="910"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i/>
                <w:iCs/>
                <w:color w:val="000000"/>
                <w:kern w:val="0"/>
                <w:sz w:val="18"/>
                <w:szCs w:val="18"/>
              </w:rPr>
            </w:pPr>
            <w:r>
              <w:rPr>
                <w:i/>
                <w:iCs/>
                <w:color w:val="000000"/>
                <w:kern w:val="0"/>
                <w:sz w:val="18"/>
                <w:szCs w:val="18"/>
              </w:rPr>
              <w:t>n</w:t>
            </w:r>
            <w:r>
              <w:rPr>
                <w:color w:val="000000"/>
                <w:kern w:val="0"/>
                <w:sz w:val="18"/>
                <w:szCs w:val="18"/>
              </w:rPr>
              <w:t>=2</w:t>
            </w:r>
          </w:p>
        </w:tc>
        <w:tc>
          <w:tcPr>
            <w:tcW w:w="910"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i/>
                <w:iCs/>
                <w:color w:val="000000"/>
                <w:kern w:val="0"/>
                <w:sz w:val="18"/>
                <w:szCs w:val="18"/>
              </w:rPr>
            </w:pPr>
            <w:r>
              <w:rPr>
                <w:i/>
                <w:iCs/>
                <w:color w:val="000000"/>
                <w:kern w:val="0"/>
                <w:sz w:val="18"/>
                <w:szCs w:val="18"/>
              </w:rPr>
              <w:t>n</w:t>
            </w:r>
            <w:r>
              <w:rPr>
                <w:color w:val="000000"/>
                <w:kern w:val="0"/>
                <w:sz w:val="18"/>
                <w:szCs w:val="18"/>
              </w:rPr>
              <w:t>=3</w:t>
            </w:r>
          </w:p>
        </w:tc>
        <w:tc>
          <w:tcPr>
            <w:tcW w:w="910"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i/>
                <w:iCs/>
                <w:color w:val="000000"/>
                <w:kern w:val="0"/>
                <w:sz w:val="18"/>
                <w:szCs w:val="18"/>
              </w:rPr>
            </w:pPr>
            <w:r>
              <w:rPr>
                <w:i/>
                <w:iCs/>
                <w:color w:val="000000"/>
                <w:kern w:val="0"/>
                <w:sz w:val="18"/>
                <w:szCs w:val="18"/>
              </w:rPr>
              <w:t>n</w:t>
            </w:r>
            <w:r>
              <w:rPr>
                <w:color w:val="000000"/>
                <w:kern w:val="0"/>
                <w:sz w:val="18"/>
                <w:szCs w:val="18"/>
              </w:rPr>
              <w:t>=4</w:t>
            </w:r>
          </w:p>
        </w:tc>
        <w:tc>
          <w:tcPr>
            <w:tcW w:w="910"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i/>
                <w:iCs/>
                <w:color w:val="000000"/>
                <w:kern w:val="0"/>
                <w:sz w:val="18"/>
                <w:szCs w:val="18"/>
              </w:rPr>
            </w:pPr>
            <w:r>
              <w:rPr>
                <w:i/>
                <w:iCs/>
                <w:color w:val="000000"/>
                <w:kern w:val="0"/>
                <w:sz w:val="18"/>
                <w:szCs w:val="18"/>
              </w:rPr>
              <w:t>n</w:t>
            </w:r>
            <w:r>
              <w:rPr>
                <w:color w:val="000000"/>
                <w:kern w:val="0"/>
                <w:sz w:val="18"/>
                <w:szCs w:val="18"/>
              </w:rPr>
              <w:t>=5</w:t>
            </w:r>
          </w:p>
        </w:tc>
        <w:tc>
          <w:tcPr>
            <w:tcW w:w="905"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i/>
                <w:iCs/>
                <w:color w:val="000000"/>
                <w:kern w:val="0"/>
                <w:sz w:val="18"/>
                <w:szCs w:val="18"/>
              </w:rPr>
            </w:pPr>
            <w:r>
              <w:rPr>
                <w:i/>
                <w:iCs/>
                <w:color w:val="000000"/>
                <w:kern w:val="0"/>
                <w:sz w:val="18"/>
                <w:szCs w:val="18"/>
              </w:rPr>
              <w:t>n</w:t>
            </w:r>
            <w:r>
              <w:rPr>
                <w:color w:val="000000"/>
                <w:kern w:val="0"/>
                <w:sz w:val="18"/>
                <w:szCs w:val="18"/>
              </w:rPr>
              <w:t>=6</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Ansi="宋体"/>
                <w:color w:val="000000"/>
                <w:kern w:val="0"/>
                <w:sz w:val="18"/>
                <w:szCs w:val="18"/>
              </w:rPr>
              <w:t>　</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5%</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5%</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5%</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5%</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1%</w:t>
            </w:r>
          </w:p>
        </w:tc>
        <w:tc>
          <w:tcPr>
            <w:tcW w:w="450"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5%</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2</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 —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 —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0.995</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0.975</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0.797</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0.939</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0.959</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0.906</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0.937</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0.877</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3</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0.993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0.967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0.942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0.871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0.883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0.798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0.834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0.746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0.793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0.707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4</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0.968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0.906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0.864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0.768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0.781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0.684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0.721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0.629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0.676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0.590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5</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0.928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0.841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0.788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0.684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0.696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0.598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0.633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0.544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0.588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0.506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6</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0.883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0.781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0.722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0.616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0.626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0.532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0.564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0.480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0.520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0.445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7</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0.838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0.727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0.664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0.561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0.568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0.480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0.508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0.431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0.466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0.397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8</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0.794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0.680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0.615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0.516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0.521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0.438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0.463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0.391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0.423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0.360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9</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0.754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0.638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0.573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0.478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0.481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0.403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0.425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0.358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0.387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0.329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10</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0.718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0.602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0.536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0.445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0.447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0.373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0.393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0.331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0.357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0.303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11</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0.684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0.570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0.504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0.417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0.418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0.348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0.366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0.308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0.332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0.281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12</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0.653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0.541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0.475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0.392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0.392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0.326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0.343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0.288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0.310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0.262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13</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0.624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0.515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0.450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0.371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0.369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0.307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0.322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0.271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0.291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0.246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14</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0.599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0.492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0.427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0.352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0.349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0.291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0.304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0.255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0.274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0.232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15</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0.574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0.471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0.407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0.335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0.332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0.276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0.288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0.242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0.259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0.220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16</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0.553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0.452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0.388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0.319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0.316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0.262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0.274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0.230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0.246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0.208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17</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0.532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0.434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0.372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0.305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0.301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0.250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0.261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0.219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0.234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0.198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18</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0.514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0.418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0.356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0.293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0.288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0.240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0.249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0.209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0.223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0.189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19</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0.496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0.403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0.343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0.281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0.276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0.230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0.238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0.200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0.214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0.181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20</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0.480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0.389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0.330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0.270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0.265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0.220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0.229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0.192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0.205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0.174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21</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0.465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0.377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0.318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0.261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0.255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0.212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0.220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0.185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0.197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0.167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22</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0.450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0.365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0.307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0.252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0.246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0.204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0.212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0.189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0.160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23</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0.437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0.354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0.297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0.243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0.238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0.197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0.204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0.182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0.155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24</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0.425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0.343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0.287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0.235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0.230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0.191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0.197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0.176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0.149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25</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0.413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0.334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0.278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0.228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0.222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0.185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0.190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0.170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0.144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26</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0.402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0.325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0.270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0.221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0.215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0.184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0.164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0.140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27</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0.391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0.316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0.262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0.215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0.209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0.159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0.135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28</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0.382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0.308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0.255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0.209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0.202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0.146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0.154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0.131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29</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0.372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0.300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0.248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0.203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0.196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0.142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0.150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0.127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30</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0.363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0.293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0.241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0.198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0.191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0.145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0.124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31</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0.355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0.286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0.235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0.193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0.186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0.141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0.120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32</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0.347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0.280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0.229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0.188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0.181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0.138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0.117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33</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0.339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0.273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0.224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0.184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0.147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0.127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0.134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0.114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34</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0.332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0.267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0.218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0.144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0.147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0.124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0.131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0.111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35</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0.325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0.262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0.213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0.140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0.144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0.121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0.127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0.108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36</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0.318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0.256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0.208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0.172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0.165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0.140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0.119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0.124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0.106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37</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0.312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0.251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0.204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0.116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0.121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0.103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38</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0.306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0.246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0.200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0.113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0.119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0.101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39</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0.300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0.242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0.196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0.161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0.129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0.131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0.111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0.116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0.099 </w:t>
            </w:r>
          </w:p>
        </w:tc>
      </w:tr>
      <w:tr>
        <w:tblPrEx>
          <w:tblCellMar>
            <w:top w:w="0" w:type="dxa"/>
            <w:left w:w="108" w:type="dxa"/>
            <w:bottom w:w="0" w:type="dxa"/>
            <w:right w:w="108" w:type="dxa"/>
          </w:tblCellMar>
        </w:tblPrEx>
        <w:trPr>
          <w:trHeight w:val="270" w:hRule="atLeast"/>
        </w:trPr>
        <w:tc>
          <w:tcPr>
            <w:tcW w:w="4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40</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0.294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0.237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0.192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0.151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0.126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0.128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0.108 </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0.114 </w:t>
            </w:r>
          </w:p>
        </w:tc>
        <w:tc>
          <w:tcPr>
            <w:tcW w:w="450" w:type="pct"/>
            <w:tcBorders>
              <w:top w:val="nil"/>
              <w:left w:val="nil"/>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 xml:space="preserve">0.097 </w:t>
            </w:r>
          </w:p>
        </w:tc>
      </w:tr>
      <w:tr>
        <w:tblPrEx>
          <w:tblCellMar>
            <w:top w:w="0" w:type="dxa"/>
            <w:left w:w="108" w:type="dxa"/>
            <w:bottom w:w="0" w:type="dxa"/>
            <w:right w:w="108" w:type="dxa"/>
          </w:tblCellMar>
        </w:tblPrEx>
        <w:trPr>
          <w:trHeight w:val="270" w:hRule="atLeast"/>
        </w:trPr>
        <w:tc>
          <w:tcPr>
            <w:tcW w:w="5000" w:type="pct"/>
            <w:gridSpan w:val="11"/>
            <w:tcBorders>
              <w:top w:val="single" w:color="auto" w:sz="4" w:space="0"/>
              <w:left w:val="single" w:color="auto" w:sz="4" w:space="0"/>
              <w:right w:val="single" w:color="auto" w:sz="4" w:space="0"/>
            </w:tcBorders>
            <w:shd w:val="clear" w:color="auto" w:fill="auto"/>
            <w:vAlign w:val="center"/>
          </w:tcPr>
          <w:p>
            <w:pPr>
              <w:widowControl/>
              <w:rPr>
                <w:color w:val="000000"/>
                <w:kern w:val="0"/>
                <w:sz w:val="18"/>
                <w:szCs w:val="18"/>
              </w:rPr>
            </w:pPr>
            <w:r>
              <w:rPr>
                <w:rFonts w:hAnsi="宋体"/>
                <w:color w:val="000000"/>
                <w:kern w:val="0"/>
                <w:sz w:val="18"/>
                <w:szCs w:val="18"/>
              </w:rPr>
              <w:t>注：</w:t>
            </w:r>
            <w:r>
              <w:rPr>
                <w:i/>
                <w:iCs/>
                <w:color w:val="000000"/>
                <w:kern w:val="0"/>
                <w:sz w:val="18"/>
                <w:szCs w:val="18"/>
              </w:rPr>
              <w:t>n</w:t>
            </w:r>
            <w:r>
              <w:rPr>
                <w:rFonts w:hAnsi="宋体"/>
                <w:color w:val="000000"/>
                <w:kern w:val="0"/>
                <w:sz w:val="18"/>
                <w:szCs w:val="18"/>
              </w:rPr>
              <w:t>是每个单元格的结果数；</w:t>
            </w:r>
          </w:p>
        </w:tc>
      </w:tr>
      <w:tr>
        <w:tblPrEx>
          <w:tblCellMar>
            <w:top w:w="0" w:type="dxa"/>
            <w:left w:w="108" w:type="dxa"/>
            <w:bottom w:w="0" w:type="dxa"/>
            <w:right w:w="108" w:type="dxa"/>
          </w:tblCellMar>
        </w:tblPrEx>
        <w:trPr>
          <w:trHeight w:val="270" w:hRule="atLeast"/>
        </w:trPr>
        <w:tc>
          <w:tcPr>
            <w:tcW w:w="5000" w:type="pct"/>
            <w:gridSpan w:val="11"/>
            <w:tcBorders>
              <w:left w:val="single" w:color="auto" w:sz="4" w:space="0"/>
              <w:bottom w:val="single" w:color="auto" w:sz="4" w:space="0"/>
              <w:right w:val="single" w:color="auto" w:sz="4" w:space="0"/>
            </w:tcBorders>
            <w:shd w:val="clear" w:color="auto" w:fill="auto"/>
            <w:vAlign w:val="center"/>
          </w:tcPr>
          <w:p>
            <w:pPr>
              <w:widowControl/>
              <w:ind w:firstLine="360" w:firstLineChars="200"/>
              <w:rPr>
                <w:color w:val="000000"/>
                <w:kern w:val="0"/>
                <w:sz w:val="18"/>
                <w:szCs w:val="18"/>
              </w:rPr>
            </w:pPr>
            <w:r>
              <w:rPr>
                <w:i/>
                <w:iCs/>
                <w:color w:val="000000"/>
                <w:kern w:val="0"/>
                <w:sz w:val="18"/>
                <w:szCs w:val="18"/>
              </w:rPr>
              <w:t>P</w:t>
            </w:r>
            <w:r>
              <w:rPr>
                <w:rFonts w:hAnsi="宋体"/>
                <w:color w:val="000000"/>
                <w:kern w:val="0"/>
                <w:sz w:val="18"/>
                <w:szCs w:val="18"/>
              </w:rPr>
              <w:t>是给定水平下的实验室数。</w:t>
            </w:r>
          </w:p>
        </w:tc>
      </w:tr>
    </w:tbl>
    <w:p>
      <w:pPr>
        <w:pStyle w:val="42"/>
      </w:pPr>
      <w:bookmarkStart w:id="232" w:name="_Toc124173942"/>
      <w:r>
        <w:rPr>
          <w:rFonts w:hint="eastAsia"/>
        </w:rPr>
        <w:t>在橡胶试验中的应用</w:t>
      </w:r>
      <w:bookmarkEnd w:id="232"/>
    </w:p>
    <w:p>
      <w:pPr>
        <w:pStyle w:val="46"/>
        <w:spacing w:before="156" w:after="156"/>
      </w:pPr>
      <w:r>
        <w:rPr>
          <w:rFonts w:hint="eastAsia"/>
        </w:rPr>
        <w:t>概述</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对离群值检验的应用原则上可以应用于任何数据集，但它最常应用于实验室间测试试验。</w:t>
      </w:r>
    </w:p>
    <w:p>
      <w:pPr>
        <w:pStyle w:val="46"/>
        <w:spacing w:before="156" w:after="156"/>
      </w:pPr>
      <w:r>
        <w:rPr>
          <w:rFonts w:hint="eastAsia"/>
        </w:rPr>
        <w:t>Dixon检验应用于单个结果</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按ISO 815在1型试样上，得到了一系列8个平行压缩永久变形结果，如表24所示。</w:t>
      </w:r>
    </w:p>
    <w:p>
      <w:pPr>
        <w:pStyle w:val="127"/>
        <w:ind w:left="0"/>
      </w:pPr>
      <w:r>
        <w:rPr>
          <w:rFonts w:hint="eastAsia" w:hAnsi="黑体"/>
        </w:rPr>
        <w:t>压缩永久变形结果</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85"/>
        <w:gridCol w:w="4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tcBorders>
              <w:top w:val="single" w:color="auto" w:sz="4" w:space="0"/>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结果编号</w:t>
            </w:r>
          </w:p>
        </w:tc>
        <w:tc>
          <w:tcPr>
            <w:tcW w:w="2500" w:type="pct"/>
            <w:tcBorders>
              <w:top w:val="single" w:color="auto" w:sz="4" w:space="0"/>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结果</w:t>
            </w:r>
          </w:p>
          <w:p>
            <w:pPr>
              <w:tabs>
                <w:tab w:val="left" w:pos="284"/>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2500"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360" w:firstLineChars="200"/>
              <w:jc w:val="center"/>
              <w:rPr>
                <w:rFonts w:ascii="宋体" w:hAnsi="宋体" w:cs="宋体"/>
                <w:color w:val="000000"/>
                <w:kern w:val="0"/>
                <w:sz w:val="18"/>
                <w:szCs w:val="18"/>
              </w:rPr>
            </w:pPr>
            <w:r>
              <w:rPr>
                <w:rFonts w:hint="eastAsia" w:ascii="宋体" w:hAnsi="宋体" w:cs="宋体"/>
                <w:color w:val="000000"/>
                <w:kern w:val="0"/>
                <w:sz w:val="18"/>
                <w:szCs w:val="18"/>
              </w:rPr>
              <w:t>26.9</w:t>
            </w:r>
          </w:p>
        </w:tc>
      </w:tr>
    </w:tbl>
    <w:p>
      <w:pPr>
        <w:pStyle w:val="23"/>
      </w:pPr>
    </w:p>
    <w:p>
      <w:pPr>
        <w:pStyle w:val="23"/>
      </w:pPr>
      <w:r>
        <w:rPr>
          <w:rFonts w:hint="eastAsia"/>
        </w:rPr>
        <w:t>对这些数据的初步简单检查提示，10.1这个结果太离谱了，在计算平均值和标准差时宜予忽略。然而，这样的结果应该用Dixon准则检验。在这种情况下，得出以下结论。</w:t>
      </w:r>
    </w:p>
    <w:p>
      <w:pPr>
        <w:pStyle w:val="23"/>
      </w:pPr>
      <w:r>
        <w:rPr>
          <w:rFonts w:hint="eastAsia"/>
        </w:rPr>
        <w:t>表25给出了按升序排列的结果。</w:t>
      </w:r>
    </w:p>
    <w:p>
      <w:pPr>
        <w:pStyle w:val="127"/>
        <w:ind w:left="0"/>
      </w:pPr>
      <w:r>
        <w:rPr>
          <w:rFonts w:hint="eastAsia" w:hAnsi="黑体"/>
        </w:rPr>
        <w:t>分类的压缩永久变形结果</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升序</w:t>
            </w:r>
          </w:p>
        </w:tc>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结果</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250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28.1</w:t>
            </w:r>
          </w:p>
        </w:tc>
      </w:tr>
    </w:tbl>
    <w:p>
      <w:pPr>
        <w:pStyle w:val="23"/>
      </w:pPr>
      <w:r>
        <w:rPr>
          <w:rFonts w:hint="eastAsia"/>
        </w:rPr>
        <w:t>由表25看到：</w:t>
      </w:r>
    </w:p>
    <w:p>
      <w:pPr>
        <w:pStyle w:val="23"/>
      </w:pPr>
      <m:oMath>
        <m:sSub>
          <m:sSubPr>
            <m:ctrlPr>
              <w:rPr>
                <w:rFonts w:ascii="Cambria Math" w:hAnsi="Cambria Math"/>
                <w:szCs w:val="22"/>
              </w:rPr>
            </m:ctrlPr>
          </m:sSubPr>
          <m:e>
            <m:r>
              <m:rPr/>
              <w:rPr>
                <w:rFonts w:ascii="Cambria Math" w:hAnsi="Cambria Math"/>
              </w:rPr>
              <m:t>x</m:t>
            </m:r>
            <m:ctrlPr>
              <w:rPr>
                <w:rFonts w:ascii="Cambria Math" w:hAnsi="Cambria Math"/>
                <w:szCs w:val="22"/>
              </w:rPr>
            </m:ctrlPr>
          </m:e>
          <m:sub>
            <m:r>
              <m:rPr/>
              <w:rPr>
                <w:rFonts w:ascii="Cambria Math" w:hAnsi="Cambria Math"/>
              </w:rPr>
              <m:t>1</m:t>
            </m:r>
            <m:ctrlPr>
              <w:rPr>
                <w:rFonts w:ascii="Cambria Math" w:hAnsi="Cambria Math"/>
                <w:szCs w:val="22"/>
              </w:rPr>
            </m:ctrlPr>
          </m:sub>
        </m:sSub>
        <m:r>
          <m:rPr/>
          <w:rPr>
            <w:rFonts w:ascii="Cambria Math" w:hAnsi="Cambria Math"/>
          </w:rPr>
          <m:t>=10.1</m:t>
        </m:r>
      </m:oMath>
      <w:r>
        <w:rPr>
          <w:rFonts w:hint="eastAsia"/>
        </w:rPr>
        <w:t xml:space="preserve"> ；</w:t>
      </w:r>
    </w:p>
    <w:p>
      <w:pPr>
        <w:pStyle w:val="23"/>
      </w:pPr>
      <m:oMath>
        <m:sSub>
          <m:sSubPr>
            <m:ctrlPr>
              <w:rPr>
                <w:rFonts w:ascii="Cambria Math" w:hAnsi="Cambria Math"/>
                <w:szCs w:val="22"/>
              </w:rPr>
            </m:ctrlPr>
          </m:sSubPr>
          <m:e>
            <m:r>
              <m:rPr/>
              <w:rPr>
                <w:rFonts w:ascii="Cambria Math" w:hAnsi="Cambria Math"/>
              </w:rPr>
              <m:t>x</m:t>
            </m:r>
            <m:ctrlPr>
              <w:rPr>
                <w:rFonts w:ascii="Cambria Math" w:hAnsi="Cambria Math"/>
                <w:szCs w:val="22"/>
              </w:rPr>
            </m:ctrlPr>
          </m:e>
          <m:sub>
            <m:r>
              <m:rPr/>
              <w:rPr>
                <w:rFonts w:ascii="Cambria Math" w:hAnsi="Cambria Math"/>
              </w:rPr>
              <m:t>2</m:t>
            </m:r>
            <m:ctrlPr>
              <w:rPr>
                <w:rFonts w:ascii="Cambria Math" w:hAnsi="Cambria Math"/>
                <w:szCs w:val="22"/>
              </w:rPr>
            </m:ctrlPr>
          </m:sub>
        </m:sSub>
        <m:r>
          <m:rPr/>
          <w:rPr>
            <w:rFonts w:ascii="Cambria Math" w:hAnsi="Cambria Math"/>
          </w:rPr>
          <m:t>=18.3</m:t>
        </m:r>
      </m:oMath>
      <w:r>
        <w:rPr>
          <w:rFonts w:hint="eastAsia"/>
        </w:rPr>
        <w:t xml:space="preserve"> ；</w:t>
      </w:r>
    </w:p>
    <w:p>
      <w:pPr>
        <w:pStyle w:val="23"/>
      </w:pPr>
      <m:oMath>
        <m:sSub>
          <m:sSubPr>
            <m:ctrlPr>
              <w:rPr>
                <w:rFonts w:ascii="Cambria Math" w:hAnsi="Cambria Math"/>
                <w:szCs w:val="22"/>
              </w:rPr>
            </m:ctrlPr>
          </m:sSubPr>
          <m:e>
            <m:r>
              <m:rPr/>
              <w:rPr>
                <w:rFonts w:ascii="Cambria Math" w:hAnsi="Cambria Math"/>
              </w:rPr>
              <m:t>x</m:t>
            </m:r>
            <m:ctrlPr>
              <w:rPr>
                <w:rFonts w:ascii="Cambria Math" w:hAnsi="Cambria Math"/>
                <w:szCs w:val="22"/>
              </w:rPr>
            </m:ctrlPr>
          </m:e>
          <m:sub>
            <m:r>
              <m:rPr/>
              <w:rPr>
                <w:rFonts w:ascii="Cambria Math" w:hAnsi="Cambria Math"/>
              </w:rPr>
              <m:t>7</m:t>
            </m:r>
            <m:ctrlPr>
              <w:rPr>
                <w:rFonts w:ascii="Cambria Math" w:hAnsi="Cambria Math"/>
                <w:szCs w:val="22"/>
              </w:rPr>
            </m:ctrlPr>
          </m:sub>
        </m:sSub>
        <m:r>
          <m:rPr/>
          <w:rPr>
            <w:rFonts w:ascii="Cambria Math" w:hAnsi="Cambria Math"/>
          </w:rPr>
          <m:t>=26.9</m:t>
        </m:r>
      </m:oMath>
      <w:r>
        <w:rPr>
          <w:rFonts w:hint="eastAsia"/>
        </w:rPr>
        <w:t xml:space="preserve"> ；</w:t>
      </w:r>
    </w:p>
    <w:p>
      <w:pPr>
        <w:pStyle w:val="23"/>
      </w:pPr>
      <m:oMath>
        <m:sSub>
          <m:sSubPr>
            <m:ctrlPr>
              <w:rPr>
                <w:rFonts w:ascii="Cambria Math" w:hAnsi="Cambria Math"/>
                <w:szCs w:val="22"/>
              </w:rPr>
            </m:ctrlPr>
          </m:sSubPr>
          <m:e>
            <m:r>
              <m:rPr/>
              <w:rPr>
                <w:rFonts w:ascii="Cambria Math" w:hAnsi="Cambria Math"/>
              </w:rPr>
              <m:t>x</m:t>
            </m:r>
            <m:ctrlPr>
              <w:rPr>
                <w:rFonts w:ascii="Cambria Math" w:hAnsi="Cambria Math"/>
                <w:szCs w:val="22"/>
              </w:rPr>
            </m:ctrlPr>
          </m:e>
          <m:sub>
            <m:r>
              <m:rPr/>
              <w:rPr>
                <w:rFonts w:ascii="Cambria Math" w:hAnsi="Cambria Math"/>
              </w:rPr>
              <m:t>8</m:t>
            </m:r>
            <m:ctrlPr>
              <w:rPr>
                <w:rFonts w:ascii="Cambria Math" w:hAnsi="Cambria Math"/>
                <w:szCs w:val="22"/>
              </w:rPr>
            </m:ctrlPr>
          </m:sub>
        </m:sSub>
        <m:r>
          <m:rPr/>
          <w:rPr>
            <w:rFonts w:ascii="Cambria Math" w:hAnsi="Cambria Math"/>
          </w:rPr>
          <m:t>=28.1</m:t>
        </m:r>
      </m:oMath>
      <w:r>
        <w:rPr>
          <w:rFonts w:hint="eastAsia"/>
        </w:rPr>
        <w:t xml:space="preserve"> 。</w:t>
      </w:r>
    </w:p>
    <w:p>
      <w:pPr>
        <w:pStyle w:val="23"/>
      </w:pPr>
      <w:r>
        <w:rPr>
          <w:rFonts w:hint="eastAsia"/>
        </w:rPr>
        <w:t>这8个平行结果的Dixon商是：</w:t>
      </w:r>
    </w:p>
    <w:p>
      <w:pPr>
        <w:pStyle w:val="23"/>
      </w:pPr>
      <m:oMath>
        <m:f>
          <m:fPr>
            <m:ctrlPr>
              <w:rPr>
                <w:rFonts w:ascii="Cambria Math" w:hAnsi="Cambria Math"/>
                <w:szCs w:val="22"/>
              </w:rPr>
            </m:ctrlPr>
          </m:fPr>
          <m:num>
            <m:r>
              <m:rPr/>
              <w:rPr>
                <w:rFonts w:ascii="Cambria Math" w:hAnsi="Cambria Math"/>
              </w:rPr>
              <m:t>18.3−10.1</m:t>
            </m:r>
            <m:ctrlPr>
              <w:rPr>
                <w:rFonts w:ascii="Cambria Math" w:hAnsi="Cambria Math"/>
                <w:szCs w:val="22"/>
              </w:rPr>
            </m:ctrlPr>
          </m:num>
          <m:den>
            <m:r>
              <m:rPr/>
              <w:rPr>
                <w:rFonts w:ascii="Cambria Math" w:hAnsi="Cambria Math"/>
              </w:rPr>
              <m:t>26.9−10.1</m:t>
            </m:r>
            <m:ctrlPr>
              <w:rPr>
                <w:rFonts w:ascii="Cambria Math" w:hAnsi="Cambria Math"/>
                <w:szCs w:val="22"/>
              </w:rPr>
            </m:ctrlPr>
          </m:den>
        </m:f>
      </m:oMath>
      <w:r>
        <w:rPr>
          <w:rFonts w:hint="eastAsia"/>
        </w:rPr>
        <w:t>和</w:t>
      </w:r>
      <m:oMath>
        <m:f>
          <m:fPr>
            <m:ctrlPr>
              <w:rPr>
                <w:rFonts w:ascii="Cambria Math" w:hAnsi="Cambria Math"/>
                <w:szCs w:val="22"/>
              </w:rPr>
            </m:ctrlPr>
          </m:fPr>
          <m:num>
            <m:r>
              <m:rPr/>
              <w:rPr>
                <w:rFonts w:ascii="Cambria Math" w:hAnsi="Cambria Math"/>
              </w:rPr>
              <m:t>28.1−26.9</m:t>
            </m:r>
            <m:ctrlPr>
              <w:rPr>
                <w:rFonts w:ascii="Cambria Math" w:hAnsi="Cambria Math"/>
                <w:szCs w:val="22"/>
              </w:rPr>
            </m:ctrlPr>
          </m:num>
          <m:den>
            <m:r>
              <m:rPr/>
              <w:rPr>
                <w:rFonts w:ascii="Cambria Math" w:hAnsi="Cambria Math"/>
              </w:rPr>
              <m:t>28.1−18.3</m:t>
            </m:r>
            <m:ctrlPr>
              <w:rPr>
                <w:rFonts w:ascii="Cambria Math" w:hAnsi="Cambria Math"/>
                <w:szCs w:val="22"/>
              </w:rPr>
            </m:ctrlPr>
          </m:den>
        </m:f>
      </m:oMath>
      <w:r>
        <w:rPr>
          <w:rFonts w:hint="eastAsia"/>
        </w:rPr>
        <w:t xml:space="preserve"> （=0.488和0.122）</w:t>
      </w:r>
    </w:p>
    <w:p>
      <w:pPr>
        <w:pStyle w:val="23"/>
      </w:pPr>
      <w:r>
        <w:rPr>
          <w:rFonts w:hint="eastAsia"/>
        </w:rPr>
        <w:t>取较大者与表22中95%置信水平的临界值0.608比较。由于计算出的统计值是小于临界值的，所以没有理由拒绝这个低值结果。</w:t>
      </w:r>
    </w:p>
    <w:p>
      <w:pPr>
        <w:pStyle w:val="46"/>
        <w:spacing w:before="156" w:after="156"/>
      </w:pPr>
      <w:r>
        <w:rPr>
          <w:rFonts w:hint="eastAsia"/>
        </w:rPr>
        <w:t>柯克伦方差检验</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按ISO</w:t>
      </w:r>
      <w:r>
        <w:rPr>
          <w:rFonts w:ascii="宋体" w:hAnsi="宋体"/>
        </w:rPr>
        <w:t xml:space="preserve"> </w:t>
      </w:r>
      <w:r>
        <w:rPr>
          <w:rFonts w:hint="eastAsia" w:ascii="宋体" w:hAnsi="宋体"/>
        </w:rPr>
        <w:t>1817进行的体积膨胀试验，涉及七个实验室的实验室间试验产生了表26示出的结果。</w:t>
      </w:r>
    </w:p>
    <w:p>
      <w:pPr>
        <w:pStyle w:val="127"/>
        <w:ind w:left="0"/>
      </w:pPr>
      <w:r>
        <w:rPr>
          <w:rFonts w:hint="eastAsia" w:hAnsi="黑体"/>
        </w:rPr>
        <w:t>体积膨胀试验1</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4"/>
        <w:gridCol w:w="1594"/>
        <w:gridCol w:w="1596"/>
        <w:gridCol w:w="1596"/>
        <w:gridCol w:w="1597"/>
        <w:gridCol w:w="1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3" w:type="pct"/>
            <w:tcBorders>
              <w:top w:val="single" w:color="auto" w:sz="4" w:space="0"/>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实验室</w:t>
            </w:r>
          </w:p>
        </w:tc>
        <w:tc>
          <w:tcPr>
            <w:tcW w:w="833" w:type="pct"/>
            <w:tcBorders>
              <w:top w:val="single" w:color="auto" w:sz="4" w:space="0"/>
              <w:left w:val="single" w:color="auto" w:sz="4" w:space="0"/>
              <w:bottom w:val="nil"/>
              <w:right w:val="nil"/>
            </w:tcBorders>
            <w:vAlign w:val="center"/>
          </w:tcPr>
          <w:p>
            <w:pPr>
              <w:tabs>
                <w:tab w:val="left" w:pos="284"/>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p>
        </w:tc>
        <w:tc>
          <w:tcPr>
            <w:tcW w:w="834" w:type="pct"/>
            <w:tcBorders>
              <w:top w:val="single" w:color="auto" w:sz="4" w:space="0"/>
              <w:left w:val="nil"/>
              <w:bottom w:val="nil"/>
              <w:right w:val="nil"/>
            </w:tcBorders>
            <w:vAlign w:val="center"/>
          </w:tcPr>
          <w:p>
            <w:pPr>
              <w:tabs>
                <w:tab w:val="left" w:pos="284"/>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结果</w:t>
            </w:r>
          </w:p>
        </w:tc>
        <w:tc>
          <w:tcPr>
            <w:tcW w:w="834" w:type="pct"/>
            <w:tcBorders>
              <w:top w:val="single" w:color="auto" w:sz="4" w:space="0"/>
              <w:left w:val="nil"/>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p>
        </w:tc>
        <w:tc>
          <w:tcPr>
            <w:tcW w:w="834" w:type="pct"/>
            <w:tcBorders>
              <w:top w:val="single" w:color="auto" w:sz="4" w:space="0"/>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平均值</w:t>
            </w:r>
          </w:p>
        </w:tc>
        <w:tc>
          <w:tcPr>
            <w:tcW w:w="834" w:type="pct"/>
            <w:tcBorders>
              <w:top w:val="single" w:color="auto" w:sz="4" w:space="0"/>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360" w:firstLineChars="200"/>
              <w:jc w:val="center"/>
              <w:rPr>
                <w:rFonts w:ascii="宋体" w:hAnsi="宋体"/>
                <w:sz w:val="18"/>
                <w:szCs w:val="18"/>
              </w:rPr>
            </w:pPr>
            <w:r>
              <w:rPr>
                <w:rFonts w:hint="eastAsia" w:ascii="宋体" w:hAnsi="宋体"/>
                <w:sz w:val="18"/>
                <w:szCs w:val="18"/>
              </w:rPr>
              <w:t>标准差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3" w:type="pct"/>
            <w:tcBorders>
              <w:top w:val="nil"/>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p>
        </w:tc>
        <w:tc>
          <w:tcPr>
            <w:tcW w:w="833" w:type="pct"/>
            <w:tcBorders>
              <w:top w:val="nil"/>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r>
              <w:rPr>
                <w:rFonts w:hint="eastAsia" w:ascii="宋体" w:hAnsi="宋体"/>
                <w:szCs w:val="21"/>
              </w:rPr>
              <w:t>1</w:t>
            </w:r>
          </w:p>
        </w:tc>
        <w:tc>
          <w:tcPr>
            <w:tcW w:w="834" w:type="pct"/>
            <w:tcBorders>
              <w:top w:val="nil"/>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r>
              <w:rPr>
                <w:rFonts w:hint="eastAsia" w:ascii="宋体" w:hAnsi="宋体"/>
                <w:szCs w:val="21"/>
              </w:rPr>
              <w:t>2</w:t>
            </w:r>
          </w:p>
        </w:tc>
        <w:tc>
          <w:tcPr>
            <w:tcW w:w="834" w:type="pct"/>
            <w:tcBorders>
              <w:top w:val="nil"/>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r>
              <w:rPr>
                <w:rFonts w:hint="eastAsia" w:ascii="宋体" w:hAnsi="宋体"/>
                <w:szCs w:val="21"/>
              </w:rPr>
              <w:t>3</w:t>
            </w:r>
          </w:p>
        </w:tc>
        <w:tc>
          <w:tcPr>
            <w:tcW w:w="834" w:type="pct"/>
            <w:tcBorders>
              <w:top w:val="nil"/>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p>
        </w:tc>
        <w:tc>
          <w:tcPr>
            <w:tcW w:w="834" w:type="pct"/>
            <w:tcBorders>
              <w:top w:val="nil"/>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3" w:type="pct"/>
            <w:tcBorders>
              <w:top w:val="nil"/>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p>
        </w:tc>
        <w:tc>
          <w:tcPr>
            <w:tcW w:w="833" w:type="pct"/>
            <w:tcBorders>
              <w:top w:val="nil"/>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r>
              <w:rPr>
                <w:rFonts w:hint="eastAsia" w:ascii="宋体" w:hAnsi="宋体"/>
                <w:szCs w:val="21"/>
              </w:rPr>
              <w:t>%</w:t>
            </w:r>
          </w:p>
        </w:tc>
        <w:tc>
          <w:tcPr>
            <w:tcW w:w="834" w:type="pct"/>
            <w:tcBorders>
              <w:top w:val="nil"/>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r>
              <w:rPr>
                <w:rFonts w:hint="eastAsia" w:ascii="宋体" w:hAnsi="宋体"/>
                <w:szCs w:val="21"/>
              </w:rPr>
              <w:t>%</w:t>
            </w:r>
          </w:p>
        </w:tc>
        <w:tc>
          <w:tcPr>
            <w:tcW w:w="834" w:type="pct"/>
            <w:tcBorders>
              <w:top w:val="nil"/>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r>
              <w:rPr>
                <w:rFonts w:hint="eastAsia" w:ascii="宋体" w:hAnsi="宋体"/>
                <w:szCs w:val="21"/>
              </w:rPr>
              <w:t>%</w:t>
            </w:r>
          </w:p>
        </w:tc>
        <w:tc>
          <w:tcPr>
            <w:tcW w:w="834" w:type="pct"/>
            <w:tcBorders>
              <w:top w:val="nil"/>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p>
        </w:tc>
        <w:tc>
          <w:tcPr>
            <w:tcW w:w="834" w:type="pct"/>
            <w:tcBorders>
              <w:top w:val="nil"/>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17.8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18.1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18.1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18.0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0.173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2</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19.6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19.5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19.6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19.6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0.058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3</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22.9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22.9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22.4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22.7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0.289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4</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19.9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19.7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19.7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19.8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0.115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5</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13.4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14.2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15.1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14.2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0.850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6</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22.5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22.1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22.0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22.2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0.265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7</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20.8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20.5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20.7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20.7 </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 xml:space="preserve">0.153 </w:t>
            </w:r>
          </w:p>
        </w:tc>
      </w:tr>
    </w:tbl>
    <w:p>
      <w:pPr>
        <w:pStyle w:val="23"/>
      </w:pPr>
    </w:p>
    <w:p>
      <w:pPr>
        <w:pStyle w:val="23"/>
      </w:pPr>
      <w:r>
        <w:rPr>
          <w:rFonts w:hint="eastAsia"/>
        </w:rPr>
        <w:t>实验室5的结果出现了可疑的低平均值和高标准差。因此，要首先对标准差实施Cochran检验，并得出下列结果：</w:t>
      </w:r>
    </w:p>
    <w:p>
      <w:pPr>
        <w:autoSpaceDE w:val="0"/>
        <w:autoSpaceDN w:val="0"/>
        <w:adjustRightInd w:val="0"/>
        <w:ind w:left="630" w:leftChars="300"/>
        <w:jc w:val="left"/>
        <w:rPr>
          <w:color w:val="000000"/>
          <w:kern w:val="0"/>
          <w:szCs w:val="21"/>
        </w:rPr>
      </w:pPr>
      <w:r>
        <w:rPr>
          <w:i/>
          <w:iCs/>
          <w:color w:val="000000"/>
          <w:kern w:val="0"/>
          <w:szCs w:val="21"/>
        </w:rPr>
        <w:t>s</w:t>
      </w:r>
      <w:r>
        <w:rPr>
          <w:color w:val="000000"/>
          <w:kern w:val="0"/>
          <w:szCs w:val="21"/>
          <w:vertAlign w:val="subscript"/>
        </w:rPr>
        <w:t>max</w:t>
      </w:r>
      <w:r>
        <w:rPr>
          <w:color w:val="000000"/>
          <w:kern w:val="0"/>
          <w:szCs w:val="21"/>
          <w:vertAlign w:val="superscript"/>
        </w:rPr>
        <w:t xml:space="preserve">2 </w:t>
      </w:r>
      <w:r>
        <w:rPr>
          <w:color w:val="000000"/>
          <w:kern w:val="0"/>
          <w:szCs w:val="21"/>
        </w:rPr>
        <w:t xml:space="preserve">= </w:t>
      </w:r>
      <w:r>
        <w:rPr>
          <w:color w:val="000000"/>
          <w:kern w:val="0"/>
          <w:szCs w:val="21"/>
          <w:highlight w:val="yellow"/>
        </w:rPr>
        <w:t>0.85</w:t>
      </w:r>
      <w:r>
        <w:rPr>
          <w:color w:val="FF0000"/>
          <w:kern w:val="0"/>
          <w:szCs w:val="21"/>
          <w:highlight w:val="yellow"/>
        </w:rPr>
        <w:t>0</w:t>
      </w:r>
      <w:r>
        <w:rPr>
          <w:color w:val="000000"/>
          <w:kern w:val="0"/>
          <w:szCs w:val="21"/>
          <w:highlight w:val="yellow"/>
          <w:vertAlign w:val="superscript"/>
        </w:rPr>
        <w:t>2</w:t>
      </w:r>
    </w:p>
    <w:p>
      <w:pPr>
        <w:autoSpaceDE w:val="0"/>
        <w:autoSpaceDN w:val="0"/>
        <w:adjustRightInd w:val="0"/>
        <w:ind w:left="1050" w:leftChars="500"/>
        <w:jc w:val="left"/>
        <w:rPr>
          <w:color w:val="000000"/>
          <w:kern w:val="0"/>
          <w:szCs w:val="21"/>
        </w:rPr>
      </w:pPr>
      <w:r>
        <w:rPr>
          <w:color w:val="000000"/>
          <w:kern w:val="0"/>
          <w:szCs w:val="21"/>
        </w:rPr>
        <w:t>=</w:t>
      </w:r>
      <w:r>
        <w:rPr>
          <w:color w:val="000000"/>
          <w:kern w:val="0"/>
          <w:szCs w:val="21"/>
          <w:highlight w:val="yellow"/>
        </w:rPr>
        <w:t>0.72</w:t>
      </w:r>
      <w:r>
        <w:rPr>
          <w:color w:val="FF0000"/>
          <w:kern w:val="0"/>
          <w:szCs w:val="21"/>
          <w:highlight w:val="yellow"/>
        </w:rPr>
        <w:t>3 3</w:t>
      </w:r>
      <w:r>
        <w:rPr>
          <w:color w:val="FF0000"/>
          <w:kern w:val="0"/>
          <w:szCs w:val="21"/>
        </w:rPr>
        <w:t xml:space="preserve"> </w:t>
      </w:r>
    </w:p>
    <w:p>
      <w:pPr>
        <w:autoSpaceDE w:val="0"/>
        <w:autoSpaceDN w:val="0"/>
        <w:adjustRightInd w:val="0"/>
        <w:ind w:left="630" w:leftChars="300"/>
        <w:jc w:val="left"/>
        <w:rPr>
          <w:color w:val="000000"/>
          <w:kern w:val="0"/>
          <w:szCs w:val="21"/>
        </w:rPr>
      </w:pPr>
      <w:r>
        <w:rPr>
          <w:color w:val="000000"/>
          <w:kern w:val="0"/>
          <w:szCs w:val="21"/>
        </w:rPr>
        <w:sym w:font="Symbol" w:char="00E5"/>
      </w:r>
      <w:r>
        <w:rPr>
          <w:i/>
          <w:iCs/>
          <w:color w:val="000000"/>
          <w:kern w:val="0"/>
          <w:szCs w:val="21"/>
        </w:rPr>
        <w:t>s</w:t>
      </w:r>
      <w:r>
        <w:rPr>
          <w:color w:val="000000"/>
          <w:kern w:val="0"/>
          <w:szCs w:val="21"/>
          <w:vertAlign w:val="superscript"/>
        </w:rPr>
        <w:t>2</w:t>
      </w:r>
      <w:r>
        <w:rPr>
          <w:color w:val="000000"/>
          <w:kern w:val="0"/>
          <w:szCs w:val="21"/>
        </w:rPr>
        <w:t xml:space="preserve"> = 0.173</w:t>
      </w:r>
      <w:r>
        <w:rPr>
          <w:color w:val="000000"/>
          <w:kern w:val="0"/>
          <w:szCs w:val="21"/>
          <w:vertAlign w:val="superscript"/>
        </w:rPr>
        <w:t>2</w:t>
      </w:r>
      <w:r>
        <w:rPr>
          <w:color w:val="000000"/>
          <w:kern w:val="0"/>
          <w:szCs w:val="21"/>
        </w:rPr>
        <w:t xml:space="preserve"> + 0.058</w:t>
      </w:r>
      <w:r>
        <w:rPr>
          <w:color w:val="000000"/>
          <w:kern w:val="0"/>
          <w:szCs w:val="21"/>
          <w:vertAlign w:val="superscript"/>
        </w:rPr>
        <w:t>2</w:t>
      </w:r>
      <w:r>
        <w:rPr>
          <w:color w:val="000000"/>
          <w:kern w:val="0"/>
          <w:szCs w:val="21"/>
        </w:rPr>
        <w:t xml:space="preserve"> + ... + 0.153</w:t>
      </w:r>
      <w:r>
        <w:rPr>
          <w:color w:val="000000"/>
          <w:kern w:val="0"/>
          <w:szCs w:val="21"/>
          <w:vertAlign w:val="superscript"/>
        </w:rPr>
        <w:t>2</w:t>
      </w:r>
    </w:p>
    <w:p>
      <w:pPr>
        <w:autoSpaceDE w:val="0"/>
        <w:autoSpaceDN w:val="0"/>
        <w:adjustRightInd w:val="0"/>
        <w:ind w:left="1050" w:leftChars="500"/>
        <w:jc w:val="left"/>
        <w:rPr>
          <w:color w:val="000000"/>
          <w:kern w:val="0"/>
          <w:szCs w:val="21"/>
        </w:rPr>
      </w:pPr>
      <w:r>
        <w:rPr>
          <w:color w:val="000000"/>
          <w:kern w:val="0"/>
          <w:szCs w:val="21"/>
        </w:rPr>
        <w:t xml:space="preserve">= 0.946 </w:t>
      </w:r>
      <w:r>
        <w:rPr>
          <w:rFonts w:hint="eastAsia"/>
          <w:color w:val="FF0000"/>
          <w:kern w:val="0"/>
          <w:szCs w:val="21"/>
          <w:highlight w:val="yellow"/>
        </w:rPr>
        <w:t>7</w:t>
      </w:r>
    </w:p>
    <w:p>
      <w:pPr>
        <w:autoSpaceDE w:val="0"/>
        <w:autoSpaceDN w:val="0"/>
        <w:adjustRightInd w:val="0"/>
        <w:ind w:left="630" w:leftChars="300"/>
        <w:jc w:val="left"/>
        <w:rPr>
          <w:color w:val="000000"/>
          <w:kern w:val="0"/>
          <w:szCs w:val="21"/>
        </w:rPr>
      </w:pPr>
      <w:r>
        <w:rPr>
          <w:color w:val="000000"/>
          <w:kern w:val="0"/>
          <w:szCs w:val="21"/>
        </w:rPr>
        <w:t>Cochran</w:t>
      </w:r>
      <w:r>
        <w:rPr>
          <w:rFonts w:hint="eastAsia"/>
          <w:color w:val="000000"/>
          <w:kern w:val="0"/>
          <w:szCs w:val="21"/>
        </w:rPr>
        <w:t>比</w:t>
      </w:r>
      <w:r>
        <w:rPr>
          <w:color w:val="000000"/>
          <w:kern w:val="0"/>
          <w:szCs w:val="21"/>
        </w:rPr>
        <w:t xml:space="preserve"> </w:t>
      </w:r>
      <w:r>
        <w:rPr>
          <w:i/>
          <w:color w:val="FF0000"/>
          <w:kern w:val="0"/>
          <w:szCs w:val="21"/>
        </w:rPr>
        <w:t>C</w:t>
      </w:r>
      <w:r>
        <w:rPr>
          <w:color w:val="000000"/>
          <w:kern w:val="0"/>
          <w:szCs w:val="21"/>
        </w:rPr>
        <w:t>=0.72</w:t>
      </w:r>
      <w:r>
        <w:rPr>
          <w:color w:val="FF0000"/>
          <w:kern w:val="0"/>
          <w:szCs w:val="21"/>
          <w:highlight w:val="yellow"/>
        </w:rPr>
        <w:t>3 3</w:t>
      </w:r>
      <w:r>
        <w:rPr>
          <w:color w:val="000000"/>
          <w:kern w:val="0"/>
          <w:szCs w:val="21"/>
        </w:rPr>
        <w:t xml:space="preserve">/0.946 </w:t>
      </w:r>
      <w:r>
        <w:rPr>
          <w:color w:val="FF0000"/>
          <w:kern w:val="0"/>
          <w:szCs w:val="21"/>
          <w:highlight w:val="yellow"/>
        </w:rPr>
        <w:t>7</w:t>
      </w:r>
    </w:p>
    <w:p>
      <w:pPr>
        <w:autoSpaceDE w:val="0"/>
        <w:autoSpaceDN w:val="0"/>
        <w:adjustRightInd w:val="0"/>
        <w:ind w:left="1680" w:leftChars="800"/>
        <w:jc w:val="left"/>
        <w:rPr>
          <w:color w:val="000000"/>
          <w:kern w:val="0"/>
          <w:szCs w:val="21"/>
        </w:rPr>
      </w:pPr>
      <w:r>
        <w:rPr>
          <w:color w:val="000000"/>
          <w:kern w:val="0"/>
          <w:szCs w:val="21"/>
        </w:rPr>
        <w:t>= 0,764</w:t>
      </w:r>
    </w:p>
    <w:p>
      <w:pPr>
        <w:autoSpaceDE w:val="0"/>
        <w:autoSpaceDN w:val="0"/>
        <w:adjustRightInd w:val="0"/>
        <w:ind w:left="1680" w:leftChars="800"/>
        <w:jc w:val="left"/>
        <w:rPr>
          <w:color w:val="000000"/>
          <w:kern w:val="0"/>
          <w:szCs w:val="21"/>
        </w:rPr>
      </w:pPr>
    </w:p>
    <w:p>
      <w:pPr>
        <w:pStyle w:val="23"/>
      </w:pPr>
      <w:r>
        <w:rPr>
          <w:rFonts w:hint="eastAsia"/>
        </w:rPr>
        <w:t>对于三个平行测试值和七个实验室，</w:t>
      </w:r>
      <w:r>
        <w:t>99%</w:t>
      </w:r>
      <w:r>
        <w:rPr>
          <w:rFonts w:hint="eastAsia"/>
        </w:rPr>
        <w:t>置信水平的</w:t>
      </w:r>
      <w:r>
        <w:t>Cochran</w:t>
      </w:r>
      <w:r>
        <w:rPr>
          <w:rFonts w:hint="eastAsia"/>
        </w:rPr>
        <w:t>临界值是</w:t>
      </w:r>
      <w:r>
        <w:t>0.664</w:t>
      </w:r>
      <w:r>
        <w:rPr>
          <w:rFonts w:hint="eastAsia"/>
        </w:rPr>
        <w:t>，因此，由于检验统计大于这个值，基于统计理由拒绝实验</w:t>
      </w:r>
      <w:r>
        <w:t>5</w:t>
      </w:r>
      <w:r>
        <w:rPr>
          <w:rFonts w:hint="eastAsia"/>
        </w:rPr>
        <w:t>的数据是有合理的，且不必检验低平均值。然后最好检查结果的来源，看看是否可以找到解释并采取可能的纠正措施。</w:t>
      </w:r>
    </w:p>
    <w:p>
      <w:pPr>
        <w:pStyle w:val="46"/>
        <w:spacing w:before="156" w:after="156"/>
      </w:pPr>
      <w:r>
        <w:rPr>
          <w:rFonts w:ascii="Times New Roman"/>
        </w:rPr>
        <w:t>Dixon</w:t>
      </w:r>
      <w:r>
        <w:rPr>
          <w:rFonts w:hint="eastAsia"/>
        </w:rPr>
        <w:t>检验应用于一组平均值</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在涉及六个实验室的实验室间试验中得到的体积膨胀结果示于表27。</w:t>
      </w:r>
    </w:p>
    <w:p>
      <w:pPr>
        <w:pStyle w:val="127"/>
        <w:spacing w:before="0" w:beforeLines="0" w:after="0" w:afterLines="0"/>
        <w:ind w:left="0"/>
      </w:pPr>
      <w:r>
        <w:rPr>
          <w:rFonts w:hint="eastAsia" w:hAnsi="黑体"/>
        </w:rPr>
        <w:t>体积膨胀试验2</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4"/>
        <w:gridCol w:w="1594"/>
        <w:gridCol w:w="1596"/>
        <w:gridCol w:w="1596"/>
        <w:gridCol w:w="1597"/>
        <w:gridCol w:w="1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3" w:type="pct"/>
            <w:tcBorders>
              <w:top w:val="single" w:color="auto" w:sz="4" w:space="0"/>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2"/>
              </w:rPr>
            </w:pPr>
            <w:r>
              <w:rPr>
                <w:rFonts w:hint="eastAsia" w:ascii="宋体" w:hAnsi="宋体"/>
              </w:rPr>
              <w:t>实验室</w:t>
            </w:r>
          </w:p>
        </w:tc>
        <w:tc>
          <w:tcPr>
            <w:tcW w:w="833" w:type="pct"/>
            <w:tcBorders>
              <w:top w:val="single" w:color="auto" w:sz="4" w:space="0"/>
              <w:left w:val="single" w:color="auto" w:sz="4" w:space="0"/>
              <w:bottom w:val="nil"/>
              <w:right w:val="nil"/>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2"/>
              </w:rPr>
            </w:pPr>
          </w:p>
        </w:tc>
        <w:tc>
          <w:tcPr>
            <w:tcW w:w="834" w:type="pct"/>
            <w:tcBorders>
              <w:top w:val="single" w:color="auto" w:sz="4" w:space="0"/>
              <w:left w:val="nil"/>
              <w:bottom w:val="nil"/>
              <w:right w:val="nil"/>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2"/>
              </w:rPr>
            </w:pPr>
            <w:r>
              <w:rPr>
                <w:rFonts w:hint="eastAsia" w:ascii="宋体" w:hAnsi="宋体"/>
              </w:rPr>
              <w:t>结果</w:t>
            </w:r>
          </w:p>
        </w:tc>
        <w:tc>
          <w:tcPr>
            <w:tcW w:w="834" w:type="pct"/>
            <w:tcBorders>
              <w:top w:val="single" w:color="auto" w:sz="4" w:space="0"/>
              <w:left w:val="nil"/>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2"/>
              </w:rPr>
            </w:pPr>
          </w:p>
        </w:tc>
        <w:tc>
          <w:tcPr>
            <w:tcW w:w="834" w:type="pct"/>
            <w:tcBorders>
              <w:top w:val="single" w:color="auto" w:sz="4" w:space="0"/>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2"/>
              </w:rPr>
            </w:pPr>
            <w:r>
              <w:rPr>
                <w:rFonts w:hint="eastAsia" w:ascii="宋体" w:hAnsi="宋体"/>
              </w:rPr>
              <w:t>平均值</w:t>
            </w:r>
          </w:p>
        </w:tc>
        <w:tc>
          <w:tcPr>
            <w:tcW w:w="834" w:type="pct"/>
            <w:tcBorders>
              <w:top w:val="single" w:color="auto" w:sz="4" w:space="0"/>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2"/>
              </w:rPr>
            </w:pPr>
            <w:r>
              <w:rPr>
                <w:rFonts w:hint="eastAsia" w:ascii="宋体" w:hAnsi="宋体"/>
              </w:rPr>
              <w:t>标准差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3" w:type="pct"/>
            <w:tcBorders>
              <w:top w:val="nil"/>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p>
        </w:tc>
        <w:tc>
          <w:tcPr>
            <w:tcW w:w="833" w:type="pct"/>
            <w:tcBorders>
              <w:top w:val="nil"/>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r>
              <w:rPr>
                <w:rFonts w:hint="eastAsia" w:ascii="宋体" w:hAnsi="宋体"/>
                <w:szCs w:val="21"/>
              </w:rPr>
              <w:t>1</w:t>
            </w:r>
          </w:p>
        </w:tc>
        <w:tc>
          <w:tcPr>
            <w:tcW w:w="834" w:type="pct"/>
            <w:tcBorders>
              <w:top w:val="nil"/>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r>
              <w:rPr>
                <w:rFonts w:hint="eastAsia" w:ascii="宋体" w:hAnsi="宋体"/>
                <w:szCs w:val="21"/>
              </w:rPr>
              <w:t>2</w:t>
            </w:r>
          </w:p>
        </w:tc>
        <w:tc>
          <w:tcPr>
            <w:tcW w:w="834" w:type="pct"/>
            <w:tcBorders>
              <w:top w:val="nil"/>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r>
              <w:rPr>
                <w:rFonts w:hint="eastAsia" w:ascii="宋体" w:hAnsi="宋体"/>
                <w:szCs w:val="21"/>
              </w:rPr>
              <w:t>3</w:t>
            </w:r>
          </w:p>
        </w:tc>
        <w:tc>
          <w:tcPr>
            <w:tcW w:w="834" w:type="pct"/>
            <w:tcBorders>
              <w:top w:val="nil"/>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p>
        </w:tc>
        <w:tc>
          <w:tcPr>
            <w:tcW w:w="834" w:type="pct"/>
            <w:tcBorders>
              <w:top w:val="nil"/>
              <w:left w:val="single" w:color="auto" w:sz="4" w:space="0"/>
              <w:bottom w:val="nil"/>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3" w:type="pct"/>
            <w:tcBorders>
              <w:top w:val="nil"/>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p>
        </w:tc>
        <w:tc>
          <w:tcPr>
            <w:tcW w:w="833" w:type="pct"/>
            <w:tcBorders>
              <w:top w:val="nil"/>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r>
              <w:rPr>
                <w:rFonts w:hint="eastAsia" w:ascii="宋体" w:hAnsi="宋体"/>
                <w:szCs w:val="21"/>
              </w:rPr>
              <w:t>%</w:t>
            </w:r>
          </w:p>
        </w:tc>
        <w:tc>
          <w:tcPr>
            <w:tcW w:w="834" w:type="pct"/>
            <w:tcBorders>
              <w:top w:val="nil"/>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r>
              <w:rPr>
                <w:rFonts w:hint="eastAsia" w:ascii="宋体" w:hAnsi="宋体"/>
                <w:szCs w:val="21"/>
              </w:rPr>
              <w:t>%</w:t>
            </w:r>
          </w:p>
        </w:tc>
        <w:tc>
          <w:tcPr>
            <w:tcW w:w="834" w:type="pct"/>
            <w:tcBorders>
              <w:top w:val="nil"/>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r>
              <w:rPr>
                <w:rFonts w:hint="eastAsia" w:ascii="宋体" w:hAnsi="宋体"/>
                <w:szCs w:val="21"/>
              </w:rPr>
              <w:t>%</w:t>
            </w:r>
          </w:p>
        </w:tc>
        <w:tc>
          <w:tcPr>
            <w:tcW w:w="834" w:type="pct"/>
            <w:tcBorders>
              <w:top w:val="nil"/>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p>
        </w:tc>
        <w:tc>
          <w:tcPr>
            <w:tcW w:w="834" w:type="pct"/>
            <w:tcBorders>
              <w:top w:val="nil"/>
              <w:left w:val="single" w:color="auto" w:sz="4" w:space="0"/>
              <w:bottom w:val="single" w:color="auto" w:sz="4" w:space="0"/>
              <w:right w:val="single" w:color="auto" w:sz="4" w:space="0"/>
            </w:tcBorders>
            <w:vAlign w:val="center"/>
          </w:tcPr>
          <w:p>
            <w:pPr>
              <w:tabs>
                <w:tab w:val="left" w:pos="284"/>
                <w:tab w:val="left" w:pos="567"/>
                <w:tab w:val="center" w:pos="4201"/>
                <w:tab w:val="right" w:leader="dot" w:pos="9298"/>
              </w:tabs>
              <w:autoSpaceDE w:val="0"/>
              <w:autoSpaceDN w:val="0"/>
              <w:spacing w:line="0" w:lineRule="atLeast"/>
              <w:ind w:firstLine="420" w:firstLineChars="200"/>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13.5</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13.8</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13.8</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13.7</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0.173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2</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10.8</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13.0</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12.6</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12.1</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1.173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3</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12.9</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13.0</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12.7</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12.9</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0.153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4</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10.9</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11.2</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14.2</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12.1</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1.825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5</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14.2</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14.2</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14.4</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14.3</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0.115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6</w:t>
            </w:r>
          </w:p>
        </w:tc>
        <w:tc>
          <w:tcPr>
            <w:tcW w:w="833"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19.7</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20.8</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18.9</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19.8</w:t>
            </w:r>
          </w:p>
        </w:tc>
        <w:tc>
          <w:tcPr>
            <w:tcW w:w="834" w:type="pct"/>
            <w:tcBorders>
              <w:top w:val="single" w:color="auto" w:sz="4" w:space="0"/>
              <w:left w:val="single" w:color="auto" w:sz="4" w:space="0"/>
              <w:bottom w:val="single" w:color="auto" w:sz="4" w:space="0"/>
              <w:right w:val="single" w:color="auto" w:sz="4" w:space="0"/>
            </w:tcBorders>
            <w:noWrap/>
          </w:tcPr>
          <w:p>
            <w:pPr>
              <w:widowControl/>
              <w:tabs>
                <w:tab w:val="center" w:pos="4201"/>
                <w:tab w:val="right" w:leader="dot" w:pos="9298"/>
              </w:tabs>
              <w:autoSpaceDE w:val="0"/>
              <w:autoSpaceDN w:val="0"/>
              <w:ind w:firstLine="420" w:firstLineChars="200"/>
              <w:jc w:val="center"/>
              <w:rPr>
                <w:rFonts w:ascii="宋体" w:hAnsi="宋体" w:cs="宋体"/>
                <w:color w:val="000000"/>
                <w:kern w:val="0"/>
                <w:szCs w:val="21"/>
              </w:rPr>
            </w:pPr>
            <w:r>
              <w:rPr>
                <w:rFonts w:hint="eastAsia" w:ascii="宋体" w:hAnsi="宋体" w:cs="宋体"/>
                <w:color w:val="000000"/>
                <w:kern w:val="0"/>
                <w:szCs w:val="21"/>
              </w:rPr>
              <w:t>0.954</w:t>
            </w:r>
          </w:p>
        </w:tc>
      </w:tr>
    </w:tbl>
    <w:p>
      <w:pPr>
        <w:pStyle w:val="23"/>
      </w:pPr>
    </w:p>
    <w:p>
      <w:pPr>
        <w:pStyle w:val="23"/>
      </w:pPr>
      <w:r>
        <w:rPr>
          <w:rFonts w:hint="eastAsia"/>
        </w:rPr>
        <w:t>实验6的结果似乎有一个很高的平均值；标准差看起来也是起伏变化的，但没有一个结果是突出的异常大。</w:t>
      </w:r>
    </w:p>
    <w:p>
      <w:pPr>
        <w:pStyle w:val="23"/>
      </w:pPr>
      <w:r>
        <w:rPr>
          <w:rFonts w:hint="eastAsia"/>
        </w:rPr>
        <w:t>首先，用Cochran检验进行检验，确定没有标准差大到足以有理由拒绝该数据。因此，实施Dixon检验，计算如下：</w:t>
      </w:r>
    </w:p>
    <w:p>
      <w:pPr>
        <w:pStyle w:val="23"/>
      </w:pPr>
      <m:oMath>
        <m:f>
          <m:fPr>
            <m:ctrlPr>
              <w:rPr>
                <w:rFonts w:ascii="Cambria Math" w:hAnsi="Cambria Math"/>
                <w:szCs w:val="22"/>
              </w:rPr>
            </m:ctrlPr>
          </m:fPr>
          <m:num>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szCs w:val="22"/>
              </w:rPr>
            </m:ctrlPr>
          </m:num>
          <m:den>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6</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szCs w:val="22"/>
              </w:rPr>
            </m:ctrlPr>
          </m:den>
        </m:f>
        <m:r>
          <m:rPr/>
          <w:rPr>
            <w:rFonts w:ascii="Cambria Math" w:hAnsi="Cambria Math"/>
          </w:rPr>
          <m:t>=0</m:t>
        </m:r>
      </m:oMath>
      <w:r>
        <w:rPr>
          <w:rFonts w:hint="eastAsia"/>
        </w:rPr>
        <w:t xml:space="preserve"> 和 </w:t>
      </w:r>
      <m:oMath>
        <m:f>
          <m:fPr>
            <m:ctrlPr>
              <w:rPr>
                <w:rFonts w:ascii="Cambria Math" w:hAnsi="Cambria Math"/>
                <w:szCs w:val="22"/>
              </w:rPr>
            </m:ctrlPr>
          </m:fPr>
          <m:num>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6</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5</m:t>
                </m:r>
                <m:ctrlPr>
                  <w:rPr>
                    <w:rFonts w:ascii="Cambria Math" w:hAnsi="Cambria Math"/>
                    <w:i/>
                    <w:szCs w:val="22"/>
                  </w:rPr>
                </m:ctrlPr>
              </m:sub>
            </m:sSub>
            <m:ctrlPr>
              <w:rPr>
                <w:rFonts w:ascii="Cambria Math" w:hAnsi="Cambria Math"/>
                <w:szCs w:val="22"/>
              </w:rPr>
            </m:ctrlPr>
          </m:num>
          <m:den>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6</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szCs w:val="22"/>
              </w:rPr>
            </m:ctrlPr>
          </m:den>
        </m:f>
        <m:r>
          <m:rPr/>
          <w:rPr>
            <w:rFonts w:ascii="Cambria Math" w:hAnsi="Cambria Math"/>
          </w:rPr>
          <m:t>=0.714</m:t>
        </m:r>
      </m:oMath>
    </w:p>
    <w:p>
      <w:pPr>
        <w:pStyle w:val="23"/>
      </w:pPr>
      <w:r>
        <w:rPr>
          <w:rFonts w:hint="eastAsia"/>
        </w:rPr>
        <w:t>临界值：</w:t>
      </w:r>
    </w:p>
    <w:p>
      <w:pPr>
        <w:pStyle w:val="23"/>
      </w:pPr>
      <w:r>
        <w:rPr>
          <w:rFonts w:hint="eastAsia"/>
        </w:rPr>
        <w:t>——95%置信水平的是0.628；</w:t>
      </w:r>
    </w:p>
    <w:p>
      <w:pPr>
        <w:pStyle w:val="23"/>
      </w:pPr>
      <w:r>
        <w:rPr>
          <w:rFonts w:hint="eastAsia"/>
        </w:rPr>
        <w:t>——99%置信水平的是0.740。</w:t>
      </w:r>
    </w:p>
    <w:p>
      <w:pPr>
        <w:pStyle w:val="23"/>
      </w:pPr>
      <w:r>
        <w:rPr>
          <w:rFonts w:hint="eastAsia"/>
        </w:rPr>
        <w:t>所以，实验室6被视为异常点，但其数据不宜拒绝，除非调查表明所使用的程序或设备存在缺陷。</w:t>
      </w:r>
      <w:r>
        <w:rPr>
          <w:rFonts w:hint="eastAsia"/>
          <w:color w:val="FF0000"/>
        </w:rPr>
        <w:t>（因为计算</w:t>
      </w:r>
      <w:r>
        <w:rPr>
          <w:rFonts w:ascii="Times New Roman"/>
          <w:i/>
          <w:color w:val="FF0000"/>
        </w:rPr>
        <w:t>Q</w:t>
      </w:r>
      <w:r>
        <w:rPr>
          <w:color w:val="FF0000"/>
        </w:rPr>
        <w:t>值超过了</w:t>
      </w:r>
      <w:r>
        <w:rPr>
          <w:rFonts w:hint="eastAsia"/>
          <w:color w:val="FF0000"/>
        </w:rPr>
        <w:t>Dixon检验5%的临界值，但小于1%的临界值，所以为歧离值，不是离群值，不宜拒绝）</w:t>
      </w:r>
    </w:p>
    <w:p>
      <w:pPr>
        <w:pStyle w:val="45"/>
      </w:pPr>
      <w:bookmarkStart w:id="233" w:name="_Toc124173943"/>
      <w:r>
        <w:rPr>
          <w:rFonts w:hint="eastAsia"/>
        </w:rPr>
        <w:t>方差分析（</w:t>
      </w:r>
      <w:r>
        <w:t>ANOVA</w:t>
      </w:r>
      <w:r>
        <w:rPr>
          <w:rFonts w:hint="eastAsia"/>
        </w:rPr>
        <w:t>）</w:t>
      </w:r>
      <w:bookmarkEnd w:id="233"/>
    </w:p>
    <w:p>
      <w:pPr>
        <w:pStyle w:val="42"/>
      </w:pPr>
      <w:bookmarkStart w:id="234" w:name="_Toc124173944"/>
      <w:r>
        <w:rPr>
          <w:rFonts w:hint="eastAsia"/>
        </w:rPr>
        <w:t>原理</w:t>
      </w:r>
      <w:bookmarkEnd w:id="234"/>
    </w:p>
    <w:p>
      <w:pPr>
        <w:tabs>
          <w:tab w:val="left" w:pos="284"/>
          <w:tab w:val="left" w:pos="567"/>
        </w:tabs>
        <w:spacing w:before="156" w:beforeLines="50" w:after="156" w:afterLines="50"/>
        <w:ind w:firstLine="420" w:firstLineChars="200"/>
        <w:rPr>
          <w:rFonts w:ascii="宋体" w:hAnsi="宋体"/>
        </w:rPr>
      </w:pPr>
      <w:r>
        <w:rPr>
          <w:rFonts w:hint="eastAsia"/>
        </w:rPr>
        <w:t>从试验中观察到的结果的可变性来自许多来源（实际上是非常多的来源）</w:t>
      </w:r>
      <w:r>
        <w:rPr>
          <w:rFonts w:hint="eastAsia" w:ascii="宋体" w:hAnsi="宋体"/>
        </w:rPr>
        <w:t>,从制造样本的原材料的质量变化,到配炼、成型过程,再到抽样和试验过程本身。方差分析是一种技术，它可以用来分离和估计那些对测量有显著影响的变异源的影响。</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实践中，不可能也不必去量化每一种可想象到的变异源的作用。相反，对于任何特定情况，确定那些被认为最有可能产生影响或期待检验其影响的可变因素的作用就足够了(例如不同来源的炭黑、混合时间和成型温度对混炼胶耐磨性的影响)。其他因素尽可能保持恒定，使关注的因素以某种已知的方式变化。然后，在每个因素的每个水平上进行的平行试验测定样本内的变异，通常称为实验误差，</w:t>
      </w:r>
      <w:r>
        <w:rPr>
          <w:rFonts w:ascii="Arial" w:hAnsi="Arial" w:cs="Arial"/>
          <w:spacing w:val="10"/>
          <w:sz w:val="19"/>
          <w:szCs w:val="19"/>
        </w:rPr>
        <w:t>据此可以评估单个或组合</w:t>
      </w:r>
      <w:r>
        <w:rPr>
          <w:rFonts w:hint="eastAsia" w:ascii="Arial" w:hAnsi="Arial" w:cs="Arial"/>
          <w:spacing w:val="10"/>
          <w:sz w:val="19"/>
          <w:szCs w:val="19"/>
        </w:rPr>
        <w:t>关注</w:t>
      </w:r>
      <w:r>
        <w:rPr>
          <w:rFonts w:ascii="Arial" w:hAnsi="Arial" w:cs="Arial"/>
          <w:spacing w:val="10"/>
          <w:sz w:val="19"/>
          <w:szCs w:val="19"/>
        </w:rPr>
        <w:t>因</w:t>
      </w:r>
      <w:r>
        <w:rPr>
          <w:rFonts w:hint="eastAsia" w:ascii="Arial" w:hAnsi="Arial" w:cs="Arial"/>
          <w:spacing w:val="10"/>
          <w:sz w:val="19"/>
          <w:szCs w:val="19"/>
        </w:rPr>
        <w:t>素</w:t>
      </w:r>
      <w:r>
        <w:rPr>
          <w:rFonts w:ascii="Arial" w:hAnsi="Arial" w:cs="Arial"/>
          <w:spacing w:val="10"/>
          <w:sz w:val="19"/>
          <w:szCs w:val="19"/>
        </w:rPr>
        <w:t>的影响。</w:t>
      </w:r>
    </w:p>
    <w:p>
      <w:pPr>
        <w:pStyle w:val="42"/>
      </w:pPr>
      <w:bookmarkStart w:id="235" w:name="_Toc124173945"/>
      <w:r>
        <w:rPr>
          <w:rFonts w:hint="eastAsia"/>
        </w:rPr>
        <w:t>方法</w:t>
      </w:r>
      <w:bookmarkEnd w:id="235"/>
    </w:p>
    <w:p>
      <w:pPr>
        <w:pStyle w:val="46"/>
        <w:spacing w:before="156" w:after="156"/>
      </w:pPr>
      <w:r>
        <w:rPr>
          <w:rFonts w:hint="eastAsia"/>
        </w:rPr>
        <w:t>概述</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全面阐述这一方法超出了本文件的范围，宜参考关于这一主题的优秀案文以了解详情。本文件末尾的参考书目列出了一些有用的参考书。有许多统计软件包，以及许多电子表格软件包已内置了统计功能，使数学计算能够快速进行，而不需要详细理解底层方程。因此，建议尽可能使用适当的计算机程序。但是，为方便没有使用这些软件的用户，这里列举一些具体的例子。</w:t>
      </w:r>
    </w:p>
    <w:p>
      <w:pPr>
        <w:pStyle w:val="46"/>
        <w:spacing w:before="156" w:after="156"/>
      </w:pPr>
      <w:r>
        <w:rPr>
          <w:rFonts w:hint="eastAsia"/>
        </w:rPr>
        <w:t>相同观测数的单因素</w:t>
      </w:r>
    </w:p>
    <w:p>
      <w:pPr>
        <w:pStyle w:val="113"/>
        <w:rPr>
          <w:rFonts w:ascii="Times New Roman"/>
        </w:rPr>
      </w:pPr>
      <w:r>
        <w:rPr>
          <w:rFonts w:hint="eastAsia"/>
        </w:rPr>
        <w:t>最简单的情况是一个因素的情况，</w:t>
      </w:r>
      <w:r>
        <w:t>(</w:t>
      </w:r>
      <w:r>
        <w:rPr>
          <w:rFonts w:ascii="Times New Roman"/>
        </w:rPr>
        <w:t>例如炭黑)在</w:t>
      </w:r>
      <w:r>
        <w:rPr>
          <w:rFonts w:ascii="Times New Roman"/>
          <w:i/>
        </w:rPr>
        <w:t>n</w:t>
      </w:r>
      <w:r>
        <w:rPr>
          <w:rFonts w:ascii="Times New Roman"/>
        </w:rPr>
        <w:t>个水平(份数每百份橡胶)上都平行</w:t>
      </w:r>
      <w:r>
        <w:rPr>
          <w:rFonts w:hint="eastAsia" w:ascii="Times New Roman"/>
        </w:rPr>
        <w:t>观察</w:t>
      </w:r>
      <w:r>
        <w:rPr>
          <w:rFonts w:ascii="Times New Roman"/>
          <w:i/>
        </w:rPr>
        <w:t>r</w:t>
      </w:r>
      <w:r>
        <w:rPr>
          <w:rFonts w:ascii="Times New Roman"/>
        </w:rPr>
        <w:t>次，得到的观</w:t>
      </w:r>
      <w:r>
        <w:rPr>
          <w:rFonts w:hint="eastAsia" w:ascii="Times New Roman"/>
        </w:rPr>
        <w:t>测</w:t>
      </w:r>
      <w:r>
        <w:rPr>
          <w:rFonts w:ascii="Times New Roman"/>
        </w:rPr>
        <w:t>总数</w:t>
      </w:r>
      <w:r>
        <w:rPr>
          <w:rFonts w:ascii="Times New Roman"/>
          <w:i/>
        </w:rPr>
        <w:t>N</w:t>
      </w:r>
      <w:r>
        <w:rPr>
          <w:rFonts w:ascii="Times New Roman"/>
        </w:rPr>
        <w:t>。观</w:t>
      </w:r>
      <w:r>
        <w:rPr>
          <w:rFonts w:hint="eastAsia" w:ascii="Times New Roman"/>
        </w:rPr>
        <w:t>测</w:t>
      </w:r>
      <w:r>
        <w:rPr>
          <w:rFonts w:ascii="Times New Roman"/>
        </w:rPr>
        <w:t>总数由式（</w:t>
      </w:r>
      <w:r>
        <w:rPr>
          <w:rFonts w:hint="eastAsia" w:ascii="Times New Roman"/>
        </w:rPr>
        <w:t>33）</w:t>
      </w:r>
      <w:r>
        <w:rPr>
          <w:rFonts w:ascii="Times New Roman"/>
        </w:rPr>
        <w:t>计算：</w:t>
      </w:r>
    </w:p>
    <w:p>
      <w:pPr>
        <w:pStyle w:val="23"/>
        <w:rPr>
          <w:rFonts w:ascii="Times New Roman"/>
        </w:rPr>
      </w:pPr>
      <w:r>
        <w:rPr>
          <w:rFonts w:ascii="Times New Roman"/>
          <w:i/>
        </w:rPr>
        <w:t>N</w:t>
      </w:r>
      <w:r>
        <w:rPr>
          <w:rFonts w:ascii="Times New Roman"/>
        </w:rPr>
        <w:t xml:space="preserve"> = </w:t>
      </w:r>
      <w:r>
        <w:rPr>
          <w:rFonts w:ascii="Times New Roman"/>
          <w:i/>
        </w:rPr>
        <w:t>r</w:t>
      </w:r>
      <w:r>
        <w:rPr>
          <w:rFonts w:ascii="Times New Roman"/>
        </w:rPr>
        <w:t xml:space="preserve">× </w:t>
      </w:r>
      <w:r>
        <w:rPr>
          <w:rFonts w:ascii="Times New Roman"/>
          <w:i/>
        </w:rPr>
        <w:t>n</w:t>
      </w:r>
      <w:r>
        <w:rPr>
          <w:rFonts w:ascii="Times New Roman"/>
        </w:rPr>
        <w:t xml:space="preserve">                      </w:t>
      </w:r>
      <w:r>
        <w:rPr>
          <w:rFonts w:hint="eastAsia" w:ascii="Times New Roman"/>
        </w:rPr>
        <w:t xml:space="preserve">                   </w:t>
      </w:r>
      <w:r>
        <w:rPr>
          <w:rFonts w:ascii="Times New Roman"/>
        </w:rPr>
        <w:t xml:space="preserve">                                (33)</w:t>
      </w:r>
    </w:p>
    <w:p>
      <w:pPr>
        <w:pStyle w:val="23"/>
      </w:pPr>
      <w:r>
        <w:rPr>
          <w:rFonts w:hint="eastAsia"/>
        </w:rPr>
        <w:t>宜遵循以下计算顺序：</w:t>
      </w:r>
    </w:p>
    <w:p>
      <w:pPr>
        <w:pStyle w:val="59"/>
        <w:numPr>
          <w:ilvl w:val="0"/>
          <w:numId w:val="29"/>
        </w:numPr>
        <w:rPr>
          <w:szCs w:val="22"/>
        </w:rPr>
      </w:pPr>
      <w:r>
        <w:rPr>
          <w:rFonts w:hint="eastAsia"/>
        </w:rPr>
        <w:t>用式（34）计算总平方和</w:t>
      </w:r>
      <w:r>
        <w:rPr>
          <w:i/>
        </w:rPr>
        <w:t>S</w:t>
      </w:r>
      <w:r>
        <w:rPr>
          <w:vertAlign w:val="subscript"/>
        </w:rPr>
        <w:t>t</w:t>
      </w:r>
      <w:r>
        <w:rPr>
          <w:rFonts w:hint="eastAsia"/>
        </w:rPr>
        <w:t>：</w:t>
      </w:r>
    </w:p>
    <w:p>
      <w:pPr>
        <w:pStyle w:val="23"/>
      </w:pPr>
      <m:oMath>
        <m:sSub>
          <m:sSubPr>
            <m:ctrlPr>
              <w:rPr>
                <w:rFonts w:ascii="Cambria Math" w:hAnsi="Cambria Math"/>
                <w:szCs w:val="22"/>
              </w:rPr>
            </m:ctrlPr>
          </m:sSubPr>
          <m:e>
            <m:r>
              <m:rPr/>
              <w:rPr>
                <w:rFonts w:ascii="Cambria Math" w:hAnsi="Cambria Math"/>
              </w:rPr>
              <m:t>S</m:t>
            </m:r>
            <m:ctrlPr>
              <w:rPr>
                <w:rFonts w:ascii="Cambria Math" w:hAnsi="Cambria Math"/>
                <w:szCs w:val="22"/>
              </w:rPr>
            </m:ctrlPr>
          </m:e>
          <m:sub>
            <m:r>
              <m:rPr/>
              <w:rPr>
                <w:rFonts w:ascii="Cambria Math" w:hAnsi="Cambria Math"/>
              </w:rPr>
              <m:t>t</m:t>
            </m:r>
            <m:ctrlPr>
              <w:rPr>
                <w:rFonts w:ascii="Cambria Math" w:hAnsi="Cambria Math"/>
                <w:szCs w:val="22"/>
              </w:rPr>
            </m:ctrlPr>
          </m:sub>
        </m:sSub>
        <m:r>
          <m:rPr/>
          <w:rPr>
            <w:rFonts w:ascii="Cambria Math" w:hAnsi="Cambria Math"/>
          </w:rPr>
          <m:t>=</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ij</m:t>
                    </m:r>
                    <m:ctrlPr>
                      <w:rPr>
                        <w:rFonts w:ascii="Cambria Math" w:hAnsi="Cambria Math"/>
                        <w:i/>
                        <w:szCs w:val="22"/>
                      </w:rPr>
                    </m:ctrlPr>
                  </m:sub>
                </m:sSub>
                <m:r>
                  <m:rPr/>
                  <w:rPr>
                    <w:rFonts w:ascii="Cambria Math" w:hAnsi="Cambria Math"/>
                  </w:rPr>
                  <m:t>−</m:t>
                </m:r>
                <m:acc>
                  <m:accPr>
                    <m:chr m:val="̅"/>
                    <m:ctrlPr>
                      <w:rPr>
                        <w:rFonts w:ascii="Cambria Math" w:hAnsi="Cambria Math"/>
                        <w:i/>
                        <w:szCs w:val="22"/>
                      </w:rPr>
                    </m:ctrlPr>
                  </m:accPr>
                  <m:e>
                    <m:r>
                      <m:rPr/>
                      <w:rPr>
                        <w:rFonts w:ascii="Cambria Math" w:hAnsi="Cambria Math"/>
                      </w:rPr>
                      <m:t>x</m:t>
                    </m:r>
                    <m:ctrlPr>
                      <w:rPr>
                        <w:rFonts w:ascii="Cambria Math" w:hAnsi="Cambria Math"/>
                        <w:i/>
                        <w:szCs w:val="22"/>
                      </w:rPr>
                    </m:ctrlPr>
                  </m:e>
                </m:acc>
                <m:r>
                  <m:rPr/>
                  <w:rPr>
                    <w:rFonts w:ascii="Cambria Math" w:hAnsi="Cambria Math"/>
                  </w:rPr>
                  <m:t>)</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nary>
      </m:oMath>
      <w:r>
        <w:t xml:space="preserve">                         </w:t>
      </w:r>
      <w:r>
        <w:rPr>
          <w:rFonts w:hint="eastAsia"/>
        </w:rPr>
        <w:t xml:space="preserve">                  </w:t>
      </w:r>
      <w:r>
        <w:t xml:space="preserve">                      (34)</w:t>
      </w:r>
    </w:p>
    <w:p>
      <w:pPr>
        <w:pStyle w:val="23"/>
        <w:ind w:firstLine="0" w:firstLineChars="0"/>
      </w:pPr>
      <w:r>
        <w:rPr>
          <w:rFonts w:hint="eastAsia"/>
        </w:rPr>
        <w:t>其中，</w:t>
      </w:r>
      <w:r>
        <w:rPr>
          <w:rFonts w:ascii="Times New Roman"/>
          <w:i/>
        </w:rPr>
        <w:t>x</w:t>
      </w:r>
      <w:r>
        <w:rPr>
          <w:rFonts w:ascii="Times New Roman"/>
          <w:i/>
          <w:vertAlign w:val="subscript"/>
        </w:rPr>
        <w:t>ij</w:t>
      </w:r>
      <w:r>
        <w:rPr>
          <w:rFonts w:ascii="Times New Roman"/>
        </w:rPr>
        <w:t>是第</w:t>
      </w:r>
      <w:r>
        <w:rPr>
          <w:rFonts w:ascii="Times New Roman"/>
          <w:i/>
        </w:rPr>
        <w:t>i</w:t>
      </w:r>
      <w:r>
        <w:rPr>
          <w:rFonts w:ascii="Times New Roman"/>
        </w:rPr>
        <w:t>个因素（1≤</w:t>
      </w:r>
      <w:r>
        <w:rPr>
          <w:rFonts w:ascii="Times New Roman"/>
          <w:i/>
        </w:rPr>
        <w:t>i</w:t>
      </w:r>
      <w:r>
        <w:rPr>
          <w:rFonts w:ascii="Times New Roman"/>
        </w:rPr>
        <w:t>≤</w:t>
      </w:r>
      <w:r>
        <w:rPr>
          <w:rFonts w:ascii="Times New Roman"/>
          <w:i/>
        </w:rPr>
        <w:t>n</w:t>
      </w:r>
      <w:r>
        <w:rPr>
          <w:rFonts w:ascii="Times New Roman"/>
        </w:rPr>
        <w:t>）的第</w:t>
      </w:r>
      <w:r>
        <w:rPr>
          <w:rFonts w:ascii="Times New Roman"/>
          <w:i/>
        </w:rPr>
        <w:t>j</w:t>
      </w:r>
      <w:r>
        <w:rPr>
          <w:rFonts w:ascii="Times New Roman"/>
        </w:rPr>
        <w:t>个</w:t>
      </w:r>
      <w:r>
        <w:rPr>
          <w:rFonts w:hint="eastAsia" w:ascii="Times New Roman"/>
        </w:rPr>
        <w:t>平行测量</w:t>
      </w:r>
      <w:r>
        <w:rPr>
          <w:rFonts w:ascii="Times New Roman"/>
        </w:rPr>
        <w:t>（1≤</w:t>
      </w:r>
      <w:r>
        <w:rPr>
          <w:rFonts w:ascii="Times New Roman"/>
          <w:i/>
        </w:rPr>
        <w:t>j</w:t>
      </w:r>
      <w:r>
        <w:rPr>
          <w:rFonts w:ascii="Times New Roman"/>
        </w:rPr>
        <w:t>≤</w:t>
      </w:r>
      <w:r>
        <w:rPr>
          <w:rFonts w:ascii="Times New Roman"/>
          <w:i/>
        </w:rPr>
        <w:t>r</w:t>
      </w:r>
      <w:r>
        <w:rPr>
          <w:rFonts w:ascii="Times New Roman"/>
        </w:rPr>
        <w:t>）的值</w:t>
      </w:r>
      <w:r>
        <w:rPr>
          <w:rFonts w:hint="eastAsia"/>
        </w:rPr>
        <w:t>。</w:t>
      </w:r>
    </w:p>
    <w:p>
      <w:pPr>
        <w:pStyle w:val="59"/>
      </w:pPr>
      <w:r>
        <w:rPr>
          <w:rFonts w:hint="eastAsia"/>
        </w:rPr>
        <w:t>由式（35）计算总自由度</w:t>
      </w:r>
      <w:r>
        <w:rPr>
          <w:i/>
        </w:rPr>
        <w:t>v</w:t>
      </w:r>
      <w:r>
        <w:rPr>
          <w:vertAlign w:val="subscript"/>
        </w:rPr>
        <w:t>t</w:t>
      </w:r>
      <w:r>
        <w:rPr>
          <w:rFonts w:hint="eastAsia"/>
        </w:rPr>
        <w:t>：</w:t>
      </w:r>
    </w:p>
    <w:p>
      <w:pPr>
        <w:pStyle w:val="23"/>
        <w:ind w:firstLine="840" w:firstLineChars="400"/>
        <w:rPr>
          <w:rFonts w:ascii="Times New Roman"/>
        </w:rPr>
      </w:pPr>
      <w:r>
        <w:rPr>
          <w:rFonts w:ascii="Times New Roman"/>
          <w:i/>
        </w:rPr>
        <w:t>v</w:t>
      </w:r>
      <w:r>
        <w:rPr>
          <w:rFonts w:ascii="Times New Roman"/>
          <w:vertAlign w:val="subscript"/>
        </w:rPr>
        <w:t>t</w:t>
      </w:r>
      <w:r>
        <w:rPr>
          <w:rFonts w:ascii="Times New Roman"/>
        </w:rPr>
        <w:t>=</w:t>
      </w:r>
      <w:r>
        <w:rPr>
          <w:rFonts w:ascii="Times New Roman"/>
          <w:i/>
        </w:rPr>
        <w:t xml:space="preserve">N </w:t>
      </w:r>
      <w:r>
        <w:rPr>
          <w:rFonts w:ascii="Times New Roman" w:eastAsia="MS Mincho"/>
          <w:sz w:val="20"/>
        </w:rPr>
        <w:t>−</w:t>
      </w:r>
      <w:r>
        <w:rPr>
          <w:rFonts w:ascii="Times New Roman"/>
          <w:sz w:val="20"/>
        </w:rPr>
        <w:t xml:space="preserve"> </w:t>
      </w:r>
      <w:r>
        <w:rPr>
          <w:rFonts w:ascii="Times New Roman"/>
        </w:rPr>
        <w:t xml:space="preserve">1                         </w:t>
      </w:r>
      <w:r>
        <w:rPr>
          <w:rFonts w:hint="eastAsia" w:ascii="Times New Roman"/>
        </w:rPr>
        <w:t xml:space="preserve">         </w:t>
      </w:r>
      <w:r>
        <w:rPr>
          <w:rFonts w:ascii="Times New Roman"/>
        </w:rPr>
        <w:t xml:space="preserve">                  </w:t>
      </w:r>
      <w:r>
        <w:rPr>
          <w:rFonts w:hint="eastAsia" w:ascii="Times New Roman"/>
        </w:rPr>
        <w:t xml:space="preserve">     </w:t>
      </w:r>
      <w:r>
        <w:rPr>
          <w:rFonts w:ascii="Times New Roman"/>
        </w:rPr>
        <w:t xml:space="preserve">             (35)</w:t>
      </w:r>
    </w:p>
    <w:p>
      <w:pPr>
        <w:pStyle w:val="59"/>
      </w:pPr>
      <w:r>
        <w:rPr>
          <w:rFonts w:hint="eastAsia"/>
        </w:rPr>
        <w:t>用式（36）和得自于</w:t>
      </w:r>
      <w:r>
        <w:t>a)</w:t>
      </w:r>
      <w:r>
        <w:rPr>
          <w:rFonts w:hint="eastAsia"/>
        </w:rPr>
        <w:t>和</w:t>
      </w:r>
      <w:r>
        <w:t>b)</w:t>
      </w:r>
      <w:r>
        <w:rPr>
          <w:rFonts w:hint="eastAsia"/>
        </w:rPr>
        <w:t>的值，计算总均方</w:t>
      </w:r>
      <w:r>
        <w:rPr>
          <w:i/>
        </w:rPr>
        <w:t>M</w:t>
      </w:r>
      <w:r>
        <w:rPr>
          <w:vertAlign w:val="subscript"/>
        </w:rPr>
        <w:t>t</w:t>
      </w:r>
      <w:r>
        <w:rPr>
          <w:rFonts w:hint="eastAsia"/>
        </w:rPr>
        <w:t>：</w:t>
      </w:r>
    </w:p>
    <w:p>
      <w:pPr>
        <w:pStyle w:val="23"/>
        <w:ind w:firstLine="840" w:firstLineChars="400"/>
        <w:rPr>
          <w:rFonts w:ascii="Times New Roman"/>
        </w:rPr>
      </w:pPr>
      <w:r>
        <w:rPr>
          <w:rFonts w:ascii="Times New Roman"/>
          <w:i/>
        </w:rPr>
        <w:t>M</w:t>
      </w:r>
      <w:r>
        <w:rPr>
          <w:rFonts w:ascii="Times New Roman"/>
          <w:vertAlign w:val="subscript"/>
        </w:rPr>
        <w:t>t</w:t>
      </w:r>
      <w:r>
        <w:rPr>
          <w:rFonts w:ascii="Times New Roman"/>
        </w:rPr>
        <w:t xml:space="preserve"> = </w:t>
      </w:r>
      <w:r>
        <w:rPr>
          <w:rFonts w:ascii="Times New Roman"/>
          <w:i/>
        </w:rPr>
        <w:t>S</w:t>
      </w:r>
      <w:r>
        <w:rPr>
          <w:rFonts w:ascii="Times New Roman"/>
          <w:vertAlign w:val="subscript"/>
        </w:rPr>
        <w:t>t</w:t>
      </w:r>
      <w:r>
        <w:rPr>
          <w:rFonts w:ascii="Times New Roman"/>
        </w:rPr>
        <w:t>/</w:t>
      </w:r>
      <w:r>
        <w:rPr>
          <w:rFonts w:ascii="Times New Roman"/>
          <w:i/>
        </w:rPr>
        <w:t>v</w:t>
      </w:r>
      <w:r>
        <w:rPr>
          <w:rFonts w:ascii="Times New Roman"/>
          <w:vertAlign w:val="subscript"/>
        </w:rPr>
        <w:t>t</w:t>
      </w:r>
      <w:r>
        <w:rPr>
          <w:rFonts w:ascii="Times New Roman"/>
        </w:rPr>
        <w:t xml:space="preserve">      </w:t>
      </w:r>
      <w:r>
        <w:rPr>
          <w:rFonts w:hint="eastAsia" w:ascii="Times New Roman"/>
        </w:rPr>
        <w:t xml:space="preserve">               </w:t>
      </w:r>
      <w:r>
        <w:rPr>
          <w:rFonts w:ascii="Times New Roman"/>
        </w:rPr>
        <w:t xml:space="preserve">                                         </w:t>
      </w:r>
      <w:r>
        <w:rPr>
          <w:rFonts w:hint="eastAsia" w:ascii="Times New Roman"/>
        </w:rPr>
        <w:t xml:space="preserve"> </w:t>
      </w:r>
      <w:r>
        <w:rPr>
          <w:rFonts w:ascii="Times New Roman"/>
        </w:rPr>
        <w:t xml:space="preserve">       (36)</w:t>
      </w:r>
    </w:p>
    <w:p>
      <w:pPr>
        <w:pStyle w:val="59"/>
      </w:pPr>
      <w:r>
        <w:rPr>
          <w:rFonts w:hint="eastAsia"/>
        </w:rPr>
        <w:t>用式（37）计算因素间平方和</w:t>
      </w:r>
      <w:r>
        <w:rPr>
          <w:i/>
        </w:rPr>
        <w:t>S</w:t>
      </w:r>
      <w:r>
        <w:rPr>
          <w:vertAlign w:val="subscript"/>
        </w:rPr>
        <w:t>b</w:t>
      </w:r>
      <w:r>
        <w:rPr>
          <w:rFonts w:hint="eastAsia"/>
        </w:rPr>
        <w:t>：</w:t>
      </w:r>
    </w:p>
    <w:p>
      <w:pPr>
        <w:pStyle w:val="23"/>
        <w:ind w:firstLine="840" w:firstLineChars="400"/>
        <w:rPr>
          <w:rFonts w:ascii="Times New Roman"/>
        </w:rPr>
      </w:pPr>
      <m:oMath>
        <m:sSub>
          <m:sSubPr>
            <m:ctrlPr>
              <w:rPr>
                <w:rFonts w:ascii="Cambria Math" w:hAnsi="Cambria Math"/>
                <w:szCs w:val="22"/>
              </w:rPr>
            </m:ctrlPr>
          </m:sSubPr>
          <m:e>
            <m:r>
              <m:rPr/>
              <w:rPr>
                <w:rFonts w:ascii="Cambria Math" w:hAnsi="Cambria Math"/>
              </w:rPr>
              <m:t>S</m:t>
            </m:r>
            <m:ctrlPr>
              <w:rPr>
                <w:rFonts w:ascii="Cambria Math" w:hAnsi="Cambria Math"/>
                <w:szCs w:val="22"/>
              </w:rPr>
            </m:ctrlPr>
          </m:e>
          <m:sub>
            <m:r>
              <m:rPr/>
              <w:rPr>
                <w:rFonts w:ascii="Cambria Math" w:hAnsi="Cambria Math"/>
              </w:rPr>
              <m:t>b</m:t>
            </m:r>
            <m:ctrlPr>
              <w:rPr>
                <w:rFonts w:ascii="Cambria Math" w:hAnsi="Cambria Math"/>
                <w:szCs w:val="22"/>
              </w:rPr>
            </m:ctrlPr>
          </m:sub>
        </m:sSub>
        <m:r>
          <m:rPr/>
          <w:rPr>
            <w:rFonts w:ascii="Cambria Math" w:hAnsi="Cambria Math"/>
          </w:rPr>
          <m:t>=</m:t>
        </m:r>
        <m:f>
          <m:fPr>
            <m:ctrlPr>
              <w:rPr>
                <w:rFonts w:ascii="Cambria Math" w:hAnsi="Cambria Math"/>
                <w:i/>
                <w:szCs w:val="22"/>
              </w:rPr>
            </m:ctrlPr>
          </m:fPr>
          <m:num>
            <m:r>
              <m:rPr/>
              <w:rPr>
                <w:rFonts w:ascii="Cambria Math" w:hAnsi="Cambria Math"/>
              </w:rPr>
              <m:t>1</m:t>
            </m:r>
            <m:ctrlPr>
              <w:rPr>
                <w:rFonts w:ascii="Cambria Math" w:hAnsi="Cambria Math"/>
                <w:i/>
                <w:szCs w:val="22"/>
              </w:rPr>
            </m:ctrlPr>
          </m:num>
          <m:den>
            <m:r>
              <m:rPr/>
              <w:rPr>
                <w:rFonts w:hint="eastAsia" w:ascii="Cambria Math" w:hAnsi="Cambria Math"/>
              </w:rPr>
              <m:t>r</m:t>
            </m:r>
            <m:ctrlPr>
              <w:rPr>
                <w:rFonts w:ascii="Cambria Math" w:hAnsi="Cambria Math"/>
                <w:i/>
                <w:szCs w:val="22"/>
              </w:rPr>
            </m:ctrlPr>
          </m:den>
        </m:f>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t</m:t>
                    </m:r>
                    <m:ctrlPr>
                      <w:rPr>
                        <w:rFonts w:ascii="Cambria Math" w:hAnsi="Cambria Math"/>
                        <w:i/>
                        <w:szCs w:val="22"/>
                      </w:rPr>
                    </m:ctrlPr>
                  </m:e>
                  <m:sub>
                    <m:r>
                      <m:rPr/>
                      <w:rPr>
                        <w:rFonts w:ascii="Cambria Math" w:hAnsi="Cambria Math"/>
                      </w:rPr>
                      <m:t>i</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nary>
        <m:r>
          <m:rPr/>
          <w:rPr>
            <w:rFonts w:ascii="Cambria Math" w:hAnsi="Cambria Math"/>
          </w:rPr>
          <m:t>−</m:t>
        </m:r>
        <m:f>
          <m:fPr>
            <m:ctrlPr>
              <w:rPr>
                <w:rFonts w:ascii="Cambria Math" w:hAnsi="Cambria Math"/>
                <w:i/>
                <w:szCs w:val="22"/>
              </w:rPr>
            </m:ctrlPr>
          </m:fPr>
          <m:num>
            <m:r>
              <m:rPr/>
              <w:rPr>
                <w:rFonts w:ascii="Cambria Math" w:hAnsi="Cambria Math"/>
              </w:rPr>
              <m:t>1</m:t>
            </m:r>
            <m:ctrlPr>
              <w:rPr>
                <w:rFonts w:ascii="Cambria Math" w:hAnsi="Cambria Math"/>
                <w:i/>
                <w:szCs w:val="22"/>
              </w:rPr>
            </m:ctrlPr>
          </m:num>
          <m:den>
            <m:r>
              <m:rPr/>
              <w:rPr>
                <w:rFonts w:ascii="Cambria Math" w:hAnsi="Cambria Math"/>
              </w:rPr>
              <m:t>N</m:t>
            </m:r>
            <m:ctrlPr>
              <w:rPr>
                <w:rFonts w:ascii="Cambria Math" w:hAnsi="Cambria Math"/>
                <w:i/>
                <w:szCs w:val="22"/>
              </w:rPr>
            </m:ctrlPr>
          </m:den>
        </m:f>
        <m:sSup>
          <m:sSupPr>
            <m:ctrlPr>
              <w:rPr>
                <w:rFonts w:ascii="Cambria Math" w:hAnsi="Cambria Math"/>
                <w:i/>
                <w:szCs w:val="22"/>
              </w:rPr>
            </m:ctrlPr>
          </m:sSupPr>
          <m:e>
            <m:r>
              <m:rPr/>
              <w:rPr>
                <w:rFonts w:ascii="Cambria Math" w:hAnsi="Cambria Math"/>
              </w:rPr>
              <m:t>(</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ij</m:t>
                    </m:r>
                    <m:ctrlPr>
                      <w:rPr>
                        <w:rFonts w:ascii="Cambria Math" w:hAnsi="Cambria Math"/>
                        <w:i/>
                        <w:szCs w:val="22"/>
                      </w:rPr>
                    </m:ctrlPr>
                  </m:sub>
                </m:sSub>
                <m:ctrlPr>
                  <w:rPr>
                    <w:rFonts w:ascii="Cambria Math" w:hAnsi="Cambria Math"/>
                    <w:i/>
                    <w:szCs w:val="22"/>
                  </w:rPr>
                </m:ctrlPr>
              </m:e>
            </m:nary>
            <m:r>
              <m:rPr/>
              <w:rPr>
                <w:rFonts w:ascii="Cambria Math" w:hAnsi="Cambria Math"/>
              </w:rPr>
              <m:t>)</m:t>
            </m:r>
            <m:ctrlPr>
              <w:rPr>
                <w:rFonts w:ascii="Cambria Math" w:hAnsi="Cambria Math"/>
                <w:i/>
                <w:szCs w:val="22"/>
              </w:rPr>
            </m:ctrlPr>
          </m:e>
          <m:sup>
            <m:r>
              <m:rPr/>
              <w:rPr>
                <w:rFonts w:ascii="Cambria Math" w:hAnsi="Cambria Math"/>
              </w:rPr>
              <m:t>2</m:t>
            </m:r>
            <m:ctrlPr>
              <w:rPr>
                <w:rFonts w:ascii="Cambria Math" w:hAnsi="Cambria Math"/>
                <w:i/>
                <w:szCs w:val="22"/>
              </w:rPr>
            </m:ctrlPr>
          </m:sup>
        </m:sSup>
      </m:oMath>
      <w:r>
        <w:rPr>
          <w:rFonts w:ascii="Times New Roman"/>
        </w:rPr>
        <w:t xml:space="preserve">               </w:t>
      </w:r>
      <w:r>
        <w:rPr>
          <w:rFonts w:hint="eastAsia" w:ascii="Times New Roman"/>
        </w:rPr>
        <w:t xml:space="preserve"> </w:t>
      </w:r>
      <w:r>
        <w:rPr>
          <w:rFonts w:ascii="Times New Roman"/>
        </w:rPr>
        <w:t xml:space="preserve">                                         (37)</w:t>
      </w:r>
    </w:p>
    <w:p>
      <w:pPr>
        <w:pStyle w:val="23"/>
        <w:ind w:firstLine="0" w:firstLineChars="0"/>
        <w:rPr>
          <w:rFonts w:ascii="Times New Roman"/>
        </w:rPr>
      </w:pPr>
      <w:r>
        <w:rPr>
          <w:rFonts w:ascii="Times New Roman"/>
        </w:rPr>
        <w:t>其中，</w:t>
      </w:r>
      <w:r>
        <w:rPr>
          <w:rFonts w:ascii="Times New Roman"/>
          <w:i/>
        </w:rPr>
        <w:t>t</w:t>
      </w:r>
      <w:r>
        <w:rPr>
          <w:rFonts w:ascii="Times New Roman"/>
          <w:vertAlign w:val="subscript"/>
        </w:rPr>
        <w:t>i</w:t>
      </w:r>
      <w:r>
        <w:rPr>
          <w:rFonts w:ascii="Times New Roman"/>
        </w:rPr>
        <w:t>是由式（38）计算的因素的第</w:t>
      </w:r>
      <w:r>
        <w:rPr>
          <w:rFonts w:ascii="Times New Roman"/>
          <w:i/>
        </w:rPr>
        <w:t>i</w:t>
      </w:r>
      <w:r>
        <w:rPr>
          <w:rFonts w:ascii="Times New Roman"/>
        </w:rPr>
        <w:t>个水平的</w:t>
      </w:r>
      <w:r>
        <w:rPr>
          <w:rFonts w:ascii="Times New Roman"/>
          <w:i/>
        </w:rPr>
        <w:t>r</w:t>
      </w:r>
      <w:r>
        <w:rPr>
          <w:rFonts w:ascii="Times New Roman"/>
        </w:rPr>
        <w:t>个</w:t>
      </w:r>
      <w:r>
        <w:rPr>
          <w:rFonts w:hint="eastAsia" w:ascii="Times New Roman"/>
        </w:rPr>
        <w:t>平行</w:t>
      </w:r>
      <w:r>
        <w:rPr>
          <w:rFonts w:ascii="Times New Roman"/>
        </w:rPr>
        <w:t>测量的和：</w:t>
      </w:r>
    </w:p>
    <w:p>
      <w:pPr>
        <w:pStyle w:val="23"/>
        <w:ind w:firstLine="840" w:firstLineChars="400"/>
        <w:rPr>
          <w:rFonts w:ascii="Times New Roman"/>
        </w:rPr>
      </w:pPr>
      <m:oMath>
        <m:sSub>
          <m:sSubPr>
            <m:ctrlPr>
              <w:rPr>
                <w:rFonts w:ascii="Cambria Math" w:hAnsi="Cambria Math"/>
                <w:szCs w:val="22"/>
              </w:rPr>
            </m:ctrlPr>
          </m:sSubPr>
          <m:e>
            <m:r>
              <m:rPr/>
              <w:rPr>
                <w:rFonts w:ascii="Cambria Math" w:hAnsi="Cambria Math"/>
              </w:rPr>
              <m:t>t</m:t>
            </m:r>
            <m:ctrlPr>
              <w:rPr>
                <w:rFonts w:ascii="Cambria Math" w:hAnsi="Cambria Math"/>
                <w:szCs w:val="22"/>
              </w:rPr>
            </m:ctrlPr>
          </m:e>
          <m:sub>
            <m:r>
              <m:rPr/>
              <w:rPr>
                <w:rFonts w:ascii="Cambria Math" w:hAnsi="Cambria Math"/>
              </w:rPr>
              <m:t>i</m:t>
            </m:r>
            <m:ctrlPr>
              <w:rPr>
                <w:rFonts w:ascii="Cambria Math" w:hAnsi="Cambria Math"/>
                <w:szCs w:val="22"/>
              </w:rPr>
            </m:ctrlPr>
          </m:sub>
        </m:sSub>
        <m:r>
          <m:rPr/>
          <w:rPr>
            <w:rFonts w:ascii="Cambria Math" w:hAnsi="Cambria Math"/>
          </w:rPr>
          <m:t>=</m:t>
        </m:r>
        <m:nary>
          <m:naryPr>
            <m:chr m:val="∑"/>
            <m:limLoc m:val="undOvr"/>
            <m:ctrlPr>
              <w:rPr>
                <w:rFonts w:ascii="Cambria Math" w:hAnsi="Cambria Math"/>
                <w:i/>
                <w:szCs w:val="22"/>
              </w:rPr>
            </m:ctrlPr>
          </m:naryPr>
          <m:sub>
            <m:r>
              <m:rPr/>
              <w:rPr>
                <w:rFonts w:ascii="Cambria Math" w:hAnsi="Cambria Math"/>
              </w:rPr>
              <m:t>j=1</m:t>
            </m:r>
            <m:ctrlPr>
              <w:rPr>
                <w:rFonts w:ascii="Cambria Math" w:hAnsi="Cambria Math"/>
                <w:i/>
                <w:szCs w:val="22"/>
              </w:rPr>
            </m:ctrlPr>
          </m:sub>
          <m:sup>
            <m:r>
              <m:rPr/>
              <w:rPr>
                <w:rFonts w:ascii="Cambria Math" w:hAnsi="Cambria Math"/>
              </w:rPr>
              <m:t>r</m:t>
            </m:r>
            <m:ctrlPr>
              <w:rPr>
                <w:rFonts w:ascii="Cambria Math" w:hAnsi="Cambria Math"/>
                <w:i/>
                <w:szCs w:val="22"/>
              </w:rPr>
            </m:ctrlPr>
          </m:sup>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ij</m:t>
                </m:r>
                <m:ctrlPr>
                  <w:rPr>
                    <w:rFonts w:ascii="Cambria Math" w:hAnsi="Cambria Math"/>
                    <w:i/>
                    <w:szCs w:val="22"/>
                  </w:rPr>
                </m:ctrlPr>
              </m:sub>
            </m:sSub>
            <m:ctrlPr>
              <w:rPr>
                <w:rFonts w:ascii="Cambria Math" w:hAnsi="Cambria Math"/>
                <w:i/>
                <w:szCs w:val="22"/>
              </w:rPr>
            </m:ctrlPr>
          </m:e>
        </m:nary>
      </m:oMath>
      <w:r>
        <w:rPr>
          <w:rFonts w:ascii="Times New Roman"/>
        </w:rPr>
        <w:t xml:space="preserve">                 </w:t>
      </w:r>
      <w:r>
        <w:rPr>
          <w:rFonts w:hint="eastAsia" w:ascii="Times New Roman"/>
        </w:rPr>
        <w:t xml:space="preserve"> </w:t>
      </w:r>
      <w:r>
        <w:rPr>
          <w:rFonts w:ascii="Times New Roman"/>
        </w:rPr>
        <w:t xml:space="preserve">                                                 (38)</w:t>
      </w:r>
    </w:p>
    <w:p>
      <w:pPr>
        <w:pStyle w:val="59"/>
      </w:pPr>
      <w:r>
        <w:rPr>
          <w:rFonts w:hint="eastAsia"/>
        </w:rPr>
        <w:t>用式（39）计算与因素间平方和相关的自由度</w:t>
      </w:r>
      <w:r>
        <w:rPr>
          <w:i/>
        </w:rPr>
        <w:t>v</w:t>
      </w:r>
      <w:r>
        <w:rPr>
          <w:vertAlign w:val="subscript"/>
        </w:rPr>
        <w:t>b</w:t>
      </w:r>
      <w:r>
        <w:rPr>
          <w:rFonts w:hint="eastAsia"/>
        </w:rPr>
        <w:t>：</w:t>
      </w:r>
    </w:p>
    <w:p>
      <w:pPr>
        <w:pStyle w:val="23"/>
        <w:ind w:firstLine="840" w:firstLineChars="400"/>
      </w:pPr>
      <w:r>
        <w:rPr>
          <w:i/>
        </w:rPr>
        <w:t>v</w:t>
      </w:r>
      <w:r>
        <w:rPr>
          <w:vertAlign w:val="subscript"/>
        </w:rPr>
        <w:t>b</w:t>
      </w:r>
      <w:r>
        <w:t xml:space="preserve"> = </w:t>
      </w:r>
      <w:r>
        <w:rPr>
          <w:rFonts w:ascii="Times New Roman"/>
          <w:i/>
        </w:rPr>
        <w:t>n</w:t>
      </w:r>
      <w:r>
        <w:t xml:space="preserve"> </w:t>
      </w:r>
      <w:r>
        <w:rPr>
          <w:rFonts w:eastAsia="MS Mincho"/>
          <w:sz w:val="20"/>
        </w:rPr>
        <w:t>−</w:t>
      </w:r>
      <w:r>
        <w:t xml:space="preserve">1                  </w:t>
      </w:r>
      <w:r>
        <w:rPr>
          <w:rFonts w:hint="eastAsia"/>
        </w:rPr>
        <w:t xml:space="preserve">          </w:t>
      </w:r>
      <w:r>
        <w:t xml:space="preserve">             </w:t>
      </w:r>
      <w:r>
        <w:rPr>
          <w:rFonts w:hint="eastAsia"/>
        </w:rPr>
        <w:t xml:space="preserve">   </w:t>
      </w:r>
      <w:r>
        <w:t xml:space="preserve">                         (39)</w:t>
      </w:r>
    </w:p>
    <w:p>
      <w:pPr>
        <w:pStyle w:val="59"/>
        <w:rPr>
          <w:rFonts w:ascii="Times New Roman"/>
        </w:rPr>
      </w:pPr>
      <w:r>
        <w:rPr>
          <w:rFonts w:ascii="Times New Roman"/>
        </w:rPr>
        <w:t>由d)和e)用式</w:t>
      </w:r>
      <w:r>
        <w:rPr>
          <w:rFonts w:hint="eastAsia" w:ascii="Times New Roman"/>
        </w:rPr>
        <w:t>（40）</w:t>
      </w:r>
      <w:r>
        <w:rPr>
          <w:rFonts w:ascii="Times New Roman"/>
        </w:rPr>
        <w:t>计算因素间均方</w:t>
      </w:r>
      <w:r>
        <w:rPr>
          <w:rFonts w:ascii="Times New Roman"/>
          <w:i/>
        </w:rPr>
        <w:t>M</w:t>
      </w:r>
      <w:r>
        <w:rPr>
          <w:rFonts w:ascii="Times New Roman"/>
          <w:vertAlign w:val="subscript"/>
        </w:rPr>
        <w:t>b</w:t>
      </w:r>
      <w:r>
        <w:rPr>
          <w:rFonts w:ascii="Times New Roman"/>
        </w:rPr>
        <w:t>：</w:t>
      </w:r>
    </w:p>
    <w:p>
      <w:pPr>
        <w:pStyle w:val="23"/>
        <w:ind w:firstLine="840" w:firstLineChars="400"/>
        <w:rPr>
          <w:rFonts w:ascii="Times New Roman"/>
        </w:rPr>
      </w:pPr>
      <w:r>
        <w:rPr>
          <w:rFonts w:ascii="Times New Roman"/>
          <w:i/>
        </w:rPr>
        <w:t>M</w:t>
      </w:r>
      <w:r>
        <w:rPr>
          <w:rFonts w:ascii="Times New Roman"/>
          <w:vertAlign w:val="subscript"/>
        </w:rPr>
        <w:t>b</w:t>
      </w:r>
      <w:r>
        <w:rPr>
          <w:rFonts w:ascii="Times New Roman"/>
        </w:rPr>
        <w:t xml:space="preserve"> = </w:t>
      </w:r>
      <w:r>
        <w:rPr>
          <w:rFonts w:ascii="Times New Roman"/>
          <w:i/>
        </w:rPr>
        <w:t>S</w:t>
      </w:r>
      <w:r>
        <w:rPr>
          <w:rFonts w:ascii="Times New Roman"/>
          <w:vertAlign w:val="subscript"/>
        </w:rPr>
        <w:t>b</w:t>
      </w:r>
      <w:r>
        <w:rPr>
          <w:rFonts w:ascii="Times New Roman"/>
        </w:rPr>
        <w:t>/</w:t>
      </w:r>
      <w:r>
        <w:rPr>
          <w:rFonts w:ascii="Times New Roman"/>
          <w:i/>
        </w:rPr>
        <w:t>v</w:t>
      </w:r>
      <w:r>
        <w:rPr>
          <w:rFonts w:ascii="Times New Roman"/>
          <w:vertAlign w:val="subscript"/>
        </w:rPr>
        <w:t>b</w:t>
      </w:r>
      <w:r>
        <w:rPr>
          <w:rFonts w:ascii="Times New Roman"/>
        </w:rPr>
        <w:t xml:space="preserve">          </w:t>
      </w:r>
      <w:r>
        <w:rPr>
          <w:rFonts w:hint="eastAsia" w:ascii="Times New Roman"/>
        </w:rPr>
        <w:t xml:space="preserve">              </w:t>
      </w:r>
      <w:r>
        <w:rPr>
          <w:rFonts w:ascii="Times New Roman"/>
        </w:rPr>
        <w:t xml:space="preserve">                                             (40)</w:t>
      </w:r>
    </w:p>
    <w:p>
      <w:pPr>
        <w:pStyle w:val="59"/>
      </w:pPr>
      <w:r>
        <w:rPr>
          <w:rFonts w:hint="eastAsia"/>
        </w:rPr>
        <w:t>用式（41）计算因素内平方和</w:t>
      </w:r>
      <w:r>
        <w:rPr>
          <w:i/>
        </w:rPr>
        <w:t>S</w:t>
      </w:r>
      <w:r>
        <w:rPr>
          <w:vertAlign w:val="subscript"/>
        </w:rPr>
        <w:t>w</w:t>
      </w:r>
      <w:r>
        <w:rPr>
          <w:rFonts w:hint="eastAsia"/>
        </w:rPr>
        <w:t>：</w:t>
      </w:r>
    </w:p>
    <w:p>
      <w:pPr>
        <w:pStyle w:val="23"/>
        <w:ind w:firstLine="840" w:firstLineChars="400"/>
      </w:pPr>
      <w:r>
        <w:rPr>
          <w:i/>
        </w:rPr>
        <w:t>S</w:t>
      </w:r>
      <w:r>
        <w:rPr>
          <w:vertAlign w:val="subscript"/>
        </w:rPr>
        <w:t>w</w:t>
      </w:r>
      <w:r>
        <w:t xml:space="preserve"> = </w:t>
      </w:r>
      <w:r>
        <w:rPr>
          <w:i/>
        </w:rPr>
        <w:t>S</w:t>
      </w:r>
      <w:r>
        <w:rPr>
          <w:vertAlign w:val="subscript"/>
        </w:rPr>
        <w:t>t</w:t>
      </w:r>
      <w:r>
        <w:t xml:space="preserve"> </w:t>
      </w:r>
      <w:r>
        <w:rPr>
          <w:rFonts w:eastAsia="MS Mincho"/>
          <w:sz w:val="20"/>
        </w:rPr>
        <w:t>−</w:t>
      </w:r>
      <w:r>
        <w:t xml:space="preserve"> </w:t>
      </w:r>
      <w:r>
        <w:rPr>
          <w:i/>
        </w:rPr>
        <w:t>S</w:t>
      </w:r>
      <w:r>
        <w:rPr>
          <w:vertAlign w:val="subscript"/>
        </w:rPr>
        <w:t>b</w:t>
      </w:r>
      <w:r>
        <w:t xml:space="preserve">                           </w:t>
      </w:r>
      <w:r>
        <w:rPr>
          <w:rFonts w:hint="eastAsia"/>
        </w:rPr>
        <w:t xml:space="preserve">            </w:t>
      </w:r>
      <w:r>
        <w:t xml:space="preserve">                           (41)</w:t>
      </w:r>
    </w:p>
    <w:p>
      <w:pPr>
        <w:pStyle w:val="59"/>
      </w:pPr>
      <w:r>
        <w:t>用式</w:t>
      </w:r>
      <w:r>
        <w:rPr>
          <w:rFonts w:hint="eastAsia"/>
        </w:rPr>
        <w:t>（42）</w:t>
      </w:r>
      <w:r>
        <w:t>计算因素内自由度</w:t>
      </w:r>
      <w:r>
        <w:rPr>
          <w:i/>
        </w:rPr>
        <w:t>v</w:t>
      </w:r>
      <w:r>
        <w:rPr>
          <w:vertAlign w:val="subscript"/>
        </w:rPr>
        <w:t>w</w:t>
      </w:r>
      <w:r>
        <w:t>：</w:t>
      </w:r>
    </w:p>
    <w:p>
      <w:pPr>
        <w:pStyle w:val="23"/>
        <w:ind w:firstLine="840" w:firstLineChars="400"/>
      </w:pPr>
      <w:r>
        <w:rPr>
          <w:i/>
        </w:rPr>
        <w:t>v</w:t>
      </w:r>
      <w:r>
        <w:rPr>
          <w:vertAlign w:val="subscript"/>
        </w:rPr>
        <w:t>w</w:t>
      </w:r>
      <w:r>
        <w:t xml:space="preserve"> = </w:t>
      </w:r>
      <w:r>
        <w:rPr>
          <w:i/>
        </w:rPr>
        <w:t>v</w:t>
      </w:r>
      <w:r>
        <w:rPr>
          <w:vertAlign w:val="subscript"/>
        </w:rPr>
        <w:t>t</w:t>
      </w:r>
      <w:r>
        <w:t xml:space="preserve"> </w:t>
      </w:r>
      <w:r>
        <w:rPr>
          <w:kern w:val="2"/>
        </w:rPr>
        <w:t xml:space="preserve">− </w:t>
      </w:r>
      <w:r>
        <w:rPr>
          <w:i/>
          <w:kern w:val="2"/>
        </w:rPr>
        <w:t>v</w:t>
      </w:r>
      <w:r>
        <w:rPr>
          <w:kern w:val="2"/>
          <w:vertAlign w:val="subscript"/>
        </w:rPr>
        <w:t>b</w:t>
      </w:r>
      <w:r>
        <w:rPr>
          <w:kern w:val="2"/>
        </w:rPr>
        <w:t xml:space="preserve">                                  </w:t>
      </w:r>
      <w:r>
        <w:rPr>
          <w:rFonts w:hint="eastAsia"/>
          <w:kern w:val="2"/>
        </w:rPr>
        <w:t xml:space="preserve">        </w:t>
      </w:r>
      <w:r>
        <w:rPr>
          <w:kern w:val="2"/>
        </w:rPr>
        <w:t xml:space="preserve">                       </w:t>
      </w:r>
      <w:r>
        <w:t>(42)</w:t>
      </w:r>
    </w:p>
    <w:p>
      <w:pPr>
        <w:pStyle w:val="59"/>
      </w:pPr>
      <w:r>
        <w:t>用式</w:t>
      </w:r>
      <w:r>
        <w:rPr>
          <w:rFonts w:hint="eastAsia"/>
        </w:rPr>
        <w:t>（4</w:t>
      </w:r>
      <w:r>
        <w:t>3</w:t>
      </w:r>
      <w:r>
        <w:rPr>
          <w:rFonts w:hint="eastAsia"/>
        </w:rPr>
        <w:t>）</w:t>
      </w:r>
      <w:r>
        <w:t>计算因素内均方</w:t>
      </w:r>
      <w:r>
        <w:rPr>
          <w:i/>
        </w:rPr>
        <w:t>M</w:t>
      </w:r>
      <w:r>
        <w:rPr>
          <w:vertAlign w:val="subscript"/>
        </w:rPr>
        <w:t>w</w:t>
      </w:r>
      <w:r>
        <w:t>：</w:t>
      </w:r>
    </w:p>
    <w:p>
      <w:pPr>
        <w:pStyle w:val="23"/>
        <w:ind w:firstLine="840" w:firstLineChars="400"/>
      </w:pPr>
      <w:r>
        <w:rPr>
          <w:i/>
        </w:rPr>
        <w:t>M</w:t>
      </w:r>
      <w:r>
        <w:rPr>
          <w:vertAlign w:val="subscript"/>
        </w:rPr>
        <w:t>w</w:t>
      </w:r>
      <w:r>
        <w:t xml:space="preserve"> = </w:t>
      </w:r>
      <w:r>
        <w:rPr>
          <w:i/>
        </w:rPr>
        <w:t>S</w:t>
      </w:r>
      <w:r>
        <w:rPr>
          <w:vertAlign w:val="subscript"/>
        </w:rPr>
        <w:t>w</w:t>
      </w:r>
      <w:r>
        <w:t>/</w:t>
      </w:r>
      <w:r>
        <w:rPr>
          <w:i/>
        </w:rPr>
        <w:t>v</w:t>
      </w:r>
      <w:r>
        <w:rPr>
          <w:vertAlign w:val="subscript"/>
        </w:rPr>
        <w:t>w</w:t>
      </w:r>
      <w:r>
        <w:t xml:space="preserve">                                      </w:t>
      </w:r>
      <w:r>
        <w:rPr>
          <w:rFonts w:hint="eastAsia"/>
        </w:rPr>
        <w:t xml:space="preserve">              </w:t>
      </w:r>
      <w:r>
        <w:t xml:space="preserve">                (43)</w:t>
      </w:r>
    </w:p>
    <w:p>
      <w:pPr>
        <w:pStyle w:val="51"/>
        <w:spacing w:before="156" w:after="156"/>
        <w:rPr>
          <w:rFonts w:ascii="宋体" w:hAnsi="宋体" w:eastAsia="宋体"/>
        </w:rPr>
      </w:pPr>
      <w:r>
        <w:rPr>
          <w:rFonts w:hint="eastAsia" w:ascii="宋体" w:hAnsi="宋体" w:eastAsia="宋体"/>
        </w:rPr>
        <w:t>将这些统计值汇总于表</w:t>
      </w:r>
      <w:r>
        <w:rPr>
          <w:rFonts w:ascii="宋体" w:hAnsi="宋体" w:eastAsia="宋体"/>
        </w:rPr>
        <w:t>28</w:t>
      </w:r>
      <w:r>
        <w:rPr>
          <w:rFonts w:hint="eastAsia" w:ascii="宋体" w:hAnsi="宋体" w:eastAsia="宋体"/>
        </w:rPr>
        <w:t>。</w:t>
      </w:r>
    </w:p>
    <w:p>
      <w:pPr>
        <w:pStyle w:val="127"/>
        <w:ind w:left="0"/>
      </w:pPr>
      <w:r>
        <w:rPr>
          <w:rFonts w:hint="eastAsia" w:hAnsi="黑体"/>
        </w:rPr>
        <w:t>单因素统计值汇总</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92"/>
        <w:gridCol w:w="2392"/>
        <w:gridCol w:w="2393"/>
        <w:gridCol w:w="2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hint="eastAsia" w:ascii="宋体" w:hAnsi="宋体"/>
                <w:color w:val="000000"/>
                <w:kern w:val="0"/>
                <w:sz w:val="18"/>
                <w:szCs w:val="18"/>
              </w:rPr>
              <w:t>误差</w:t>
            </w:r>
            <w:r>
              <w:rPr>
                <w:rFonts w:ascii="宋体" w:hAnsi="宋体"/>
                <w:color w:val="000000"/>
                <w:kern w:val="0"/>
                <w:sz w:val="18"/>
                <w:szCs w:val="18"/>
              </w:rPr>
              <w:t>来源</w:t>
            </w:r>
          </w:p>
        </w:tc>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color w:val="000000"/>
                <w:kern w:val="0"/>
                <w:sz w:val="18"/>
                <w:szCs w:val="18"/>
              </w:rPr>
              <w:t>因</w:t>
            </w:r>
            <w:r>
              <w:rPr>
                <w:rFonts w:hint="eastAsia" w:ascii="宋体" w:hAnsi="宋体"/>
                <w:color w:val="000000"/>
                <w:kern w:val="0"/>
                <w:sz w:val="18"/>
                <w:szCs w:val="18"/>
              </w:rPr>
              <w:t>素</w:t>
            </w:r>
            <w:r>
              <w:rPr>
                <w:rFonts w:ascii="宋体" w:hAnsi="宋体"/>
                <w:color w:val="000000"/>
                <w:kern w:val="0"/>
                <w:sz w:val="18"/>
                <w:szCs w:val="18"/>
              </w:rPr>
              <w:t>间</w:t>
            </w:r>
          </w:p>
        </w:tc>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color w:val="000000"/>
                <w:kern w:val="0"/>
                <w:sz w:val="18"/>
                <w:szCs w:val="18"/>
              </w:rPr>
              <w:t>因</w:t>
            </w:r>
            <w:r>
              <w:rPr>
                <w:rFonts w:hint="eastAsia" w:ascii="宋体" w:hAnsi="宋体"/>
                <w:color w:val="000000"/>
                <w:kern w:val="0"/>
                <w:sz w:val="18"/>
                <w:szCs w:val="18"/>
              </w:rPr>
              <w:t>素</w:t>
            </w:r>
            <w:r>
              <w:rPr>
                <w:rFonts w:ascii="宋体" w:hAnsi="宋体"/>
                <w:color w:val="000000"/>
                <w:kern w:val="0"/>
                <w:sz w:val="18"/>
                <w:szCs w:val="18"/>
              </w:rPr>
              <w:t>内</w:t>
            </w:r>
          </w:p>
        </w:tc>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color w:val="000000"/>
                <w:kern w:val="0"/>
                <w:sz w:val="18"/>
                <w:szCs w:val="18"/>
              </w:rPr>
              <w:t>总</w:t>
            </w:r>
            <w:r>
              <w:rPr>
                <w:rFonts w:hint="eastAsia" w:ascii="宋体" w:hAnsi="宋体"/>
                <w:color w:val="000000"/>
                <w:kern w:val="0"/>
                <w:sz w:val="18"/>
                <w:szCs w:val="18"/>
              </w:rPr>
              <w:t>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color w:val="000000"/>
                <w:kern w:val="0"/>
                <w:sz w:val="18"/>
                <w:szCs w:val="18"/>
              </w:rPr>
              <w:t>平方和</w:t>
            </w:r>
          </w:p>
        </w:tc>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i/>
                <w:color w:val="000000"/>
                <w:kern w:val="0"/>
                <w:sz w:val="18"/>
                <w:szCs w:val="18"/>
              </w:rPr>
              <w:t>S</w:t>
            </w:r>
            <w:r>
              <w:rPr>
                <w:rFonts w:ascii="宋体" w:hAnsi="宋体"/>
                <w:color w:val="000000"/>
                <w:kern w:val="0"/>
                <w:sz w:val="18"/>
                <w:szCs w:val="18"/>
                <w:vertAlign w:val="subscript"/>
              </w:rPr>
              <w:t>b</w:t>
            </w:r>
          </w:p>
        </w:tc>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i/>
                <w:color w:val="000000"/>
                <w:kern w:val="0"/>
                <w:sz w:val="18"/>
                <w:szCs w:val="18"/>
              </w:rPr>
              <w:t>S</w:t>
            </w:r>
            <w:r>
              <w:rPr>
                <w:rFonts w:ascii="宋体" w:hAnsi="宋体"/>
                <w:color w:val="000000"/>
                <w:kern w:val="0"/>
                <w:sz w:val="18"/>
                <w:szCs w:val="18"/>
                <w:vertAlign w:val="subscript"/>
              </w:rPr>
              <w:t>w</w:t>
            </w:r>
          </w:p>
        </w:tc>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i/>
                <w:color w:val="000000"/>
                <w:kern w:val="0"/>
                <w:sz w:val="18"/>
                <w:szCs w:val="18"/>
              </w:rPr>
              <w:t>S</w:t>
            </w:r>
            <w:r>
              <w:rPr>
                <w:rFonts w:ascii="宋体" w:hAnsi="宋体"/>
                <w:color w:val="000000"/>
                <w:kern w:val="0"/>
                <w:sz w:val="18"/>
                <w:szCs w:val="18"/>
                <w:vertAlign w:val="subscript"/>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color w:val="000000"/>
                <w:kern w:val="0"/>
                <w:sz w:val="18"/>
                <w:szCs w:val="18"/>
              </w:rPr>
              <w:t>自由度</w:t>
            </w:r>
          </w:p>
        </w:tc>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i/>
                <w:color w:val="000000"/>
                <w:kern w:val="0"/>
                <w:sz w:val="18"/>
                <w:szCs w:val="18"/>
              </w:rPr>
              <w:t>v</w:t>
            </w:r>
            <w:r>
              <w:rPr>
                <w:rFonts w:ascii="宋体" w:hAnsi="宋体"/>
                <w:color w:val="000000"/>
                <w:kern w:val="0"/>
                <w:sz w:val="18"/>
                <w:szCs w:val="18"/>
                <w:vertAlign w:val="subscript"/>
              </w:rPr>
              <w:t>b</w:t>
            </w:r>
          </w:p>
        </w:tc>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i/>
                <w:color w:val="000000"/>
                <w:kern w:val="0"/>
                <w:sz w:val="18"/>
                <w:szCs w:val="18"/>
              </w:rPr>
              <w:t>v</w:t>
            </w:r>
            <w:r>
              <w:rPr>
                <w:rFonts w:ascii="宋体" w:hAnsi="宋体"/>
                <w:color w:val="000000"/>
                <w:kern w:val="0"/>
                <w:sz w:val="18"/>
                <w:szCs w:val="18"/>
                <w:vertAlign w:val="subscript"/>
              </w:rPr>
              <w:t>w</w:t>
            </w:r>
          </w:p>
        </w:tc>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i/>
                <w:color w:val="000000"/>
                <w:kern w:val="0"/>
                <w:sz w:val="18"/>
                <w:szCs w:val="18"/>
              </w:rPr>
              <w:t>v</w:t>
            </w:r>
            <w:r>
              <w:rPr>
                <w:rFonts w:ascii="宋体" w:hAnsi="宋体"/>
                <w:color w:val="000000"/>
                <w:kern w:val="0"/>
                <w:sz w:val="18"/>
                <w:szCs w:val="18"/>
                <w:vertAlign w:val="subscript"/>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color w:val="000000"/>
                <w:kern w:val="0"/>
                <w:sz w:val="18"/>
                <w:szCs w:val="18"/>
              </w:rPr>
              <w:t>均方</w:t>
            </w:r>
          </w:p>
        </w:tc>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i/>
                <w:color w:val="000000"/>
                <w:kern w:val="0"/>
                <w:sz w:val="18"/>
                <w:szCs w:val="18"/>
              </w:rPr>
              <w:t>M</w:t>
            </w:r>
            <w:r>
              <w:rPr>
                <w:rFonts w:ascii="宋体" w:hAnsi="宋体"/>
                <w:color w:val="000000"/>
                <w:kern w:val="0"/>
                <w:sz w:val="18"/>
                <w:szCs w:val="18"/>
                <w:vertAlign w:val="subscript"/>
              </w:rPr>
              <w:t>b</w:t>
            </w:r>
          </w:p>
        </w:tc>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i/>
                <w:color w:val="000000"/>
                <w:kern w:val="0"/>
                <w:sz w:val="18"/>
                <w:szCs w:val="18"/>
              </w:rPr>
              <w:t>M</w:t>
            </w:r>
            <w:r>
              <w:rPr>
                <w:rFonts w:ascii="宋体" w:hAnsi="宋体"/>
                <w:color w:val="000000"/>
                <w:kern w:val="0"/>
                <w:sz w:val="18"/>
                <w:szCs w:val="18"/>
                <w:vertAlign w:val="subscript"/>
              </w:rPr>
              <w:t>w</w:t>
            </w:r>
          </w:p>
        </w:tc>
        <w:tc>
          <w:tcPr>
            <w:tcW w:w="1250" w:type="pct"/>
            <w:tcBorders>
              <w:top w:val="single" w:color="auto" w:sz="4" w:space="0"/>
              <w:left w:val="single" w:color="auto" w:sz="4" w:space="0"/>
              <w:bottom w:val="single" w:color="auto" w:sz="4" w:space="0"/>
              <w:right w:val="single" w:color="auto" w:sz="4" w:space="0"/>
            </w:tcBorders>
          </w:tcPr>
          <w:p>
            <w:pPr>
              <w:widowControl/>
              <w:tabs>
                <w:tab w:val="center" w:pos="4201"/>
                <w:tab w:val="right" w:leader="dot" w:pos="9298"/>
              </w:tabs>
              <w:autoSpaceDE w:val="0"/>
              <w:autoSpaceDN w:val="0"/>
              <w:ind w:firstLine="360" w:firstLineChars="200"/>
              <w:jc w:val="center"/>
              <w:rPr>
                <w:rFonts w:ascii="宋体" w:hAnsi="宋体"/>
                <w:color w:val="000000"/>
                <w:kern w:val="0"/>
                <w:sz w:val="18"/>
                <w:szCs w:val="18"/>
              </w:rPr>
            </w:pPr>
            <w:r>
              <w:rPr>
                <w:rFonts w:ascii="宋体" w:hAnsi="宋体"/>
                <w:i/>
                <w:color w:val="000000"/>
                <w:kern w:val="0"/>
                <w:sz w:val="18"/>
                <w:szCs w:val="18"/>
              </w:rPr>
              <w:t>M</w:t>
            </w:r>
            <w:r>
              <w:rPr>
                <w:rFonts w:ascii="宋体" w:hAnsi="宋体"/>
                <w:color w:val="000000"/>
                <w:kern w:val="0"/>
                <w:sz w:val="18"/>
                <w:szCs w:val="18"/>
                <w:vertAlign w:val="subscript"/>
              </w:rPr>
              <w:t>t</w:t>
            </w:r>
          </w:p>
        </w:tc>
      </w:tr>
    </w:tbl>
    <w:p>
      <w:pPr>
        <w:pStyle w:val="113"/>
        <w:spacing w:before="156" w:beforeLines="50"/>
      </w:pPr>
      <w:r>
        <w:rPr>
          <w:rFonts w:hint="eastAsia"/>
        </w:rPr>
        <w:t>然后将</w:t>
      </w:r>
      <w:r>
        <w:t>Snedecor</w:t>
      </w:r>
      <w:r>
        <w:rPr>
          <w:rFonts w:hint="eastAsia"/>
        </w:rPr>
        <w:t>的</w:t>
      </w:r>
      <w:r>
        <w:rPr>
          <w:i/>
        </w:rPr>
        <w:t>F</w:t>
      </w:r>
      <w:r>
        <w:t>-</w:t>
      </w:r>
      <w:r>
        <w:rPr>
          <w:rFonts w:hint="eastAsia"/>
        </w:rPr>
        <w:t>检验应用于</w:t>
      </w:r>
      <w:r>
        <w:rPr>
          <w:i/>
        </w:rPr>
        <w:t>M</w:t>
      </w:r>
      <w:r>
        <w:rPr>
          <w:vertAlign w:val="subscript"/>
        </w:rPr>
        <w:t>b</w:t>
      </w:r>
      <w:r>
        <w:rPr>
          <w:rFonts w:hint="eastAsia"/>
        </w:rPr>
        <w:t>与</w:t>
      </w:r>
      <w:r>
        <w:rPr>
          <w:i/>
        </w:rPr>
        <w:t>M</w:t>
      </w:r>
      <w:r>
        <w:rPr>
          <w:vertAlign w:val="subscript"/>
        </w:rPr>
        <w:t>w</w:t>
      </w:r>
      <w:r>
        <w:rPr>
          <w:rFonts w:hint="eastAsia"/>
        </w:rPr>
        <w:t>的比值，</w:t>
      </w:r>
      <w:r>
        <w:rPr>
          <w:i/>
        </w:rPr>
        <w:t>v</w:t>
      </w:r>
      <w:r>
        <w:rPr>
          <w:vertAlign w:val="subscript"/>
        </w:rPr>
        <w:t>b</w:t>
      </w:r>
      <w:r>
        <w:rPr>
          <w:rFonts w:hint="eastAsia"/>
        </w:rPr>
        <w:t>为较大均方的自由度，</w:t>
      </w:r>
      <w:r>
        <w:rPr>
          <w:i/>
        </w:rPr>
        <w:t>v</w:t>
      </w:r>
      <w:r>
        <w:rPr>
          <w:vertAlign w:val="subscript"/>
        </w:rPr>
        <w:t>w</w:t>
      </w:r>
      <w:r>
        <w:rPr>
          <w:rFonts w:hint="eastAsia"/>
        </w:rPr>
        <w:t>为较小均方的自由度。</w:t>
      </w:r>
      <w:r>
        <w:t>(</w:t>
      </w:r>
      <w:r>
        <w:rPr>
          <w:rFonts w:hint="eastAsia"/>
        </w:rPr>
        <w:t>显然，当</w:t>
      </w:r>
      <w:r>
        <w:rPr>
          <w:rFonts w:ascii="Times New Roman"/>
          <w:i/>
        </w:rPr>
        <w:t>M</w:t>
      </w:r>
      <w:r>
        <w:rPr>
          <w:rFonts w:ascii="Times New Roman"/>
          <w:vertAlign w:val="subscript"/>
        </w:rPr>
        <w:t>b</w:t>
      </w:r>
      <w:r>
        <w:rPr>
          <w:rFonts w:ascii="Times New Roman"/>
        </w:rPr>
        <w:t xml:space="preserve"> &lt; </w:t>
      </w:r>
      <w:r>
        <w:rPr>
          <w:rFonts w:ascii="Times New Roman"/>
          <w:i/>
        </w:rPr>
        <w:t>M</w:t>
      </w:r>
      <w:r>
        <w:rPr>
          <w:rFonts w:ascii="Times New Roman"/>
          <w:vertAlign w:val="subscript"/>
        </w:rPr>
        <w:t>w</w:t>
      </w:r>
      <w:r>
        <w:rPr>
          <w:rFonts w:ascii="Times New Roman"/>
        </w:rPr>
        <w:t>时，与实验误差相比，因素间的变异不显著，且因素的影响对所测定的性能没有可测量的影响。) 如果</w:t>
      </w:r>
      <w:r>
        <w:rPr>
          <w:rFonts w:ascii="Times New Roman"/>
          <w:i/>
        </w:rPr>
        <w:t>M</w:t>
      </w:r>
      <w:r>
        <w:rPr>
          <w:rFonts w:ascii="Times New Roman"/>
          <w:vertAlign w:val="subscript"/>
        </w:rPr>
        <w:t>b</w:t>
      </w:r>
      <w:r>
        <w:rPr>
          <w:rFonts w:ascii="Times New Roman"/>
        </w:rPr>
        <w:t>/</w:t>
      </w:r>
      <w:r>
        <w:rPr>
          <w:rFonts w:ascii="Times New Roman"/>
          <w:i/>
        </w:rPr>
        <w:t>M</w:t>
      </w:r>
      <w:r>
        <w:rPr>
          <w:rFonts w:ascii="Times New Roman"/>
          <w:vertAlign w:val="subscript"/>
        </w:rPr>
        <w:t>w</w:t>
      </w:r>
      <w:r>
        <w:rPr>
          <w:rFonts w:ascii="Times New Roman"/>
        </w:rPr>
        <w:t xml:space="preserve"> &gt; </w:t>
      </w:r>
      <w:r>
        <w:rPr>
          <w:rFonts w:ascii="Times New Roman"/>
          <w:i/>
        </w:rPr>
        <w:t>F</w:t>
      </w:r>
      <w:r>
        <w:rPr>
          <w:rFonts w:ascii="Times New Roman"/>
        </w:rPr>
        <w:t xml:space="preserve">(5, </w:t>
      </w:r>
      <w:r>
        <w:rPr>
          <w:rFonts w:ascii="Times New Roman"/>
          <w:i/>
        </w:rPr>
        <w:t>v</w:t>
      </w:r>
      <w:r>
        <w:rPr>
          <w:rFonts w:ascii="Times New Roman"/>
          <w:vertAlign w:val="subscript"/>
        </w:rPr>
        <w:t>b</w:t>
      </w:r>
      <w:r>
        <w:rPr>
          <w:rFonts w:ascii="Times New Roman"/>
        </w:rPr>
        <w:t xml:space="preserve">, </w:t>
      </w:r>
      <w:r>
        <w:rPr>
          <w:rFonts w:ascii="Times New Roman"/>
          <w:i/>
        </w:rPr>
        <w:t>v</w:t>
      </w:r>
      <w:r>
        <w:rPr>
          <w:rFonts w:ascii="Times New Roman"/>
          <w:vertAlign w:val="subscript"/>
        </w:rPr>
        <w:t>w</w:t>
      </w:r>
      <w:r>
        <w:rPr>
          <w:rFonts w:ascii="Times New Roman"/>
        </w:rPr>
        <w:t>)，</w:t>
      </w:r>
      <w:r>
        <w:rPr>
          <w:rFonts w:hint="eastAsia"/>
        </w:rPr>
        <w:t>则有</w:t>
      </w:r>
      <w:r>
        <w:t>95%</w:t>
      </w:r>
      <w:r>
        <w:rPr>
          <w:rFonts w:hint="eastAsia"/>
        </w:rPr>
        <w:t>以上的概率，不同水平的因素对性能有显著影响。</w:t>
      </w:r>
    </w:p>
    <w:p>
      <w:pPr>
        <w:pStyle w:val="46"/>
        <w:spacing w:before="156" w:after="156"/>
      </w:pPr>
      <w:r>
        <w:rPr>
          <w:rFonts w:hint="eastAsia"/>
        </w:rPr>
        <w:t>可变观测数的单因素</w:t>
      </w:r>
    </w:p>
    <w:p>
      <w:pPr>
        <w:pStyle w:val="23"/>
      </w:pPr>
      <w:r>
        <w:rPr>
          <w:rFonts w:hint="eastAsia"/>
        </w:rPr>
        <w:t>当平行观测次数对于每个因素水平不像在</w:t>
      </w:r>
      <w:r>
        <w:t>10.2.2</w:t>
      </w:r>
      <w:r>
        <w:rPr>
          <w:rFonts w:hint="eastAsia"/>
        </w:rPr>
        <w:t>中那样是一个常数的时候，还按</w:t>
      </w:r>
      <w:r>
        <w:t>10.2.2</w:t>
      </w:r>
      <w:r>
        <w:rPr>
          <w:rFonts w:hint="eastAsia"/>
        </w:rPr>
        <w:t>那样进行分析，但要做下列修正。</w:t>
      </w:r>
    </w:p>
    <w:p>
      <w:pPr>
        <w:pStyle w:val="23"/>
      </w:pPr>
      <w:r>
        <w:rPr>
          <w:rFonts w:hint="eastAsia"/>
        </w:rPr>
        <w:t>观测总数</w:t>
      </w:r>
      <w:r>
        <w:rPr>
          <w:i/>
        </w:rPr>
        <w:t>N</w:t>
      </w:r>
      <w:r>
        <w:rPr>
          <w:rFonts w:hint="eastAsia"/>
        </w:rPr>
        <w:t>由式（4</w:t>
      </w:r>
      <w:r>
        <w:t>4）</w:t>
      </w:r>
      <w:r>
        <w:rPr>
          <w:rFonts w:hint="eastAsia"/>
        </w:rPr>
        <w:t>给出：</w:t>
      </w:r>
    </w:p>
    <w:p>
      <w:pPr>
        <w:pStyle w:val="23"/>
        <w:ind w:firstLine="840" w:firstLineChars="400"/>
        <w:rPr>
          <w:rFonts w:ascii="Times New Roman"/>
        </w:rPr>
      </w:pPr>
      <m:oMath>
        <m:r>
          <m:rPr/>
          <w:rPr>
            <w:rFonts w:ascii="Cambria Math" w:hAnsi="Cambria Math"/>
          </w:rPr>
          <m:t>N</m:t>
        </m:r>
        <m:r>
          <m:rPr>
            <m:sty m:val="p"/>
          </m:rPr>
          <w:rPr>
            <w:rFonts w:ascii="Cambria Math" w:hAnsi="Cambria Math"/>
          </w:rPr>
          <m:t>=</m:t>
        </m:r>
        <m:nary>
          <m:naryPr>
            <m:chr m:val="∑"/>
            <m:limLoc m:val="undOvr"/>
            <m:ctrlPr>
              <w:rPr>
                <w:rFonts w:ascii="Cambria Math" w:hAnsi="Cambria Math"/>
                <w:szCs w:val="22"/>
              </w:rPr>
            </m:ctrlPr>
          </m:naryPr>
          <m:sub>
            <m:r>
              <m:rPr/>
              <w:rPr>
                <w:rFonts w:ascii="Cambria Math" w:hAnsi="Cambria Math"/>
              </w:rPr>
              <m:t>i=1</m:t>
            </m:r>
            <m:ctrlPr>
              <w:rPr>
                <w:rFonts w:ascii="Cambria Math" w:hAnsi="Cambria Math"/>
                <w:szCs w:val="22"/>
              </w:rPr>
            </m:ctrlPr>
          </m:sub>
          <m:sup>
            <m:r>
              <m:rPr/>
              <w:rPr>
                <w:rFonts w:ascii="Cambria Math" w:hAnsi="Cambria Math"/>
              </w:rPr>
              <m:t>n</m:t>
            </m:r>
            <m:ctrlPr>
              <w:rPr>
                <w:rFonts w:ascii="Cambria Math" w:hAnsi="Cambria Math"/>
                <w:szCs w:val="22"/>
              </w:rPr>
            </m:ctrlPr>
          </m:sup>
          <m:e>
            <m:sSub>
              <m:sSubPr>
                <m:ctrlPr>
                  <w:rPr>
                    <w:rFonts w:ascii="Cambria Math" w:hAnsi="Cambria Math"/>
                    <w:i/>
                    <w:szCs w:val="22"/>
                  </w:rPr>
                </m:ctrlPr>
              </m:sSubPr>
              <m:e>
                <m:r>
                  <m:rPr/>
                  <w:rPr>
                    <w:rFonts w:ascii="Cambria Math" w:hAnsi="Cambria Math"/>
                  </w:rPr>
                  <m:t>r</m:t>
                </m:r>
                <m:ctrlPr>
                  <w:rPr>
                    <w:rFonts w:ascii="Cambria Math" w:hAnsi="Cambria Math"/>
                    <w:i/>
                    <w:szCs w:val="22"/>
                  </w:rPr>
                </m:ctrlPr>
              </m:e>
              <m:sub>
                <m:r>
                  <m:rPr/>
                  <w:rPr>
                    <w:rFonts w:ascii="Cambria Math" w:hAnsi="Cambria Math"/>
                  </w:rPr>
                  <m:t>i</m:t>
                </m:r>
                <m:ctrlPr>
                  <w:rPr>
                    <w:rFonts w:ascii="Cambria Math" w:hAnsi="Cambria Math"/>
                    <w:i/>
                    <w:szCs w:val="22"/>
                  </w:rPr>
                </m:ctrlPr>
              </m:sub>
            </m:sSub>
            <m:ctrlPr>
              <w:rPr>
                <w:rFonts w:ascii="Cambria Math" w:hAnsi="Cambria Math"/>
                <w:szCs w:val="22"/>
              </w:rPr>
            </m:ctrlPr>
          </m:e>
        </m:nary>
      </m:oMath>
      <w:r>
        <w:rPr>
          <w:rFonts w:ascii="Times New Roman"/>
        </w:rPr>
        <w:t xml:space="preserve">               </w:t>
      </w:r>
      <w:r>
        <w:rPr>
          <w:rFonts w:hint="eastAsia" w:ascii="Times New Roman"/>
        </w:rPr>
        <w:t xml:space="preserve">                   </w:t>
      </w:r>
      <w:r>
        <w:rPr>
          <w:rFonts w:ascii="Times New Roman"/>
        </w:rPr>
        <w:t xml:space="preserve">                               (44)</w:t>
      </w:r>
    </w:p>
    <w:p>
      <w:pPr>
        <w:pStyle w:val="23"/>
      </w:pPr>
      <w:r>
        <w:rPr>
          <w:rFonts w:hint="eastAsia"/>
        </w:rPr>
        <w:t>因素间平方和</w:t>
      </w:r>
      <w:r>
        <w:rPr>
          <w:i/>
        </w:rPr>
        <w:t>S</w:t>
      </w:r>
      <w:r>
        <w:rPr>
          <w:vertAlign w:val="subscript"/>
        </w:rPr>
        <w:t>b</w:t>
      </w:r>
      <w:r>
        <w:rPr>
          <w:rFonts w:hint="eastAsia"/>
        </w:rPr>
        <w:t>由式（45） 给出：</w:t>
      </w:r>
    </w:p>
    <w:p>
      <w:pPr>
        <w:pStyle w:val="23"/>
        <w:ind w:firstLine="840" w:firstLineChars="400"/>
        <w:rPr>
          <w:rFonts w:ascii="Times New Roman"/>
        </w:rPr>
      </w:pPr>
      <m:oMath>
        <m:sSub>
          <m:sSubPr>
            <m:ctrlPr>
              <w:rPr>
                <w:rFonts w:ascii="Cambria Math" w:hAnsi="Cambria Math"/>
                <w:szCs w:val="22"/>
              </w:rPr>
            </m:ctrlPr>
          </m:sSubPr>
          <m:e>
            <m:r>
              <m:rPr/>
              <w:rPr>
                <w:rFonts w:ascii="Cambria Math" w:hAnsi="Cambria Math"/>
              </w:rPr>
              <m:t>S</m:t>
            </m:r>
            <m:ctrlPr>
              <w:rPr>
                <w:rFonts w:ascii="Cambria Math" w:hAnsi="Cambria Math"/>
                <w:szCs w:val="22"/>
              </w:rPr>
            </m:ctrlPr>
          </m:e>
          <m:sub>
            <m:r>
              <m:rPr/>
              <w:rPr>
                <w:rFonts w:ascii="Cambria Math" w:hAnsi="Cambria Math"/>
              </w:rPr>
              <m:t>b</m:t>
            </m:r>
            <m:ctrlPr>
              <w:rPr>
                <w:rFonts w:ascii="Cambria Math" w:hAnsi="Cambria Math"/>
                <w:szCs w:val="22"/>
              </w:rPr>
            </m:ctrlPr>
          </m:sub>
        </m:sSub>
        <m:r>
          <m:rPr/>
          <w:rPr>
            <w:rFonts w:ascii="Cambria Math" w:hAnsi="Cambria Math"/>
            <w:szCs w:val="22"/>
          </w:rPr>
          <m:t>=</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f>
              <m:fPr>
                <m:ctrlPr>
                  <w:rPr>
                    <w:rFonts w:ascii="Cambria Math" w:hAnsi="Cambria Math"/>
                    <w:i/>
                    <w:szCs w:val="22"/>
                  </w:rPr>
                </m:ctrlPr>
              </m:fPr>
              <m:num>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t</m:t>
                        </m:r>
                        <m:ctrlPr>
                          <w:rPr>
                            <w:rFonts w:ascii="Cambria Math" w:hAnsi="Cambria Math"/>
                            <w:i/>
                            <w:szCs w:val="22"/>
                          </w:rPr>
                        </m:ctrlPr>
                      </m:e>
                      <m:sub>
                        <m:r>
                          <m:rPr/>
                          <w:rPr>
                            <w:rFonts w:ascii="Cambria Math" w:hAnsi="Cambria Math"/>
                          </w:rPr>
                          <m:t>i</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num>
              <m:den>
                <m:sSub>
                  <m:sSubPr>
                    <m:ctrlPr>
                      <w:rPr>
                        <w:rFonts w:ascii="Cambria Math" w:hAnsi="Cambria Math"/>
                        <w:i/>
                        <w:szCs w:val="22"/>
                      </w:rPr>
                    </m:ctrlPr>
                  </m:sSubPr>
                  <m:e>
                    <m:r>
                      <m:rPr/>
                      <w:rPr>
                        <w:rFonts w:ascii="Cambria Math" w:hAnsi="Cambria Math"/>
                      </w:rPr>
                      <m:t>r</m:t>
                    </m:r>
                    <m:ctrlPr>
                      <w:rPr>
                        <w:rFonts w:ascii="Cambria Math" w:hAnsi="Cambria Math"/>
                        <w:i/>
                        <w:szCs w:val="22"/>
                      </w:rPr>
                    </m:ctrlPr>
                  </m:e>
                  <m:sub>
                    <m:r>
                      <m:rPr/>
                      <w:rPr>
                        <w:rFonts w:ascii="Cambria Math" w:hAnsi="Cambria Math"/>
                      </w:rPr>
                      <m:t>i</m:t>
                    </m:r>
                    <m:ctrlPr>
                      <w:rPr>
                        <w:rFonts w:ascii="Cambria Math" w:hAnsi="Cambria Math"/>
                        <w:i/>
                        <w:szCs w:val="22"/>
                      </w:rPr>
                    </m:ctrlPr>
                  </m:sub>
                </m:sSub>
                <m:ctrlPr>
                  <w:rPr>
                    <w:rFonts w:ascii="Cambria Math" w:hAnsi="Cambria Math"/>
                    <w:i/>
                    <w:szCs w:val="22"/>
                  </w:rPr>
                </m:ctrlPr>
              </m:den>
            </m:f>
            <m:ctrlPr>
              <w:rPr>
                <w:rFonts w:ascii="Cambria Math" w:hAnsi="Cambria Math"/>
                <w:i/>
                <w:szCs w:val="22"/>
              </w:rPr>
            </m:ctrlPr>
          </m:e>
        </m:nary>
        <m:r>
          <m:rPr/>
          <w:rPr>
            <w:rFonts w:ascii="Cambria Math" w:hAnsi="Cambria Math"/>
          </w:rPr>
          <m:t xml:space="preserve">− </m:t>
        </m:r>
        <m:f>
          <m:fPr>
            <m:ctrlPr>
              <w:rPr>
                <w:rFonts w:ascii="Cambria Math" w:hAnsi="Cambria Math"/>
                <w:i/>
                <w:szCs w:val="22"/>
              </w:rPr>
            </m:ctrlPr>
          </m:fPr>
          <m:num>
            <m:r>
              <m:rPr/>
              <w:rPr>
                <w:rFonts w:ascii="Cambria Math" w:hAnsi="Cambria Math"/>
              </w:rPr>
              <m:t>1</m:t>
            </m:r>
            <m:ctrlPr>
              <w:rPr>
                <w:rFonts w:ascii="Cambria Math" w:hAnsi="Cambria Math"/>
                <w:i/>
                <w:szCs w:val="22"/>
              </w:rPr>
            </m:ctrlPr>
          </m:num>
          <m:den>
            <m:r>
              <m:rPr/>
              <w:rPr>
                <w:rFonts w:ascii="Cambria Math" w:hAnsi="Cambria Math"/>
              </w:rPr>
              <m:t>N</m:t>
            </m:r>
            <m:ctrlPr>
              <w:rPr>
                <w:rFonts w:ascii="Cambria Math" w:hAnsi="Cambria Math"/>
                <w:i/>
                <w:szCs w:val="22"/>
              </w:rPr>
            </m:ctrlPr>
          </m:den>
        </m:f>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ij</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nary>
      </m:oMath>
      <w:r>
        <w:rPr>
          <w:rFonts w:ascii="Times New Roman"/>
        </w:rPr>
        <w:t xml:space="preserve">                               </w:t>
      </w:r>
      <w:r>
        <w:rPr>
          <w:rFonts w:hint="eastAsia" w:ascii="Times New Roman"/>
        </w:rPr>
        <w:t xml:space="preserve">                    </w:t>
      </w:r>
      <w:r>
        <w:rPr>
          <w:rFonts w:ascii="Times New Roman"/>
        </w:rPr>
        <w:t xml:space="preserve">         (45)</w:t>
      </w:r>
    </w:p>
    <w:p>
      <w:pPr>
        <w:pStyle w:val="23"/>
      </w:pPr>
      <w:r>
        <w:rPr>
          <w:rFonts w:hint="eastAsia"/>
        </w:rPr>
        <w:t>全部其他因素及</w:t>
      </w:r>
      <w:r>
        <w:rPr>
          <w:i/>
        </w:rPr>
        <w:t>F</w:t>
      </w:r>
      <w:r>
        <w:t>-</w:t>
      </w:r>
      <w:r>
        <w:rPr>
          <w:rFonts w:hint="eastAsia"/>
        </w:rPr>
        <w:t>检验如前述计算。</w:t>
      </w:r>
    </w:p>
    <w:p>
      <w:pPr>
        <w:pStyle w:val="46"/>
        <w:spacing w:before="156" w:after="156"/>
      </w:pPr>
      <w:r>
        <w:rPr>
          <w:rFonts w:hint="eastAsia"/>
        </w:rPr>
        <w:t>双（和多）因素方差分析</w:t>
      </w:r>
    </w:p>
    <w:p>
      <w:pPr>
        <w:pStyle w:val="23"/>
      </w:pPr>
      <w:r>
        <w:rPr>
          <w:rFonts w:hint="eastAsia"/>
        </w:rPr>
        <w:t>随着分析中额外因素的加入，不仅每个因素都有可能影响被测量的性能，而且各因素之间也可以相互影响，产生相互作用</w:t>
      </w:r>
      <w:r>
        <w:t>(</w:t>
      </w:r>
      <w:r>
        <w:rPr>
          <w:rFonts w:hint="eastAsia"/>
        </w:rPr>
        <w:t>协同作用</w:t>
      </w:r>
      <w:r>
        <w:t>)</w:t>
      </w:r>
      <w:r>
        <w:rPr>
          <w:rFonts w:hint="eastAsia"/>
        </w:rPr>
        <w:t>的效果。</w:t>
      </w:r>
    </w:p>
    <w:p>
      <w:pPr>
        <w:pStyle w:val="23"/>
      </w:pPr>
      <w:r>
        <w:rPr>
          <w:rFonts w:hint="eastAsia"/>
        </w:rPr>
        <w:t>一个能说明这一现象的日常生活中的例子就是一杯茶的甜味。它取决于：</w:t>
      </w:r>
    </w:p>
    <w:p>
      <w:pPr>
        <w:pStyle w:val="59"/>
        <w:numPr>
          <w:ilvl w:val="0"/>
          <w:numId w:val="30"/>
        </w:numPr>
      </w:pPr>
      <w:r>
        <w:rPr>
          <w:rFonts w:hint="eastAsia"/>
        </w:rPr>
        <w:t>多少糖加入茶中；以及</w:t>
      </w:r>
    </w:p>
    <w:p>
      <w:pPr>
        <w:pStyle w:val="59"/>
      </w:pPr>
      <w:r>
        <w:rPr>
          <w:rFonts w:hint="eastAsia"/>
        </w:rPr>
        <w:t>这杯茶被搅动的多寡。</w:t>
      </w:r>
    </w:p>
    <w:p>
      <w:pPr>
        <w:pStyle w:val="23"/>
      </w:pPr>
      <w:r>
        <w:rPr>
          <w:rFonts w:hint="eastAsia"/>
        </w:rPr>
        <w:t>尽管按与</w:t>
      </w:r>
      <w:r>
        <w:t>10.2.2</w:t>
      </w:r>
      <w:r>
        <w:rPr>
          <w:rFonts w:hint="eastAsia"/>
        </w:rPr>
        <w:t>或</w:t>
      </w:r>
      <w:r>
        <w:t>10.2.3</w:t>
      </w:r>
      <w:r>
        <w:rPr>
          <w:rFonts w:hint="eastAsia"/>
        </w:rPr>
        <w:t>中描述的方法进行分析，但是详细的过程更复杂，对双因素的分析方法在附录</w:t>
      </w:r>
      <w:r>
        <w:t>G</w:t>
      </w:r>
      <w:r>
        <w:rPr>
          <w:rFonts w:hint="eastAsia"/>
        </w:rPr>
        <w:t>中给出。相同的过程可以扩展至三或更多个因素。附录</w:t>
      </w:r>
      <w:r>
        <w:t>G</w:t>
      </w:r>
      <w:r>
        <w:rPr>
          <w:rFonts w:hint="eastAsia"/>
        </w:rPr>
        <w:t>还说明了如何处理可能有相互作用的三因素分析的平方和。</w:t>
      </w:r>
    </w:p>
    <w:p>
      <w:pPr>
        <w:pStyle w:val="42"/>
      </w:pPr>
      <w:bookmarkStart w:id="236" w:name="_Toc124173946"/>
      <w:r>
        <w:rPr>
          <w:rFonts w:hint="eastAsia"/>
        </w:rPr>
        <w:t>在橡胶试验中的应用</w:t>
      </w:r>
      <w:bookmarkEnd w:id="236"/>
    </w:p>
    <w:p>
      <w:pPr>
        <w:pStyle w:val="63"/>
      </w:pPr>
      <w:r>
        <w:rPr>
          <w:rFonts w:hint="eastAsia"/>
        </w:rPr>
        <w:t>方差分析是一个强大的工具，用于评估橡胶混炼胶中特定组分、加工方法等对其性能的独立影响。</w:t>
      </w:r>
    </w:p>
    <w:p>
      <w:pPr>
        <w:pStyle w:val="63"/>
      </w:pPr>
      <w:r>
        <w:rPr>
          <w:rFonts w:hint="eastAsia"/>
        </w:rPr>
        <w:t>对一系列具有不同炭黑和操作油含量的混炼胶按ISO 4649进行了耐磨试验。预期增加炭黑含量会改善耐磨性能，但增加操作油会更易加工，结果见表29。有必要用这些结果确定这两个因素的显著性程度。</w:t>
      </w:r>
    </w:p>
    <w:p>
      <w:pPr>
        <w:pStyle w:val="127"/>
        <w:ind w:left="0"/>
      </w:pPr>
      <w:r>
        <w:rPr>
          <w:rFonts w:hint="eastAsia" w:ascii="Times New Roman"/>
        </w:rPr>
        <w:t>磨耗体积结果</w:t>
      </w:r>
    </w:p>
    <w:p>
      <w:pPr>
        <w:pStyle w:val="23"/>
        <w:ind w:firstLine="360"/>
        <w:jc w:val="right"/>
      </w:pPr>
      <w:r>
        <w:rPr>
          <w:rFonts w:hint="eastAsia" w:ascii="Times New Roman" w:eastAsia="黑体"/>
          <w:sz w:val="18"/>
          <w:szCs w:val="18"/>
        </w:rPr>
        <w:t>单位：</w:t>
      </w:r>
      <w:r>
        <w:rPr>
          <w:rFonts w:ascii="Times New Roman" w:eastAsia="黑体"/>
          <w:sz w:val="18"/>
          <w:szCs w:val="18"/>
        </w:rPr>
        <w:t>mm</w:t>
      </w:r>
      <w:r>
        <w:rPr>
          <w:rFonts w:ascii="Times New Roman" w:eastAsia="黑体"/>
          <w:sz w:val="18"/>
          <w:szCs w:val="18"/>
          <w:vertAlign w:val="superscript"/>
        </w:rPr>
        <w:t>3</w:t>
      </w:r>
    </w:p>
    <w:tbl>
      <w:tblPr>
        <w:tblStyle w:val="33"/>
        <w:tblW w:w="5000" w:type="pct"/>
        <w:tblInd w:w="0" w:type="dxa"/>
        <w:tblLayout w:type="autofit"/>
        <w:tblCellMar>
          <w:top w:w="0" w:type="dxa"/>
          <w:left w:w="108" w:type="dxa"/>
          <w:bottom w:w="0" w:type="dxa"/>
          <w:right w:w="108" w:type="dxa"/>
        </w:tblCellMar>
      </w:tblPr>
      <w:tblGrid>
        <w:gridCol w:w="1594"/>
        <w:gridCol w:w="1596"/>
        <w:gridCol w:w="1596"/>
        <w:gridCol w:w="1594"/>
        <w:gridCol w:w="1597"/>
        <w:gridCol w:w="1593"/>
      </w:tblGrid>
      <w:tr>
        <w:tblPrEx>
          <w:tblCellMar>
            <w:top w:w="0" w:type="dxa"/>
            <w:left w:w="108" w:type="dxa"/>
            <w:bottom w:w="0" w:type="dxa"/>
            <w:right w:w="108" w:type="dxa"/>
          </w:tblCellMar>
        </w:tblPrEx>
        <w:trPr>
          <w:trHeight w:val="270" w:hRule="atLeast"/>
        </w:trPr>
        <w:tc>
          <w:tcPr>
            <w:tcW w:w="5000" w:type="pct"/>
            <w:gridSpan w:val="6"/>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a)原始结果</w:t>
            </w:r>
          </w:p>
        </w:tc>
      </w:tr>
      <w:tr>
        <w:tblPrEx>
          <w:tblCellMar>
            <w:top w:w="0" w:type="dxa"/>
            <w:left w:w="108" w:type="dxa"/>
            <w:bottom w:w="0" w:type="dxa"/>
            <w:right w:w="108" w:type="dxa"/>
          </w:tblCellMar>
        </w:tblPrEx>
        <w:trPr>
          <w:trHeight w:val="270" w:hRule="atLeast"/>
        </w:trPr>
        <w:tc>
          <w:tcPr>
            <w:tcW w:w="833" w:type="pct"/>
            <w:vMerge w:val="restar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结果</w:t>
            </w:r>
          </w:p>
        </w:tc>
        <w:tc>
          <w:tcPr>
            <w:tcW w:w="834" w:type="pct"/>
            <w:vMerge w:val="restar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油水平（含量）</w:t>
            </w:r>
          </w:p>
        </w:tc>
        <w:tc>
          <w:tcPr>
            <w:tcW w:w="3334" w:type="pct"/>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炭黑水平（含量）</w:t>
            </w:r>
          </w:p>
        </w:tc>
      </w:tr>
      <w:tr>
        <w:tblPrEx>
          <w:tblCellMar>
            <w:top w:w="0" w:type="dxa"/>
            <w:left w:w="108" w:type="dxa"/>
            <w:bottom w:w="0" w:type="dxa"/>
            <w:right w:w="108" w:type="dxa"/>
          </w:tblCellMar>
        </w:tblPrEx>
        <w:trPr>
          <w:trHeight w:val="270" w:hRule="atLeast"/>
        </w:trPr>
        <w:tc>
          <w:tcPr>
            <w:tcW w:w="8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34" w:type="pct"/>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r>
      <w:tr>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4"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273</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256</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188</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34" w:type="pct"/>
            <w:tcBorders>
              <w:top w:val="nil"/>
              <w:left w:val="nil"/>
              <w:bottom w:val="nil"/>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233</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262</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215</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195</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4" w:type="pct"/>
            <w:tcBorders>
              <w:top w:val="nil"/>
              <w:left w:val="nil"/>
              <w:bottom w:val="single" w:color="auto" w:sz="4" w:space="0"/>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273</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242</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261</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177</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4"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288</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257</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244</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242</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34" w:type="pct"/>
            <w:tcBorders>
              <w:top w:val="nil"/>
              <w:left w:val="nil"/>
              <w:bottom w:val="nil"/>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260</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271</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229</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203</w:t>
            </w:r>
          </w:p>
        </w:tc>
      </w:tr>
      <w:tr>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4" w:type="pct"/>
            <w:tcBorders>
              <w:top w:val="nil"/>
              <w:left w:val="nil"/>
              <w:bottom w:val="single" w:color="auto" w:sz="4" w:space="0"/>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313</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311</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245</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201</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4"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269</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247</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249</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217</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34" w:type="pct"/>
            <w:tcBorders>
              <w:top w:val="nil"/>
              <w:left w:val="nil"/>
              <w:bottom w:val="nil"/>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317</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253</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215</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4" w:type="pct"/>
            <w:tcBorders>
              <w:top w:val="nil"/>
              <w:left w:val="nil"/>
              <w:bottom w:val="single" w:color="auto" w:sz="4" w:space="0"/>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245</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262</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232</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203</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4"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231</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222</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230</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34" w:type="pct"/>
            <w:tcBorders>
              <w:top w:val="nil"/>
              <w:left w:val="nil"/>
              <w:bottom w:val="nil"/>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298</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307</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227</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214</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4" w:type="pct"/>
            <w:tcBorders>
              <w:top w:val="nil"/>
              <w:left w:val="nil"/>
              <w:bottom w:val="single" w:color="auto" w:sz="4" w:space="0"/>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287</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278</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203</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242</w:t>
            </w:r>
          </w:p>
        </w:tc>
      </w:tr>
      <w:tr>
        <w:tblPrEx>
          <w:tblCellMar>
            <w:top w:w="0" w:type="dxa"/>
            <w:left w:w="108" w:type="dxa"/>
            <w:bottom w:w="0" w:type="dxa"/>
            <w:right w:w="108" w:type="dxa"/>
          </w:tblCellMar>
        </w:tblPrEx>
        <w:trPr>
          <w:trHeight w:val="270" w:hRule="atLeast"/>
        </w:trPr>
        <w:tc>
          <w:tcPr>
            <w:tcW w:w="5000" w:type="pct"/>
            <w:gridSpan w:val="6"/>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b) 调整后的结果</w:t>
            </w:r>
          </w:p>
        </w:tc>
      </w:tr>
      <w:tr>
        <w:trPr>
          <w:trHeight w:val="270" w:hRule="atLeast"/>
        </w:trPr>
        <w:tc>
          <w:tcPr>
            <w:tcW w:w="833" w:type="pct"/>
            <w:vMerge w:val="restar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结果</w:t>
            </w:r>
          </w:p>
        </w:tc>
        <w:tc>
          <w:tcPr>
            <w:tcW w:w="834" w:type="pct"/>
            <w:vMerge w:val="restar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油水平（含量）</w:t>
            </w:r>
          </w:p>
        </w:tc>
        <w:tc>
          <w:tcPr>
            <w:tcW w:w="3334" w:type="pct"/>
            <w:gridSpan w:val="4"/>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炭黑水平（含量）</w:t>
            </w:r>
          </w:p>
        </w:tc>
      </w:tr>
      <w:tr>
        <w:trPr>
          <w:trHeight w:val="270" w:hRule="atLeast"/>
        </w:trPr>
        <w:tc>
          <w:tcPr>
            <w:tcW w:w="833"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34" w:type="pct"/>
            <w:vMerge w:val="continue"/>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60</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120</w:t>
            </w:r>
          </w:p>
        </w:tc>
      </w:tr>
      <w:tr>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4"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2.73</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2.56</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w:t>
            </w:r>
            <w:r>
              <w:rPr>
                <w:rFonts w:hint="eastAsia" w:ascii="宋体" w:hAnsi="宋体" w:cs="宋体"/>
                <w:color w:val="000000"/>
                <w:kern w:val="0"/>
                <w:sz w:val="18"/>
                <w:szCs w:val="18"/>
              </w:rPr>
              <w:t>88</w:t>
            </w:r>
          </w:p>
        </w:tc>
      </w:tr>
      <w:tr>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34" w:type="pct"/>
            <w:tcBorders>
              <w:top w:val="nil"/>
              <w:left w:val="nil"/>
              <w:bottom w:val="nil"/>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2.33</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2.62</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2.15</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w:t>
            </w:r>
            <w:r>
              <w:rPr>
                <w:rFonts w:hint="eastAsia" w:ascii="宋体" w:hAnsi="宋体" w:cs="宋体"/>
                <w:color w:val="000000"/>
                <w:kern w:val="0"/>
                <w:sz w:val="18"/>
                <w:szCs w:val="18"/>
              </w:rPr>
              <w:t>95</w:t>
            </w:r>
          </w:p>
        </w:tc>
      </w:tr>
      <w:tr>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4" w:type="pct"/>
            <w:tcBorders>
              <w:top w:val="nil"/>
              <w:left w:val="nil"/>
              <w:bottom w:val="single" w:color="auto" w:sz="4" w:space="0"/>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2.73</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2.42</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2.61</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w:t>
            </w:r>
            <w:r>
              <w:rPr>
                <w:rFonts w:hint="eastAsia" w:ascii="宋体" w:hAnsi="宋体" w:cs="宋体"/>
                <w:color w:val="000000"/>
                <w:kern w:val="0"/>
                <w:sz w:val="18"/>
                <w:szCs w:val="18"/>
              </w:rPr>
              <w:t>77</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4"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2.88</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2.57</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2.44</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2.42</w:t>
            </w:r>
          </w:p>
        </w:tc>
      </w:tr>
      <w:tr>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34" w:type="pct"/>
            <w:tcBorders>
              <w:top w:val="nil"/>
              <w:left w:val="nil"/>
              <w:bottom w:val="nil"/>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2.60</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2.71</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2.29</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2.03</w:t>
            </w:r>
          </w:p>
        </w:tc>
      </w:tr>
      <w:tr>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4" w:type="pct"/>
            <w:tcBorders>
              <w:top w:val="nil"/>
              <w:left w:val="nil"/>
              <w:bottom w:val="single" w:color="auto" w:sz="4" w:space="0"/>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w:t>
            </w:r>
            <w:r>
              <w:rPr>
                <w:rFonts w:hint="eastAsia" w:ascii="宋体" w:hAnsi="宋体" w:cs="宋体"/>
                <w:color w:val="000000"/>
                <w:kern w:val="0"/>
                <w:sz w:val="18"/>
                <w:szCs w:val="18"/>
              </w:rPr>
              <w:t>13</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w:t>
            </w:r>
            <w:r>
              <w:rPr>
                <w:rFonts w:hint="eastAsia" w:ascii="宋体" w:hAnsi="宋体" w:cs="宋体"/>
                <w:color w:val="000000"/>
                <w:kern w:val="0"/>
                <w:sz w:val="18"/>
                <w:szCs w:val="18"/>
              </w:rPr>
              <w:t>11</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2.45</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2.01</w:t>
            </w:r>
          </w:p>
        </w:tc>
      </w:tr>
      <w:tr>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4"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2.69</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2.47</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2.49</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2.17</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34" w:type="pct"/>
            <w:tcBorders>
              <w:top w:val="nil"/>
              <w:left w:val="nil"/>
              <w:bottom w:val="nil"/>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w:t>
            </w:r>
            <w:r>
              <w:rPr>
                <w:rFonts w:hint="eastAsia" w:ascii="宋体" w:hAnsi="宋体" w:cs="宋体"/>
                <w:color w:val="000000"/>
                <w:kern w:val="0"/>
                <w:sz w:val="18"/>
                <w:szCs w:val="18"/>
              </w:rPr>
              <w:t>17</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2.53</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2.15</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4" w:type="pct"/>
            <w:tcBorders>
              <w:top w:val="nil"/>
              <w:left w:val="nil"/>
              <w:bottom w:val="single" w:color="auto" w:sz="4" w:space="0"/>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2.45</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2.62</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2.32</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2.03</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34"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2.31</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2.70</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2.22</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2.30</w:t>
            </w:r>
          </w:p>
        </w:tc>
      </w:tr>
      <w:tr>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34" w:type="pct"/>
            <w:tcBorders>
              <w:top w:val="nil"/>
              <w:left w:val="nil"/>
              <w:bottom w:val="nil"/>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2.98</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r>
              <w:rPr>
                <w:rFonts w:ascii="宋体" w:hAnsi="宋体" w:cs="宋体"/>
                <w:color w:val="000000"/>
                <w:kern w:val="0"/>
                <w:sz w:val="18"/>
                <w:szCs w:val="18"/>
              </w:rPr>
              <w:t>.</w:t>
            </w:r>
            <w:r>
              <w:rPr>
                <w:rFonts w:hint="eastAsia" w:ascii="宋体" w:hAnsi="宋体" w:cs="宋体"/>
                <w:color w:val="000000"/>
                <w:kern w:val="0"/>
                <w:sz w:val="18"/>
                <w:szCs w:val="18"/>
              </w:rPr>
              <w:t>07</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2.27</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2.14</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834" w:type="pct"/>
            <w:tcBorders>
              <w:top w:val="nil"/>
              <w:left w:val="nil"/>
              <w:bottom w:val="single" w:color="auto" w:sz="4" w:space="0"/>
              <w:right w:val="single" w:color="auto" w:sz="4" w:space="0"/>
            </w:tcBorders>
            <w:noWrap/>
            <w:vAlign w:val="center"/>
          </w:tcPr>
          <w:p>
            <w:pPr>
              <w:widowControl/>
              <w:jc w:val="left"/>
              <w:rPr>
                <w:rFonts w:ascii="Calibri" w:hAnsi="Calibri"/>
                <w:szCs w:val="22"/>
              </w:rPr>
            </w:pP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2.87</w:t>
            </w:r>
          </w:p>
        </w:tc>
        <w:tc>
          <w:tcPr>
            <w:tcW w:w="83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2.78</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2.03</w:t>
            </w:r>
          </w:p>
        </w:tc>
        <w:tc>
          <w:tcPr>
            <w:tcW w:w="8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2.42</w:t>
            </w:r>
          </w:p>
        </w:tc>
      </w:tr>
      <w:tr>
        <w:tblPrEx>
          <w:tblCellMar>
            <w:top w:w="0" w:type="dxa"/>
            <w:left w:w="108" w:type="dxa"/>
            <w:bottom w:w="0" w:type="dxa"/>
            <w:right w:w="108" w:type="dxa"/>
          </w:tblCellMar>
        </w:tblPrEx>
        <w:trPr>
          <w:trHeight w:val="270" w:hRule="atLeast"/>
        </w:trPr>
        <w:tc>
          <w:tcPr>
            <w:tcW w:w="5000" w:type="pct"/>
            <w:gridSpan w:val="6"/>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注：在b)中的调整后的结果是原始数据除以100后的结果，这样做是为了便利用小数字制表。 　</w:t>
            </w:r>
          </w:p>
        </w:tc>
      </w:tr>
    </w:tbl>
    <w:p>
      <w:pPr>
        <w:pStyle w:val="23"/>
      </w:pPr>
    </w:p>
    <w:p>
      <w:pPr>
        <w:pStyle w:val="63"/>
      </w:pPr>
      <w:r>
        <w:rPr>
          <w:rFonts w:hint="eastAsia"/>
        </w:rPr>
        <w:t>将G.1中描述的计算步骤用于调整后的结果，制成表30。</w:t>
      </w:r>
    </w:p>
    <w:p>
      <w:pPr>
        <w:pStyle w:val="127"/>
        <w:ind w:left="0"/>
        <w:rPr>
          <w:rFonts w:ascii="Times New Roman"/>
        </w:rPr>
      </w:pPr>
      <w:r>
        <w:rPr>
          <w:rFonts w:hint="eastAsia" w:ascii="Times New Roman"/>
        </w:rPr>
        <w:t>和之表</w:t>
      </w:r>
    </w:p>
    <w:tbl>
      <w:tblPr>
        <w:tblStyle w:val="33"/>
        <w:tblW w:w="5000" w:type="pct"/>
        <w:tblInd w:w="0" w:type="dxa"/>
        <w:tblLayout w:type="autofit"/>
        <w:tblCellMar>
          <w:top w:w="0" w:type="dxa"/>
          <w:left w:w="108" w:type="dxa"/>
          <w:bottom w:w="0" w:type="dxa"/>
          <w:right w:w="108" w:type="dxa"/>
        </w:tblCellMar>
      </w:tblPr>
      <w:tblGrid>
        <w:gridCol w:w="1988"/>
        <w:gridCol w:w="1631"/>
        <w:gridCol w:w="1271"/>
        <w:gridCol w:w="1631"/>
        <w:gridCol w:w="1453"/>
        <w:gridCol w:w="1596"/>
      </w:tblGrid>
      <w:tr>
        <w:tblPrEx>
          <w:tblCellMar>
            <w:top w:w="0" w:type="dxa"/>
            <w:left w:w="108" w:type="dxa"/>
            <w:bottom w:w="0" w:type="dxa"/>
            <w:right w:w="108" w:type="dxa"/>
          </w:tblCellMar>
        </w:tblPrEx>
        <w:trPr>
          <w:trHeight w:val="270" w:hRule="atLeast"/>
        </w:trPr>
        <w:tc>
          <w:tcPr>
            <w:tcW w:w="1039"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油水平（含量）</w:t>
            </w:r>
          </w:p>
          <w:p>
            <w:pPr>
              <w:jc w:val="center"/>
              <w:rPr>
                <w:color w:val="000000"/>
                <w:kern w:val="0"/>
                <w:sz w:val="18"/>
                <w:szCs w:val="18"/>
              </w:rPr>
            </w:pPr>
            <w:r>
              <w:rPr>
                <w:color w:val="000000"/>
                <w:kern w:val="0"/>
                <w:sz w:val="18"/>
                <w:szCs w:val="18"/>
              </w:rPr>
              <w:t>(</w:t>
            </w:r>
            <w:r>
              <w:rPr>
                <w:rFonts w:hint="eastAsia"/>
                <w:color w:val="000000"/>
                <w:kern w:val="0"/>
                <w:sz w:val="18"/>
                <w:szCs w:val="18"/>
              </w:rPr>
              <w:t>因素</w:t>
            </w:r>
            <w:r>
              <w:rPr>
                <w:color w:val="000000"/>
                <w:kern w:val="0"/>
                <w:sz w:val="18"/>
                <w:szCs w:val="18"/>
              </w:rPr>
              <w:t xml:space="preserve"> B)</w:t>
            </w:r>
          </w:p>
        </w:tc>
        <w:tc>
          <w:tcPr>
            <w:tcW w:w="3127" w:type="pct"/>
            <w:gridSpan w:val="4"/>
            <w:tcBorders>
              <w:top w:val="single" w:color="auto" w:sz="4" w:space="0"/>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炭黑水平（含量）</w:t>
            </w:r>
            <w:r>
              <w:rPr>
                <w:color w:val="000000"/>
                <w:kern w:val="0"/>
                <w:sz w:val="18"/>
                <w:szCs w:val="18"/>
              </w:rPr>
              <w:t xml:space="preserve"> (</w:t>
            </w:r>
            <w:r>
              <w:rPr>
                <w:rFonts w:hint="eastAsia"/>
                <w:color w:val="000000"/>
                <w:kern w:val="0"/>
                <w:sz w:val="18"/>
                <w:szCs w:val="18"/>
              </w:rPr>
              <w:t>因素</w:t>
            </w:r>
            <w:r>
              <w:rPr>
                <w:color w:val="000000"/>
                <w:kern w:val="0"/>
                <w:sz w:val="18"/>
                <w:szCs w:val="18"/>
              </w:rPr>
              <w:t xml:space="preserve"> A)</w:t>
            </w:r>
          </w:p>
        </w:tc>
        <w:tc>
          <w:tcPr>
            <w:tcW w:w="834" w:type="pct"/>
            <w:tcBorders>
              <w:top w:val="single" w:color="auto" w:sz="4" w:space="0"/>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A</w:t>
            </w:r>
            <w:r>
              <w:rPr>
                <w:rFonts w:hint="eastAsia"/>
                <w:color w:val="000000"/>
                <w:kern w:val="0"/>
                <w:sz w:val="18"/>
                <w:szCs w:val="18"/>
              </w:rPr>
              <w:t>之和</w:t>
            </w:r>
          </w:p>
        </w:tc>
      </w:tr>
      <w:tr>
        <w:tblPrEx>
          <w:tblCellMar>
            <w:top w:w="0" w:type="dxa"/>
            <w:left w:w="108" w:type="dxa"/>
            <w:bottom w:w="0" w:type="dxa"/>
            <w:right w:w="108" w:type="dxa"/>
          </w:tblCellMar>
        </w:tblPrEx>
        <w:trPr>
          <w:trHeight w:val="270" w:hRule="atLeast"/>
        </w:trPr>
        <w:tc>
          <w:tcPr>
            <w:tcW w:w="103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18"/>
                <w:szCs w:val="18"/>
              </w:rPr>
            </w:pPr>
          </w:p>
        </w:tc>
        <w:tc>
          <w:tcPr>
            <w:tcW w:w="852"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60</w:t>
            </w:r>
          </w:p>
        </w:tc>
        <w:tc>
          <w:tcPr>
            <w:tcW w:w="664"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80</w:t>
            </w:r>
          </w:p>
        </w:tc>
        <w:tc>
          <w:tcPr>
            <w:tcW w:w="852"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100</w:t>
            </w:r>
          </w:p>
        </w:tc>
        <w:tc>
          <w:tcPr>
            <w:tcW w:w="759"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120</w:t>
            </w:r>
          </w:p>
        </w:tc>
        <w:tc>
          <w:tcPr>
            <w:tcW w:w="834"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w:t>
            </w:r>
            <w:r>
              <w:rPr>
                <w:color w:val="000000"/>
                <w:kern w:val="0"/>
                <w:sz w:val="18"/>
                <w:szCs w:val="18"/>
                <w:vertAlign w:val="subscript"/>
              </w:rPr>
              <w:t>B</w:t>
            </w:r>
            <w:r>
              <w:rPr>
                <w:i/>
                <w:color w:val="000000"/>
                <w:kern w:val="0"/>
                <w:sz w:val="18"/>
                <w:szCs w:val="18"/>
              </w:rPr>
              <w:t>X</w:t>
            </w:r>
            <w:r>
              <w:rPr>
                <w:color w:val="000000"/>
                <w:kern w:val="0"/>
                <w:sz w:val="18"/>
                <w:szCs w:val="18"/>
                <w:vertAlign w:val="subscript"/>
              </w:rPr>
              <w:t>j</w:t>
            </w:r>
            <w:r>
              <w:rPr>
                <w:color w:val="000000"/>
                <w:kern w:val="0"/>
                <w:sz w:val="18"/>
                <w:szCs w:val="18"/>
              </w:rPr>
              <w:t>)</w:t>
            </w:r>
          </w:p>
        </w:tc>
      </w:tr>
      <w:tr>
        <w:tblPrEx>
          <w:tblCellMar>
            <w:top w:w="0" w:type="dxa"/>
            <w:left w:w="108" w:type="dxa"/>
            <w:bottom w:w="0" w:type="dxa"/>
            <w:right w:w="108" w:type="dxa"/>
          </w:tblCellMar>
        </w:tblPrEx>
        <w:trPr>
          <w:trHeight w:val="270" w:hRule="atLeast"/>
        </w:trPr>
        <w:tc>
          <w:tcPr>
            <w:tcW w:w="103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0</w:t>
            </w:r>
          </w:p>
        </w:tc>
        <w:tc>
          <w:tcPr>
            <w:tcW w:w="852"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7.79</w:t>
            </w:r>
          </w:p>
        </w:tc>
        <w:tc>
          <w:tcPr>
            <w:tcW w:w="664"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7.60</w:t>
            </w:r>
          </w:p>
        </w:tc>
        <w:tc>
          <w:tcPr>
            <w:tcW w:w="852"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6.78</w:t>
            </w:r>
          </w:p>
        </w:tc>
        <w:tc>
          <w:tcPr>
            <w:tcW w:w="759"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5.60</w:t>
            </w:r>
          </w:p>
        </w:tc>
        <w:tc>
          <w:tcPr>
            <w:tcW w:w="834"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27.77</w:t>
            </w:r>
          </w:p>
        </w:tc>
      </w:tr>
      <w:tr>
        <w:tblPrEx>
          <w:tblCellMar>
            <w:top w:w="0" w:type="dxa"/>
            <w:left w:w="108" w:type="dxa"/>
            <w:bottom w:w="0" w:type="dxa"/>
            <w:right w:w="108" w:type="dxa"/>
          </w:tblCellMar>
        </w:tblPrEx>
        <w:trPr>
          <w:trHeight w:val="270" w:hRule="atLeast"/>
        </w:trPr>
        <w:tc>
          <w:tcPr>
            <w:tcW w:w="103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5</w:t>
            </w:r>
          </w:p>
        </w:tc>
        <w:tc>
          <w:tcPr>
            <w:tcW w:w="852"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8.61</w:t>
            </w:r>
          </w:p>
        </w:tc>
        <w:tc>
          <w:tcPr>
            <w:tcW w:w="664"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8.39</w:t>
            </w:r>
          </w:p>
        </w:tc>
        <w:tc>
          <w:tcPr>
            <w:tcW w:w="852"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7.18</w:t>
            </w:r>
          </w:p>
        </w:tc>
        <w:tc>
          <w:tcPr>
            <w:tcW w:w="759"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6.46</w:t>
            </w:r>
          </w:p>
        </w:tc>
        <w:tc>
          <w:tcPr>
            <w:tcW w:w="834"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30.64</w:t>
            </w:r>
          </w:p>
        </w:tc>
      </w:tr>
      <w:tr>
        <w:tblPrEx>
          <w:tblCellMar>
            <w:top w:w="0" w:type="dxa"/>
            <w:left w:w="108" w:type="dxa"/>
            <w:bottom w:w="0" w:type="dxa"/>
            <w:right w:w="108" w:type="dxa"/>
          </w:tblCellMar>
        </w:tblPrEx>
        <w:trPr>
          <w:trHeight w:val="270" w:hRule="atLeast"/>
        </w:trPr>
        <w:tc>
          <w:tcPr>
            <w:tcW w:w="103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10</w:t>
            </w:r>
          </w:p>
        </w:tc>
        <w:tc>
          <w:tcPr>
            <w:tcW w:w="852"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8.31</w:t>
            </w:r>
          </w:p>
        </w:tc>
        <w:tc>
          <w:tcPr>
            <w:tcW w:w="664"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7.62</w:t>
            </w:r>
          </w:p>
        </w:tc>
        <w:tc>
          <w:tcPr>
            <w:tcW w:w="852"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7.01</w:t>
            </w:r>
          </w:p>
        </w:tc>
        <w:tc>
          <w:tcPr>
            <w:tcW w:w="759"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6.35</w:t>
            </w:r>
          </w:p>
        </w:tc>
        <w:tc>
          <w:tcPr>
            <w:tcW w:w="834"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29.29</w:t>
            </w:r>
          </w:p>
        </w:tc>
      </w:tr>
      <w:tr>
        <w:tblPrEx>
          <w:tblCellMar>
            <w:top w:w="0" w:type="dxa"/>
            <w:left w:w="108" w:type="dxa"/>
            <w:bottom w:w="0" w:type="dxa"/>
            <w:right w:w="108" w:type="dxa"/>
          </w:tblCellMar>
        </w:tblPrEx>
        <w:trPr>
          <w:trHeight w:val="270" w:hRule="atLeast"/>
        </w:trPr>
        <w:tc>
          <w:tcPr>
            <w:tcW w:w="103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20</w:t>
            </w:r>
          </w:p>
        </w:tc>
        <w:tc>
          <w:tcPr>
            <w:tcW w:w="852"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8.16</w:t>
            </w:r>
          </w:p>
        </w:tc>
        <w:tc>
          <w:tcPr>
            <w:tcW w:w="664"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8.55</w:t>
            </w:r>
          </w:p>
        </w:tc>
        <w:tc>
          <w:tcPr>
            <w:tcW w:w="852"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6.52</w:t>
            </w:r>
          </w:p>
        </w:tc>
        <w:tc>
          <w:tcPr>
            <w:tcW w:w="759"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6.86</w:t>
            </w:r>
          </w:p>
        </w:tc>
        <w:tc>
          <w:tcPr>
            <w:tcW w:w="834"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30.09</w:t>
            </w:r>
          </w:p>
        </w:tc>
      </w:tr>
      <w:tr>
        <w:tblPrEx>
          <w:tblCellMar>
            <w:top w:w="0" w:type="dxa"/>
            <w:left w:w="108" w:type="dxa"/>
            <w:bottom w:w="0" w:type="dxa"/>
            <w:right w:w="108" w:type="dxa"/>
          </w:tblCellMar>
        </w:tblPrEx>
        <w:trPr>
          <w:trHeight w:val="270" w:hRule="atLeast"/>
        </w:trPr>
        <w:tc>
          <w:tcPr>
            <w:tcW w:w="103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rFonts w:ascii="Tahoma" w:hAnsi="Tahoma" w:cs="Tahoma"/>
                <w:color w:val="000000"/>
                <w:kern w:val="0"/>
                <w:sz w:val="18"/>
                <w:szCs w:val="18"/>
              </w:rPr>
              <w:t>﻿</w:t>
            </w:r>
            <w:r>
              <w:rPr>
                <w:color w:val="000000"/>
                <w:kern w:val="0"/>
                <w:sz w:val="18"/>
                <w:szCs w:val="18"/>
              </w:rPr>
              <w:t>B</w:t>
            </w:r>
            <w:r>
              <w:rPr>
                <w:rFonts w:hint="eastAsia"/>
                <w:color w:val="000000"/>
                <w:kern w:val="0"/>
                <w:sz w:val="18"/>
                <w:szCs w:val="18"/>
              </w:rPr>
              <w:t>之和</w:t>
            </w:r>
            <w:r>
              <w:rPr>
                <w:color w:val="000000"/>
                <w:kern w:val="0"/>
                <w:sz w:val="18"/>
                <w:szCs w:val="18"/>
              </w:rPr>
              <w:t xml:space="preserve"> (</w:t>
            </w:r>
            <w:r>
              <w:rPr>
                <w:color w:val="000000"/>
                <w:kern w:val="0"/>
                <w:sz w:val="18"/>
                <w:szCs w:val="18"/>
                <w:vertAlign w:val="subscript"/>
              </w:rPr>
              <w:t>A</w:t>
            </w:r>
            <w:r>
              <w:rPr>
                <w:i/>
                <w:color w:val="000000"/>
                <w:kern w:val="0"/>
                <w:sz w:val="18"/>
                <w:szCs w:val="18"/>
              </w:rPr>
              <w:t>X</w:t>
            </w:r>
            <w:r>
              <w:rPr>
                <w:color w:val="000000"/>
                <w:kern w:val="0"/>
                <w:sz w:val="18"/>
                <w:szCs w:val="18"/>
                <w:vertAlign w:val="subscript"/>
              </w:rPr>
              <w:t>i</w:t>
            </w:r>
            <w:r>
              <w:rPr>
                <w:color w:val="000000"/>
                <w:kern w:val="0"/>
                <w:sz w:val="18"/>
                <w:szCs w:val="18"/>
              </w:rPr>
              <w:t>)</w:t>
            </w:r>
          </w:p>
        </w:tc>
        <w:tc>
          <w:tcPr>
            <w:tcW w:w="852"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32.87</w:t>
            </w:r>
          </w:p>
        </w:tc>
        <w:tc>
          <w:tcPr>
            <w:tcW w:w="664"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32.16</w:t>
            </w:r>
          </w:p>
        </w:tc>
        <w:tc>
          <w:tcPr>
            <w:tcW w:w="852"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27.49</w:t>
            </w:r>
          </w:p>
        </w:tc>
        <w:tc>
          <w:tcPr>
            <w:tcW w:w="759"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25.27</w:t>
            </w:r>
          </w:p>
        </w:tc>
        <w:tc>
          <w:tcPr>
            <w:tcW w:w="834" w:type="pct"/>
            <w:tcBorders>
              <w:top w:val="nil"/>
              <w:left w:val="nil"/>
              <w:bottom w:val="single" w:color="auto" w:sz="4" w:space="0"/>
              <w:right w:val="single" w:color="auto" w:sz="4" w:space="0"/>
            </w:tcBorders>
            <w:noWrap/>
            <w:vAlign w:val="center"/>
          </w:tcPr>
          <w:p>
            <w:pPr>
              <w:widowControl/>
              <w:jc w:val="left"/>
              <w:rPr>
                <w:rFonts w:ascii="Calibri" w:hAnsi="Calibri"/>
                <w:szCs w:val="22"/>
              </w:rPr>
            </w:pPr>
          </w:p>
        </w:tc>
      </w:tr>
    </w:tbl>
    <w:p>
      <w:pPr>
        <w:pStyle w:val="23"/>
      </w:pPr>
    </w:p>
    <w:p>
      <w:pPr>
        <w:pStyle w:val="23"/>
      </w:pPr>
      <w:r>
        <w:rPr>
          <w:rFonts w:hint="eastAsia"/>
        </w:rPr>
        <w:t>下列因素从表29和表30取得：</w:t>
      </w:r>
    </w:p>
    <w:p>
      <w:pPr>
        <w:pStyle w:val="48"/>
        <w:rPr>
          <w:rFonts w:hAnsi="宋体"/>
        </w:rPr>
      </w:pPr>
      <w:r>
        <w:rPr>
          <w:rFonts w:hint="eastAsia" w:hAnsi="宋体"/>
        </w:rPr>
        <w:t>因素T               =</w:t>
      </w:r>
      <w:r>
        <w:rPr>
          <w:rFonts w:hAnsi="宋体"/>
          <w:color w:val="FF0000"/>
          <w:highlight w:val="yellow"/>
        </w:rPr>
        <w:t>1</w:t>
      </w:r>
      <w:r>
        <w:rPr>
          <w:rFonts w:hint="eastAsia" w:hAnsi="宋体"/>
          <w:highlight w:val="yellow"/>
        </w:rPr>
        <w:t>17.79</w:t>
      </w:r>
      <w:r>
        <w:rPr>
          <w:rFonts w:hint="eastAsia" w:hAnsi="宋体"/>
        </w:rPr>
        <w:t xml:space="preserve">; </w:t>
      </w:r>
    </w:p>
    <w:p>
      <w:pPr>
        <w:pStyle w:val="48"/>
        <w:rPr>
          <w:rFonts w:hAnsi="宋体"/>
        </w:rPr>
      </w:pPr>
      <w:r>
        <w:rPr>
          <w:rFonts w:hint="eastAsia" w:hAnsi="宋体"/>
        </w:rPr>
        <w:t>A值的个数           =4；</w:t>
      </w:r>
    </w:p>
    <w:p>
      <w:pPr>
        <w:pStyle w:val="48"/>
        <w:rPr>
          <w:rFonts w:hAnsi="宋体"/>
        </w:rPr>
      </w:pPr>
      <w:r>
        <w:rPr>
          <w:rFonts w:hint="eastAsia" w:hAnsi="宋体"/>
        </w:rPr>
        <w:t>B值的个数           =4；</w:t>
      </w:r>
    </w:p>
    <w:p>
      <w:pPr>
        <w:pStyle w:val="48"/>
        <w:rPr>
          <w:rFonts w:hAnsi="宋体"/>
        </w:rPr>
      </w:pPr>
      <w:r>
        <w:rPr>
          <w:rFonts w:hint="eastAsia" w:hAnsi="宋体"/>
          <w:highlight w:val="yellow"/>
        </w:rPr>
        <w:t>重复</w:t>
      </w:r>
      <w:r>
        <w:rPr>
          <w:rFonts w:hint="eastAsia" w:hAnsi="宋体"/>
        </w:rPr>
        <w:t>的次数          =3；</w:t>
      </w:r>
    </w:p>
    <w:p>
      <w:pPr>
        <w:pStyle w:val="48"/>
        <w:rPr>
          <w:rFonts w:hAnsi="宋体"/>
        </w:rPr>
      </w:pPr>
      <w:r>
        <w:rPr>
          <w:rFonts w:hint="eastAsia" w:hAnsi="宋体"/>
        </w:rPr>
        <w:t>校正因子CF          =289.0</w:t>
      </w:r>
      <w:r>
        <w:rPr>
          <w:rFonts w:hAnsi="宋体"/>
          <w:color w:val="FF0000"/>
        </w:rPr>
        <w:t>5</w:t>
      </w:r>
      <w:r>
        <w:rPr>
          <w:rFonts w:hint="eastAsia" w:hAnsi="宋体"/>
        </w:rPr>
        <w:t>；</w:t>
      </w:r>
    </w:p>
    <w:p>
      <w:pPr>
        <w:pStyle w:val="48"/>
        <w:rPr>
          <w:rFonts w:hAnsi="宋体"/>
          <w:color w:val="000000"/>
          <w:sz w:val="22"/>
        </w:rPr>
      </w:pPr>
      <w:r>
        <w:rPr>
          <w:rFonts w:hAnsi="宋体"/>
          <w:color w:val="000000"/>
          <w:sz w:val="22"/>
          <w:vertAlign w:val="subscript"/>
        </w:rPr>
        <w:t>AB</w:t>
      </w:r>
      <w:r>
        <w:rPr>
          <w:rFonts w:hAnsi="宋体"/>
          <w:i/>
          <w:color w:val="000000"/>
          <w:sz w:val="22"/>
        </w:rPr>
        <w:t>X</w:t>
      </w:r>
      <w:r>
        <w:rPr>
          <w:rFonts w:hAnsi="宋体"/>
          <w:color w:val="000000"/>
          <w:sz w:val="22"/>
          <w:vertAlign w:val="superscript"/>
        </w:rPr>
        <w:t>2</w:t>
      </w:r>
      <w:r>
        <w:rPr>
          <w:rFonts w:hAnsi="宋体"/>
          <w:color w:val="000000"/>
          <w:sz w:val="22"/>
        </w:rPr>
        <w:t xml:space="preserve">                =879.4</w:t>
      </w:r>
      <w:r>
        <w:rPr>
          <w:rFonts w:hAnsi="宋体"/>
          <w:color w:val="FF0000"/>
          <w:sz w:val="22"/>
        </w:rPr>
        <w:t>2</w:t>
      </w:r>
      <w:r>
        <w:rPr>
          <w:rFonts w:hint="eastAsia" w:hAnsi="宋体"/>
          <w:color w:val="000000"/>
          <w:sz w:val="22"/>
        </w:rPr>
        <w:t>。</w:t>
      </w:r>
    </w:p>
    <w:p>
      <w:pPr>
        <w:pStyle w:val="23"/>
      </w:pPr>
      <w:r>
        <w:rPr>
          <w:rFonts w:hint="eastAsia"/>
        </w:rPr>
        <w:t>因此计算出下列值：</w:t>
      </w:r>
    </w:p>
    <w:tbl>
      <w:tblPr>
        <w:tblStyle w:val="33"/>
        <w:tblW w:w="0" w:type="auto"/>
        <w:tblInd w:w="655" w:type="dxa"/>
        <w:tblLayout w:type="autofit"/>
        <w:tblCellMar>
          <w:top w:w="0" w:type="dxa"/>
          <w:left w:w="108" w:type="dxa"/>
          <w:bottom w:w="0" w:type="dxa"/>
          <w:right w:w="108" w:type="dxa"/>
        </w:tblCellMar>
      </w:tblPr>
      <w:tblGrid>
        <w:gridCol w:w="758"/>
        <w:gridCol w:w="1080"/>
        <w:gridCol w:w="1017"/>
      </w:tblGrid>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szCs w:val="22"/>
              </w:rPr>
            </w:pPr>
            <w:r>
              <w:rPr>
                <w:rFonts w:eastAsia="楷体_GB2312"/>
                <w:i/>
                <w:szCs w:val="22"/>
              </w:rPr>
              <w:t>S</w:t>
            </w:r>
            <w:r>
              <w:rPr>
                <w:rFonts w:eastAsia="楷体_GB2312"/>
                <w:szCs w:val="22"/>
                <w:vertAlign w:val="subscript"/>
              </w:rPr>
              <w:t>a</w:t>
            </w:r>
          </w:p>
        </w:tc>
        <w:tc>
          <w:tcPr>
            <w:tcW w:w="1017" w:type="dxa"/>
          </w:tcPr>
          <w:p>
            <w:pPr>
              <w:tabs>
                <w:tab w:val="left" w:pos="284"/>
                <w:tab w:val="left" w:pos="567"/>
              </w:tabs>
              <w:spacing w:line="0" w:lineRule="atLeast"/>
              <w:rPr>
                <w:rFonts w:eastAsia="楷体_GB2312"/>
                <w:szCs w:val="22"/>
              </w:rPr>
            </w:pPr>
            <w:r>
              <w:rPr>
                <w:rFonts w:eastAsia="楷体_GB2312"/>
                <w:szCs w:val="22"/>
              </w:rPr>
              <w:t>=3.3</w:t>
            </w:r>
            <w:r>
              <w:rPr>
                <w:rFonts w:eastAsia="楷体_GB2312"/>
                <w:color w:val="FF0000"/>
                <w:szCs w:val="22"/>
              </w:rPr>
              <w:t>63</w:t>
            </w:r>
            <w:r>
              <w:rPr>
                <w:rFonts w:hint="eastAsia" w:eastAsia="楷体_GB2312"/>
                <w:szCs w:val="22"/>
              </w:rPr>
              <w:t>；</w:t>
            </w:r>
          </w:p>
        </w:tc>
      </w:tr>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szCs w:val="22"/>
              </w:rPr>
            </w:pPr>
            <w:r>
              <w:rPr>
                <w:rFonts w:eastAsia="楷体_GB2312"/>
                <w:i/>
                <w:szCs w:val="22"/>
              </w:rPr>
              <w:t>S</w:t>
            </w:r>
            <w:r>
              <w:rPr>
                <w:rFonts w:eastAsia="楷体_GB2312"/>
                <w:szCs w:val="22"/>
                <w:vertAlign w:val="subscript"/>
              </w:rPr>
              <w:t>b</w:t>
            </w:r>
          </w:p>
        </w:tc>
        <w:tc>
          <w:tcPr>
            <w:tcW w:w="1017" w:type="dxa"/>
          </w:tcPr>
          <w:p>
            <w:pPr>
              <w:tabs>
                <w:tab w:val="left" w:pos="284"/>
                <w:tab w:val="left" w:pos="567"/>
              </w:tabs>
              <w:spacing w:line="0" w:lineRule="atLeast"/>
              <w:rPr>
                <w:rFonts w:eastAsia="楷体_GB2312"/>
                <w:szCs w:val="22"/>
              </w:rPr>
            </w:pPr>
            <w:r>
              <w:rPr>
                <w:rFonts w:eastAsia="楷体_GB2312"/>
                <w:szCs w:val="22"/>
              </w:rPr>
              <w:t>=0.38</w:t>
            </w:r>
            <w:r>
              <w:rPr>
                <w:rFonts w:eastAsia="楷体_GB2312"/>
                <w:color w:val="FF0000"/>
                <w:szCs w:val="22"/>
              </w:rPr>
              <w:t>9</w:t>
            </w:r>
            <w:r>
              <w:rPr>
                <w:rFonts w:hint="eastAsia" w:eastAsia="楷体_GB2312"/>
                <w:szCs w:val="22"/>
              </w:rPr>
              <w:t>；</w:t>
            </w:r>
          </w:p>
        </w:tc>
      </w:tr>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szCs w:val="22"/>
              </w:rPr>
            </w:pPr>
            <w:r>
              <w:rPr>
                <w:rFonts w:eastAsia="楷体_GB2312"/>
                <w:i/>
                <w:szCs w:val="22"/>
              </w:rPr>
              <w:t>S</w:t>
            </w:r>
            <w:r>
              <w:rPr>
                <w:rFonts w:eastAsia="楷体_GB2312"/>
                <w:szCs w:val="22"/>
                <w:vertAlign w:val="subscript"/>
              </w:rPr>
              <w:t>ab</w:t>
            </w:r>
          </w:p>
        </w:tc>
        <w:tc>
          <w:tcPr>
            <w:tcW w:w="1017" w:type="dxa"/>
          </w:tcPr>
          <w:p>
            <w:pPr>
              <w:tabs>
                <w:tab w:val="left" w:pos="284"/>
                <w:tab w:val="left" w:pos="567"/>
              </w:tabs>
              <w:spacing w:line="0" w:lineRule="atLeast"/>
              <w:rPr>
                <w:rFonts w:eastAsia="楷体_GB2312"/>
                <w:szCs w:val="22"/>
              </w:rPr>
            </w:pPr>
            <w:r>
              <w:rPr>
                <w:rFonts w:eastAsia="楷体_GB2312"/>
                <w:szCs w:val="22"/>
              </w:rPr>
              <w:t>=0.337</w:t>
            </w:r>
            <w:r>
              <w:rPr>
                <w:rFonts w:hint="eastAsia" w:eastAsia="楷体_GB2312"/>
                <w:szCs w:val="22"/>
              </w:rPr>
              <w:t>；</w:t>
            </w:r>
          </w:p>
        </w:tc>
      </w:tr>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szCs w:val="22"/>
              </w:rPr>
            </w:pPr>
            <w:r>
              <w:rPr>
                <w:rFonts w:eastAsia="楷体_GB2312"/>
                <w:i/>
                <w:szCs w:val="22"/>
              </w:rPr>
              <w:t>S</w:t>
            </w:r>
            <w:r>
              <w:rPr>
                <w:rFonts w:eastAsia="楷体_GB2312"/>
                <w:szCs w:val="22"/>
                <w:vertAlign w:val="subscript"/>
              </w:rPr>
              <w:t>r</w:t>
            </w:r>
          </w:p>
        </w:tc>
        <w:tc>
          <w:tcPr>
            <w:tcW w:w="1017" w:type="dxa"/>
          </w:tcPr>
          <w:p>
            <w:pPr>
              <w:tabs>
                <w:tab w:val="left" w:pos="284"/>
                <w:tab w:val="left" w:pos="567"/>
              </w:tabs>
              <w:spacing w:line="0" w:lineRule="atLeast"/>
              <w:rPr>
                <w:rFonts w:eastAsia="楷体_GB2312"/>
                <w:szCs w:val="22"/>
              </w:rPr>
            </w:pPr>
            <w:r>
              <w:rPr>
                <w:rFonts w:eastAsia="楷体_GB2312"/>
                <w:szCs w:val="22"/>
              </w:rPr>
              <w:t>=1.4</w:t>
            </w:r>
            <w:r>
              <w:rPr>
                <w:rFonts w:eastAsia="楷体_GB2312"/>
                <w:color w:val="FF0000"/>
                <w:szCs w:val="22"/>
              </w:rPr>
              <w:t>97</w:t>
            </w:r>
          </w:p>
        </w:tc>
      </w:tr>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i/>
                <w:szCs w:val="22"/>
              </w:rPr>
            </w:pPr>
            <w:r>
              <w:rPr>
                <w:rFonts w:eastAsia="楷体_GB2312"/>
                <w:i/>
                <w:szCs w:val="22"/>
              </w:rPr>
              <w:t>S</w:t>
            </w:r>
            <w:r>
              <w:rPr>
                <w:rFonts w:eastAsia="楷体_GB2312"/>
                <w:szCs w:val="22"/>
                <w:vertAlign w:val="subscript"/>
              </w:rPr>
              <w:t>t</w:t>
            </w:r>
          </w:p>
        </w:tc>
        <w:tc>
          <w:tcPr>
            <w:tcW w:w="1017" w:type="dxa"/>
          </w:tcPr>
          <w:p>
            <w:pPr>
              <w:tabs>
                <w:tab w:val="left" w:pos="284"/>
                <w:tab w:val="left" w:pos="567"/>
              </w:tabs>
              <w:spacing w:line="0" w:lineRule="atLeast"/>
              <w:rPr>
                <w:rFonts w:eastAsia="楷体_GB2312"/>
                <w:szCs w:val="22"/>
              </w:rPr>
            </w:pPr>
            <w:r>
              <w:rPr>
                <w:rFonts w:eastAsia="楷体_GB2312"/>
                <w:szCs w:val="22"/>
              </w:rPr>
              <w:t>=5.5</w:t>
            </w:r>
            <w:r>
              <w:rPr>
                <w:rFonts w:eastAsia="楷体_GB2312"/>
                <w:color w:val="FF0000"/>
                <w:szCs w:val="22"/>
              </w:rPr>
              <w:t>86</w:t>
            </w:r>
            <w:r>
              <w:rPr>
                <w:rFonts w:hint="eastAsia" w:eastAsia="楷体_GB2312"/>
                <w:szCs w:val="22"/>
              </w:rPr>
              <w:t>；</w:t>
            </w:r>
          </w:p>
        </w:tc>
      </w:tr>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szCs w:val="22"/>
              </w:rPr>
            </w:pPr>
            <w:r>
              <w:rPr>
                <w:rFonts w:eastAsia="楷体_GB2312"/>
                <w:szCs w:val="22"/>
              </w:rPr>
              <w:t>DF</w:t>
            </w:r>
            <w:r>
              <w:rPr>
                <w:rFonts w:eastAsia="楷体_GB2312"/>
                <w:i/>
                <w:szCs w:val="22"/>
                <w:vertAlign w:val="subscript"/>
              </w:rPr>
              <w:t>a</w:t>
            </w:r>
          </w:p>
        </w:tc>
        <w:tc>
          <w:tcPr>
            <w:tcW w:w="1017" w:type="dxa"/>
          </w:tcPr>
          <w:p>
            <w:pPr>
              <w:tabs>
                <w:tab w:val="left" w:pos="284"/>
                <w:tab w:val="left" w:pos="567"/>
              </w:tabs>
              <w:spacing w:line="0" w:lineRule="atLeast"/>
              <w:rPr>
                <w:rFonts w:eastAsia="楷体_GB2312"/>
                <w:szCs w:val="22"/>
              </w:rPr>
            </w:pPr>
            <w:r>
              <w:rPr>
                <w:rFonts w:eastAsia="楷体_GB2312"/>
                <w:szCs w:val="22"/>
              </w:rPr>
              <w:t>=3</w:t>
            </w:r>
            <w:r>
              <w:rPr>
                <w:rFonts w:hint="eastAsia" w:eastAsia="楷体_GB2312"/>
                <w:szCs w:val="22"/>
              </w:rPr>
              <w:t>；</w:t>
            </w:r>
          </w:p>
        </w:tc>
      </w:tr>
      <w:tr>
        <w:tblPrEx>
          <w:tblCellMar>
            <w:top w:w="0" w:type="dxa"/>
            <w:left w:w="108" w:type="dxa"/>
            <w:bottom w:w="0" w:type="dxa"/>
            <w:right w:w="108" w:type="dxa"/>
          </w:tblCellMar>
        </w:tblPrEx>
        <w:tc>
          <w:tcPr>
            <w:tcW w:w="758" w:type="dxa"/>
          </w:tcPr>
          <w:p>
            <w:pPr>
              <w:rPr>
                <w:rFonts w:ascii="楷体_GB2312" w:hAnsi="仿宋" w:eastAsia="楷体_GB2312" w:cs="Cambria Math"/>
                <w:kern w:val="0"/>
                <w:sz w:val="20"/>
                <w:szCs w:val="20"/>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szCs w:val="22"/>
              </w:rPr>
            </w:pPr>
            <w:r>
              <w:rPr>
                <w:rFonts w:eastAsia="楷体_GB2312"/>
                <w:szCs w:val="22"/>
              </w:rPr>
              <w:t>DF</w:t>
            </w:r>
            <w:r>
              <w:rPr>
                <w:rFonts w:eastAsia="楷体_GB2312"/>
                <w:i/>
                <w:szCs w:val="22"/>
                <w:vertAlign w:val="subscript"/>
              </w:rPr>
              <w:t>b</w:t>
            </w:r>
          </w:p>
        </w:tc>
        <w:tc>
          <w:tcPr>
            <w:tcW w:w="1017" w:type="dxa"/>
          </w:tcPr>
          <w:p>
            <w:pPr>
              <w:tabs>
                <w:tab w:val="left" w:pos="284"/>
                <w:tab w:val="left" w:pos="567"/>
              </w:tabs>
              <w:spacing w:line="0" w:lineRule="atLeast"/>
              <w:rPr>
                <w:rFonts w:eastAsia="楷体_GB2312"/>
                <w:szCs w:val="22"/>
              </w:rPr>
            </w:pPr>
            <w:r>
              <w:rPr>
                <w:rFonts w:eastAsia="楷体_GB2312"/>
                <w:szCs w:val="22"/>
              </w:rPr>
              <w:t>=3</w:t>
            </w:r>
            <w:r>
              <w:rPr>
                <w:rFonts w:hint="eastAsia" w:eastAsia="楷体_GB2312"/>
                <w:szCs w:val="22"/>
              </w:rPr>
              <w:t>；</w:t>
            </w:r>
          </w:p>
        </w:tc>
      </w:tr>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szCs w:val="22"/>
              </w:rPr>
            </w:pPr>
            <w:r>
              <w:rPr>
                <w:rFonts w:eastAsia="楷体_GB2312"/>
                <w:szCs w:val="22"/>
              </w:rPr>
              <w:t>DF</w:t>
            </w:r>
            <w:r>
              <w:rPr>
                <w:rFonts w:eastAsia="楷体_GB2312"/>
                <w:i/>
                <w:szCs w:val="22"/>
                <w:vertAlign w:val="subscript"/>
              </w:rPr>
              <w:t>ab</w:t>
            </w:r>
          </w:p>
        </w:tc>
        <w:tc>
          <w:tcPr>
            <w:tcW w:w="1017" w:type="dxa"/>
          </w:tcPr>
          <w:p>
            <w:pPr>
              <w:tabs>
                <w:tab w:val="left" w:pos="284"/>
                <w:tab w:val="left" w:pos="567"/>
              </w:tabs>
              <w:spacing w:line="0" w:lineRule="atLeast"/>
              <w:rPr>
                <w:rFonts w:eastAsia="楷体_GB2312"/>
                <w:szCs w:val="22"/>
              </w:rPr>
            </w:pPr>
            <w:r>
              <w:rPr>
                <w:rFonts w:eastAsia="楷体_GB2312"/>
                <w:szCs w:val="22"/>
              </w:rPr>
              <w:t>=9</w:t>
            </w:r>
            <w:r>
              <w:rPr>
                <w:rFonts w:hint="eastAsia" w:eastAsia="楷体_GB2312"/>
                <w:szCs w:val="22"/>
              </w:rPr>
              <w:t>；</w:t>
            </w:r>
          </w:p>
        </w:tc>
      </w:tr>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szCs w:val="22"/>
              </w:rPr>
            </w:pPr>
            <w:r>
              <w:rPr>
                <w:rFonts w:eastAsia="楷体_GB2312"/>
                <w:szCs w:val="22"/>
              </w:rPr>
              <w:t>DF</w:t>
            </w:r>
            <w:r>
              <w:rPr>
                <w:rFonts w:eastAsia="楷体_GB2312"/>
                <w:szCs w:val="22"/>
                <w:vertAlign w:val="subscript"/>
              </w:rPr>
              <w:t>r</w:t>
            </w:r>
          </w:p>
        </w:tc>
        <w:tc>
          <w:tcPr>
            <w:tcW w:w="1017" w:type="dxa"/>
          </w:tcPr>
          <w:p>
            <w:pPr>
              <w:tabs>
                <w:tab w:val="left" w:pos="284"/>
                <w:tab w:val="left" w:pos="567"/>
              </w:tabs>
              <w:spacing w:line="0" w:lineRule="atLeast"/>
              <w:rPr>
                <w:rFonts w:eastAsia="楷体_GB2312"/>
                <w:szCs w:val="22"/>
              </w:rPr>
            </w:pPr>
            <w:r>
              <w:rPr>
                <w:rFonts w:eastAsia="楷体_GB2312"/>
                <w:szCs w:val="22"/>
              </w:rPr>
              <w:t>=3</w:t>
            </w:r>
            <w:r>
              <w:rPr>
                <w:rFonts w:eastAsia="楷体_GB2312"/>
                <w:color w:val="FF0000"/>
                <w:szCs w:val="22"/>
              </w:rPr>
              <w:t>2</w:t>
            </w:r>
            <w:r>
              <w:rPr>
                <w:rFonts w:hint="eastAsia" w:eastAsia="楷体_GB2312"/>
                <w:szCs w:val="22"/>
              </w:rPr>
              <w:t>；</w:t>
            </w:r>
          </w:p>
        </w:tc>
      </w:tr>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szCs w:val="22"/>
              </w:rPr>
            </w:pPr>
            <w:r>
              <w:rPr>
                <w:rFonts w:eastAsia="楷体_GB2312"/>
                <w:szCs w:val="22"/>
              </w:rPr>
              <w:t>DF</w:t>
            </w:r>
            <w:r>
              <w:rPr>
                <w:rFonts w:eastAsia="楷体_GB2312"/>
                <w:szCs w:val="22"/>
                <w:vertAlign w:val="subscript"/>
              </w:rPr>
              <w:t>t</w:t>
            </w:r>
          </w:p>
        </w:tc>
        <w:tc>
          <w:tcPr>
            <w:tcW w:w="1017" w:type="dxa"/>
          </w:tcPr>
          <w:p>
            <w:pPr>
              <w:tabs>
                <w:tab w:val="left" w:pos="284"/>
                <w:tab w:val="left" w:pos="567"/>
              </w:tabs>
              <w:spacing w:line="0" w:lineRule="atLeast"/>
              <w:rPr>
                <w:rFonts w:eastAsia="楷体_GB2312"/>
                <w:szCs w:val="22"/>
              </w:rPr>
            </w:pPr>
            <w:r>
              <w:rPr>
                <w:rFonts w:eastAsia="楷体_GB2312"/>
                <w:szCs w:val="22"/>
              </w:rPr>
              <w:t>=4</w:t>
            </w:r>
            <w:r>
              <w:rPr>
                <w:rFonts w:eastAsia="楷体_GB2312"/>
                <w:color w:val="FF0000"/>
                <w:szCs w:val="22"/>
              </w:rPr>
              <w:t>7</w:t>
            </w:r>
            <w:r>
              <w:rPr>
                <w:rFonts w:hint="eastAsia" w:eastAsia="楷体_GB2312"/>
                <w:szCs w:val="22"/>
              </w:rPr>
              <w:t>；</w:t>
            </w:r>
          </w:p>
        </w:tc>
      </w:tr>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szCs w:val="22"/>
              </w:rPr>
            </w:pPr>
            <w:r>
              <w:rPr>
                <w:rFonts w:eastAsia="楷体_GB2312"/>
                <w:i/>
                <w:szCs w:val="22"/>
              </w:rPr>
              <w:t>M</w:t>
            </w:r>
            <w:r>
              <w:rPr>
                <w:rFonts w:eastAsia="楷体_GB2312"/>
                <w:i/>
                <w:szCs w:val="22"/>
                <w:vertAlign w:val="subscript"/>
              </w:rPr>
              <w:t>a</w:t>
            </w:r>
          </w:p>
        </w:tc>
        <w:tc>
          <w:tcPr>
            <w:tcW w:w="1017" w:type="dxa"/>
          </w:tcPr>
          <w:p>
            <w:pPr>
              <w:tabs>
                <w:tab w:val="left" w:pos="284"/>
                <w:tab w:val="left" w:pos="567"/>
              </w:tabs>
              <w:spacing w:line="0" w:lineRule="atLeast"/>
              <w:rPr>
                <w:rFonts w:eastAsia="楷体_GB2312"/>
                <w:szCs w:val="22"/>
              </w:rPr>
            </w:pPr>
            <w:r>
              <w:rPr>
                <w:rFonts w:eastAsia="楷体_GB2312"/>
                <w:szCs w:val="22"/>
              </w:rPr>
              <w:t>=1.1</w:t>
            </w:r>
            <w:r>
              <w:rPr>
                <w:rFonts w:eastAsia="楷体_GB2312"/>
                <w:color w:val="FF0000"/>
                <w:szCs w:val="22"/>
              </w:rPr>
              <w:t>21</w:t>
            </w:r>
            <w:r>
              <w:rPr>
                <w:rFonts w:hint="eastAsia" w:eastAsia="楷体_GB2312"/>
                <w:szCs w:val="22"/>
              </w:rPr>
              <w:t>；</w:t>
            </w:r>
          </w:p>
        </w:tc>
      </w:tr>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i/>
                <w:szCs w:val="22"/>
              </w:rPr>
            </w:pPr>
            <w:r>
              <w:rPr>
                <w:rFonts w:eastAsia="楷体_GB2312"/>
                <w:i/>
                <w:szCs w:val="22"/>
              </w:rPr>
              <w:t>M</w:t>
            </w:r>
            <w:r>
              <w:rPr>
                <w:rFonts w:eastAsia="楷体_GB2312"/>
                <w:i/>
                <w:szCs w:val="22"/>
                <w:vertAlign w:val="subscript"/>
              </w:rPr>
              <w:t>b</w:t>
            </w:r>
          </w:p>
        </w:tc>
        <w:tc>
          <w:tcPr>
            <w:tcW w:w="1017" w:type="dxa"/>
          </w:tcPr>
          <w:p>
            <w:pPr>
              <w:tabs>
                <w:tab w:val="left" w:pos="284"/>
                <w:tab w:val="left" w:pos="567"/>
              </w:tabs>
              <w:spacing w:line="0" w:lineRule="atLeast"/>
              <w:rPr>
                <w:rFonts w:eastAsia="楷体_GB2312"/>
                <w:szCs w:val="22"/>
              </w:rPr>
            </w:pPr>
            <w:r>
              <w:rPr>
                <w:rFonts w:eastAsia="楷体_GB2312"/>
                <w:szCs w:val="22"/>
              </w:rPr>
              <w:t>=0.1</w:t>
            </w:r>
            <w:r>
              <w:rPr>
                <w:rFonts w:eastAsia="楷体_GB2312"/>
                <w:color w:val="FF0000"/>
                <w:szCs w:val="22"/>
              </w:rPr>
              <w:t>30</w:t>
            </w:r>
            <w:r>
              <w:rPr>
                <w:rFonts w:eastAsia="楷体_GB2312"/>
                <w:szCs w:val="22"/>
              </w:rPr>
              <w:t xml:space="preserve">; </w:t>
            </w:r>
          </w:p>
        </w:tc>
      </w:tr>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i/>
                <w:szCs w:val="22"/>
              </w:rPr>
            </w:pPr>
            <w:r>
              <w:rPr>
                <w:rFonts w:eastAsia="楷体_GB2312"/>
                <w:i/>
                <w:szCs w:val="22"/>
              </w:rPr>
              <w:t>M</w:t>
            </w:r>
            <w:r>
              <w:rPr>
                <w:rFonts w:eastAsia="楷体_GB2312"/>
                <w:i/>
                <w:szCs w:val="22"/>
                <w:vertAlign w:val="subscript"/>
              </w:rPr>
              <w:t>ab</w:t>
            </w:r>
          </w:p>
        </w:tc>
        <w:tc>
          <w:tcPr>
            <w:tcW w:w="1017" w:type="dxa"/>
          </w:tcPr>
          <w:p>
            <w:pPr>
              <w:tabs>
                <w:tab w:val="left" w:pos="284"/>
                <w:tab w:val="left" w:pos="567"/>
              </w:tabs>
              <w:spacing w:line="0" w:lineRule="atLeast"/>
              <w:rPr>
                <w:rFonts w:eastAsia="楷体_GB2312"/>
                <w:szCs w:val="22"/>
              </w:rPr>
            </w:pPr>
            <w:r>
              <w:rPr>
                <w:rFonts w:eastAsia="楷体_GB2312"/>
                <w:szCs w:val="22"/>
              </w:rPr>
              <w:t>=0.037</w:t>
            </w:r>
            <w:r>
              <w:rPr>
                <w:rFonts w:hint="eastAsia" w:eastAsia="楷体_GB2312"/>
                <w:szCs w:val="22"/>
              </w:rPr>
              <w:t>；</w:t>
            </w:r>
          </w:p>
        </w:tc>
      </w:tr>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i/>
                <w:szCs w:val="22"/>
              </w:rPr>
            </w:pPr>
            <w:r>
              <w:rPr>
                <w:rFonts w:eastAsia="楷体_GB2312"/>
                <w:i/>
                <w:szCs w:val="22"/>
              </w:rPr>
              <w:t>M</w:t>
            </w:r>
            <w:r>
              <w:rPr>
                <w:rFonts w:eastAsia="楷体_GB2312"/>
                <w:i/>
                <w:szCs w:val="22"/>
                <w:vertAlign w:val="subscript"/>
              </w:rPr>
              <w:t>r</w:t>
            </w:r>
          </w:p>
        </w:tc>
        <w:tc>
          <w:tcPr>
            <w:tcW w:w="1017" w:type="dxa"/>
          </w:tcPr>
          <w:p>
            <w:pPr>
              <w:tabs>
                <w:tab w:val="left" w:pos="284"/>
                <w:tab w:val="left" w:pos="567"/>
              </w:tabs>
              <w:spacing w:line="0" w:lineRule="atLeast"/>
              <w:rPr>
                <w:rFonts w:eastAsia="楷体_GB2312"/>
                <w:szCs w:val="22"/>
              </w:rPr>
            </w:pPr>
            <w:r>
              <w:rPr>
                <w:rFonts w:eastAsia="楷体_GB2312"/>
                <w:szCs w:val="22"/>
              </w:rPr>
              <w:t>=0.04</w:t>
            </w:r>
            <w:r>
              <w:rPr>
                <w:rFonts w:eastAsia="楷体_GB2312"/>
                <w:color w:val="FF0000"/>
                <w:szCs w:val="22"/>
              </w:rPr>
              <w:t>7</w:t>
            </w:r>
            <w:r>
              <w:rPr>
                <w:rFonts w:hint="eastAsia" w:eastAsia="楷体_GB2312"/>
                <w:szCs w:val="22"/>
              </w:rPr>
              <w:t>；</w:t>
            </w:r>
          </w:p>
        </w:tc>
      </w:tr>
      <w:tr>
        <w:tblPrEx>
          <w:tblCellMar>
            <w:top w:w="0" w:type="dxa"/>
            <w:left w:w="108" w:type="dxa"/>
            <w:bottom w:w="0" w:type="dxa"/>
            <w:right w:w="108" w:type="dxa"/>
          </w:tblCellMar>
        </w:tblPrEx>
        <w:tc>
          <w:tcPr>
            <w:tcW w:w="758" w:type="dxa"/>
          </w:tcPr>
          <w:p>
            <w:pPr>
              <w:rPr>
                <w:rFonts w:ascii="Calibri" w:hAnsi="Calibri"/>
                <w:szCs w:val="22"/>
              </w:rPr>
            </w:pPr>
            <w:r>
              <w:rPr>
                <w:rFonts w:hint="eastAsia" w:ascii="楷体_GB2312" w:hAnsi="仿宋" w:eastAsia="楷体_GB2312" w:cs="Cambria Math"/>
                <w:kern w:val="0"/>
                <w:sz w:val="20"/>
                <w:szCs w:val="20"/>
              </w:rPr>
              <w:t>——</w:t>
            </w:r>
          </w:p>
        </w:tc>
        <w:tc>
          <w:tcPr>
            <w:tcW w:w="1080" w:type="dxa"/>
          </w:tcPr>
          <w:p>
            <w:pPr>
              <w:tabs>
                <w:tab w:val="left" w:pos="284"/>
                <w:tab w:val="left" w:pos="567"/>
              </w:tabs>
              <w:spacing w:line="0" w:lineRule="atLeast"/>
              <w:rPr>
                <w:rFonts w:eastAsia="楷体_GB2312"/>
                <w:i/>
                <w:szCs w:val="22"/>
              </w:rPr>
            </w:pPr>
            <w:r>
              <w:rPr>
                <w:rFonts w:eastAsia="楷体_GB2312"/>
                <w:i/>
                <w:szCs w:val="22"/>
              </w:rPr>
              <w:t>M</w:t>
            </w:r>
            <w:r>
              <w:rPr>
                <w:rFonts w:eastAsia="楷体_GB2312"/>
                <w:i/>
                <w:szCs w:val="22"/>
                <w:vertAlign w:val="subscript"/>
              </w:rPr>
              <w:t>t</w:t>
            </w:r>
          </w:p>
        </w:tc>
        <w:tc>
          <w:tcPr>
            <w:tcW w:w="1017" w:type="dxa"/>
          </w:tcPr>
          <w:p>
            <w:pPr>
              <w:tabs>
                <w:tab w:val="left" w:pos="284"/>
                <w:tab w:val="left" w:pos="567"/>
              </w:tabs>
              <w:spacing w:line="0" w:lineRule="atLeast"/>
              <w:rPr>
                <w:rFonts w:eastAsia="楷体_GB2312"/>
                <w:szCs w:val="22"/>
              </w:rPr>
            </w:pPr>
            <w:r>
              <w:rPr>
                <w:rFonts w:eastAsia="楷体_GB2312"/>
                <w:szCs w:val="22"/>
              </w:rPr>
              <w:t>=0.11</w:t>
            </w:r>
            <w:r>
              <w:rPr>
                <w:rFonts w:eastAsia="楷体_GB2312"/>
                <w:color w:val="FF0000"/>
                <w:szCs w:val="22"/>
              </w:rPr>
              <w:t>9</w:t>
            </w:r>
            <w:r>
              <w:rPr>
                <w:rFonts w:hint="eastAsia" w:eastAsia="楷体_GB2312"/>
                <w:szCs w:val="22"/>
              </w:rPr>
              <w:t>。</w:t>
            </w:r>
          </w:p>
        </w:tc>
      </w:tr>
    </w:tbl>
    <w:p>
      <w:pPr>
        <w:pStyle w:val="63"/>
      </w:pPr>
      <w:r>
        <w:rPr>
          <w:rFonts w:hint="eastAsia"/>
        </w:rPr>
        <w:t>通常采用方差分析表的形式对数据进行汇总，如表31所示。</w:t>
      </w:r>
    </w:p>
    <w:p>
      <w:pPr>
        <w:pStyle w:val="127"/>
        <w:ind w:left="0"/>
      </w:pPr>
      <w:r>
        <w:rPr>
          <w:rFonts w:hint="eastAsia" w:hAnsi="黑体"/>
        </w:rPr>
        <w:t>方差分析</w:t>
      </w:r>
    </w:p>
    <w:tbl>
      <w:tblPr>
        <w:tblStyle w:val="33"/>
        <w:tblW w:w="5000" w:type="pct"/>
        <w:tblInd w:w="0" w:type="dxa"/>
        <w:tblLayout w:type="autofit"/>
        <w:tblCellMar>
          <w:top w:w="0" w:type="dxa"/>
          <w:left w:w="108" w:type="dxa"/>
          <w:bottom w:w="0" w:type="dxa"/>
          <w:right w:w="108" w:type="dxa"/>
        </w:tblCellMar>
      </w:tblPr>
      <w:tblGrid>
        <w:gridCol w:w="2326"/>
        <w:gridCol w:w="2576"/>
        <w:gridCol w:w="2576"/>
        <w:gridCol w:w="2092"/>
      </w:tblGrid>
      <w:tr>
        <w:tblPrEx>
          <w:tblCellMar>
            <w:top w:w="0" w:type="dxa"/>
            <w:left w:w="108" w:type="dxa"/>
            <w:bottom w:w="0" w:type="dxa"/>
            <w:right w:w="108" w:type="dxa"/>
          </w:tblCellMar>
        </w:tblPrEx>
        <w:trPr>
          <w:trHeight w:val="270" w:hRule="atLeast"/>
        </w:trPr>
        <w:tc>
          <w:tcPr>
            <w:tcW w:w="121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olor w:val="000000"/>
                <w:kern w:val="0"/>
                <w:sz w:val="18"/>
                <w:szCs w:val="18"/>
              </w:rPr>
              <w:t>误差</w:t>
            </w:r>
            <w:r>
              <w:rPr>
                <w:rFonts w:ascii="宋体" w:hAnsi="宋体"/>
                <w:color w:val="000000"/>
                <w:kern w:val="0"/>
                <w:sz w:val="18"/>
                <w:szCs w:val="18"/>
              </w:rPr>
              <w:t>来源</w:t>
            </w:r>
          </w:p>
        </w:tc>
        <w:tc>
          <w:tcPr>
            <w:tcW w:w="1346" w:type="pct"/>
            <w:tcBorders>
              <w:top w:val="single" w:color="auto" w:sz="4" w:space="0"/>
              <w:left w:val="nil"/>
              <w:bottom w:val="single" w:color="auto" w:sz="4" w:space="0"/>
              <w:right w:val="single" w:color="auto" w:sz="4" w:space="0"/>
            </w:tcBorders>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平方和</w:t>
            </w:r>
          </w:p>
        </w:tc>
        <w:tc>
          <w:tcPr>
            <w:tcW w:w="1346"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自由度</w:t>
            </w:r>
          </w:p>
        </w:tc>
        <w:tc>
          <w:tcPr>
            <w:tcW w:w="1093" w:type="pct"/>
            <w:tcBorders>
              <w:top w:val="single" w:color="auto" w:sz="4" w:space="0"/>
              <w:left w:val="nil"/>
              <w:bottom w:val="single" w:color="auto" w:sz="4" w:space="0"/>
              <w:right w:val="single" w:color="auto" w:sz="4" w:space="0"/>
            </w:tcBorders>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方差估计</w:t>
            </w:r>
          </w:p>
        </w:tc>
      </w:tr>
      <w:tr>
        <w:tblPrEx>
          <w:tblCellMar>
            <w:top w:w="0" w:type="dxa"/>
            <w:left w:w="108" w:type="dxa"/>
            <w:bottom w:w="0" w:type="dxa"/>
            <w:right w:w="108" w:type="dxa"/>
          </w:tblCellMar>
        </w:tblPrEx>
        <w:trPr>
          <w:trHeight w:val="270" w:hRule="atLeast"/>
        </w:trPr>
        <w:tc>
          <w:tcPr>
            <w:tcW w:w="1215"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因素 A </w:t>
            </w:r>
          </w:p>
        </w:tc>
        <w:tc>
          <w:tcPr>
            <w:tcW w:w="1346" w:type="pct"/>
            <w:tcBorders>
              <w:top w:val="single" w:color="auto" w:sz="4" w:space="0"/>
              <w:left w:val="single" w:color="auto" w:sz="4" w:space="0"/>
              <w:bottom w:val="single" w:color="auto" w:sz="4" w:space="0"/>
              <w:right w:val="single" w:color="auto" w:sz="4" w:space="0"/>
            </w:tcBorders>
            <w:shd w:val="clear" w:color="000000" w:fill="FFFF00"/>
            <w:vAlign w:val="center"/>
          </w:tcPr>
          <w:p>
            <w:pPr>
              <w:widowControl/>
              <w:jc w:val="center"/>
              <w:rPr>
                <w:rFonts w:ascii="宋体" w:hAnsi="宋体" w:cs="宋体"/>
                <w:color w:val="000000"/>
                <w:kern w:val="0"/>
                <w:sz w:val="18"/>
                <w:szCs w:val="18"/>
              </w:rPr>
            </w:pPr>
            <w:r>
              <w:rPr>
                <w:rFonts w:hint="eastAsia"/>
                <w:color w:val="FF0000"/>
                <w:sz w:val="18"/>
                <w:szCs w:val="18"/>
              </w:rPr>
              <w:t>3.</w:t>
            </w:r>
            <w:r>
              <w:rPr>
                <w:color w:val="FF0000"/>
                <w:sz w:val="18"/>
                <w:szCs w:val="18"/>
              </w:rPr>
              <w:t>363</w:t>
            </w:r>
          </w:p>
        </w:tc>
        <w:tc>
          <w:tcPr>
            <w:tcW w:w="1346"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93" w:type="pct"/>
            <w:tcBorders>
              <w:top w:val="single" w:color="auto" w:sz="4" w:space="0"/>
              <w:left w:val="single" w:color="auto" w:sz="4" w:space="0"/>
              <w:bottom w:val="single" w:color="auto" w:sz="4" w:space="0"/>
              <w:right w:val="single" w:color="auto" w:sz="4" w:space="0"/>
            </w:tcBorders>
            <w:shd w:val="clear" w:color="000000" w:fill="FFFF00"/>
            <w:vAlign w:val="center"/>
          </w:tcPr>
          <w:p>
            <w:pPr>
              <w:widowControl/>
              <w:jc w:val="center"/>
              <w:rPr>
                <w:rFonts w:ascii="宋体" w:hAnsi="宋体" w:cs="宋体"/>
                <w:color w:val="000000"/>
                <w:kern w:val="0"/>
                <w:sz w:val="18"/>
                <w:szCs w:val="18"/>
              </w:rPr>
            </w:pPr>
            <w:r>
              <w:rPr>
                <w:rFonts w:hint="eastAsia"/>
                <w:color w:val="FF0000"/>
                <w:sz w:val="18"/>
                <w:szCs w:val="18"/>
              </w:rPr>
              <w:t>1.12</w:t>
            </w:r>
            <w:r>
              <w:rPr>
                <w:color w:val="FF0000"/>
                <w:sz w:val="18"/>
                <w:szCs w:val="18"/>
              </w:rPr>
              <w:t>1</w:t>
            </w:r>
          </w:p>
        </w:tc>
      </w:tr>
      <w:tr>
        <w:tblPrEx>
          <w:tblCellMar>
            <w:top w:w="0" w:type="dxa"/>
            <w:left w:w="108" w:type="dxa"/>
            <w:bottom w:w="0" w:type="dxa"/>
            <w:right w:w="108" w:type="dxa"/>
          </w:tblCellMar>
        </w:tblPrEx>
        <w:trPr>
          <w:trHeight w:val="270" w:hRule="atLeast"/>
        </w:trPr>
        <w:tc>
          <w:tcPr>
            <w:tcW w:w="1215"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因素 B </w:t>
            </w:r>
          </w:p>
        </w:tc>
        <w:tc>
          <w:tcPr>
            <w:tcW w:w="1346" w:type="pct"/>
            <w:tcBorders>
              <w:top w:val="nil"/>
              <w:left w:val="single" w:color="auto" w:sz="4" w:space="0"/>
              <w:bottom w:val="single" w:color="auto" w:sz="4" w:space="0"/>
              <w:right w:val="single" w:color="auto" w:sz="4" w:space="0"/>
            </w:tcBorders>
            <w:shd w:val="clear" w:color="000000" w:fill="FFFF00"/>
            <w:vAlign w:val="center"/>
          </w:tcPr>
          <w:p>
            <w:pPr>
              <w:widowControl/>
              <w:jc w:val="center"/>
              <w:rPr>
                <w:rFonts w:ascii="宋体" w:hAnsi="宋体" w:cs="宋体"/>
                <w:color w:val="000000"/>
                <w:kern w:val="0"/>
                <w:sz w:val="18"/>
                <w:szCs w:val="18"/>
              </w:rPr>
            </w:pPr>
            <w:r>
              <w:rPr>
                <w:rFonts w:hint="eastAsia"/>
                <w:color w:val="FF0000"/>
                <w:sz w:val="18"/>
                <w:szCs w:val="18"/>
              </w:rPr>
              <w:t>0.3</w:t>
            </w:r>
            <w:r>
              <w:rPr>
                <w:color w:val="FF0000"/>
                <w:sz w:val="18"/>
                <w:szCs w:val="18"/>
              </w:rPr>
              <w:t>89</w:t>
            </w:r>
          </w:p>
        </w:tc>
        <w:tc>
          <w:tcPr>
            <w:tcW w:w="1346"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093" w:type="pct"/>
            <w:tcBorders>
              <w:top w:val="nil"/>
              <w:left w:val="single" w:color="auto" w:sz="4" w:space="0"/>
              <w:bottom w:val="single" w:color="auto" w:sz="4" w:space="0"/>
              <w:right w:val="single" w:color="auto" w:sz="4" w:space="0"/>
            </w:tcBorders>
            <w:shd w:val="clear" w:color="000000" w:fill="FFFF00"/>
            <w:vAlign w:val="center"/>
          </w:tcPr>
          <w:p>
            <w:pPr>
              <w:widowControl/>
              <w:jc w:val="center"/>
              <w:rPr>
                <w:rFonts w:ascii="宋体" w:hAnsi="宋体" w:cs="宋体"/>
                <w:color w:val="000000"/>
                <w:kern w:val="0"/>
                <w:sz w:val="18"/>
                <w:szCs w:val="18"/>
              </w:rPr>
            </w:pPr>
            <w:r>
              <w:rPr>
                <w:rFonts w:hint="eastAsia"/>
                <w:color w:val="FF0000"/>
                <w:sz w:val="18"/>
                <w:szCs w:val="18"/>
              </w:rPr>
              <w:t>0.13</w:t>
            </w:r>
            <w:r>
              <w:rPr>
                <w:color w:val="FF0000"/>
                <w:sz w:val="18"/>
                <w:szCs w:val="18"/>
              </w:rPr>
              <w:t>0</w:t>
            </w:r>
          </w:p>
        </w:tc>
      </w:tr>
      <w:tr>
        <w:tblPrEx>
          <w:tblCellMar>
            <w:top w:w="0" w:type="dxa"/>
            <w:left w:w="108" w:type="dxa"/>
            <w:bottom w:w="0" w:type="dxa"/>
            <w:right w:w="108" w:type="dxa"/>
          </w:tblCellMar>
        </w:tblPrEx>
        <w:trPr>
          <w:trHeight w:val="270" w:hRule="atLeast"/>
        </w:trPr>
        <w:tc>
          <w:tcPr>
            <w:tcW w:w="1215"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相互作用 </w:t>
            </w:r>
          </w:p>
        </w:tc>
        <w:tc>
          <w:tcPr>
            <w:tcW w:w="1346" w:type="pct"/>
            <w:tcBorders>
              <w:top w:val="nil"/>
              <w:left w:val="single" w:color="auto" w:sz="4" w:space="0"/>
              <w:bottom w:val="single" w:color="auto" w:sz="4" w:space="0"/>
              <w:right w:val="single" w:color="auto" w:sz="4" w:space="0"/>
            </w:tcBorders>
            <w:shd w:val="clear" w:color="000000" w:fill="FFFF00"/>
            <w:vAlign w:val="center"/>
          </w:tcPr>
          <w:p>
            <w:pPr>
              <w:widowControl/>
              <w:jc w:val="center"/>
              <w:rPr>
                <w:rFonts w:ascii="宋体" w:hAnsi="宋体" w:cs="宋体"/>
                <w:color w:val="000000"/>
                <w:kern w:val="0"/>
                <w:sz w:val="18"/>
                <w:szCs w:val="18"/>
              </w:rPr>
            </w:pPr>
            <w:r>
              <w:rPr>
                <w:rFonts w:hint="eastAsia"/>
                <w:color w:val="FF0000"/>
                <w:sz w:val="18"/>
                <w:szCs w:val="18"/>
              </w:rPr>
              <w:t>0.33</w:t>
            </w:r>
            <w:r>
              <w:rPr>
                <w:color w:val="FF0000"/>
                <w:sz w:val="18"/>
                <w:szCs w:val="18"/>
              </w:rPr>
              <w:t>7</w:t>
            </w:r>
          </w:p>
        </w:tc>
        <w:tc>
          <w:tcPr>
            <w:tcW w:w="1346"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09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0.037</w:t>
            </w:r>
          </w:p>
        </w:tc>
      </w:tr>
      <w:tr>
        <w:tblPrEx>
          <w:tblCellMar>
            <w:top w:w="0" w:type="dxa"/>
            <w:left w:w="108" w:type="dxa"/>
            <w:bottom w:w="0" w:type="dxa"/>
            <w:right w:w="108" w:type="dxa"/>
          </w:tblCellMar>
        </w:tblPrEx>
        <w:trPr>
          <w:trHeight w:val="270" w:hRule="atLeast"/>
        </w:trPr>
        <w:tc>
          <w:tcPr>
            <w:tcW w:w="1215"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残差</w:t>
            </w:r>
            <w:r>
              <w:rPr>
                <w:rFonts w:hint="eastAsia" w:ascii="宋体" w:hAnsi="宋体" w:cs="宋体"/>
                <w:i/>
                <w:color w:val="000000"/>
                <w:kern w:val="0"/>
                <w:sz w:val="18"/>
                <w:szCs w:val="18"/>
              </w:rPr>
              <w:t>M</w:t>
            </w:r>
            <w:r>
              <w:rPr>
                <w:rFonts w:hint="eastAsia" w:ascii="宋体" w:hAnsi="宋体" w:cs="宋体"/>
                <w:i/>
                <w:color w:val="000000"/>
                <w:kern w:val="0"/>
                <w:sz w:val="18"/>
                <w:szCs w:val="18"/>
                <w:vertAlign w:val="subscript"/>
              </w:rPr>
              <w:t>r</w:t>
            </w:r>
          </w:p>
        </w:tc>
        <w:tc>
          <w:tcPr>
            <w:tcW w:w="1346" w:type="pct"/>
            <w:tcBorders>
              <w:top w:val="nil"/>
              <w:left w:val="single" w:color="auto" w:sz="4" w:space="0"/>
              <w:bottom w:val="single" w:color="auto" w:sz="4" w:space="0"/>
              <w:right w:val="single" w:color="auto" w:sz="4" w:space="0"/>
            </w:tcBorders>
            <w:shd w:val="clear" w:color="000000" w:fill="FFFF00"/>
            <w:vAlign w:val="center"/>
          </w:tcPr>
          <w:p>
            <w:pPr>
              <w:widowControl/>
              <w:jc w:val="center"/>
              <w:rPr>
                <w:rFonts w:ascii="宋体" w:hAnsi="宋体" w:cs="宋体"/>
                <w:color w:val="000000"/>
                <w:kern w:val="0"/>
                <w:sz w:val="18"/>
                <w:szCs w:val="18"/>
              </w:rPr>
            </w:pPr>
            <w:r>
              <w:rPr>
                <w:rFonts w:hint="eastAsia"/>
                <w:color w:val="FF0000"/>
                <w:sz w:val="18"/>
                <w:szCs w:val="18"/>
              </w:rPr>
              <w:t>1.49</w:t>
            </w:r>
            <w:r>
              <w:rPr>
                <w:color w:val="FF0000"/>
                <w:sz w:val="18"/>
                <w:szCs w:val="18"/>
              </w:rPr>
              <w:t>7</w:t>
            </w:r>
          </w:p>
        </w:tc>
        <w:tc>
          <w:tcPr>
            <w:tcW w:w="1346"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1093" w:type="pct"/>
            <w:tcBorders>
              <w:top w:val="nil"/>
              <w:left w:val="single" w:color="auto" w:sz="4" w:space="0"/>
              <w:bottom w:val="single" w:color="auto" w:sz="4" w:space="0"/>
              <w:right w:val="single" w:color="auto" w:sz="4" w:space="0"/>
            </w:tcBorders>
            <w:shd w:val="clear" w:color="000000" w:fill="FFFF00"/>
            <w:vAlign w:val="center"/>
          </w:tcPr>
          <w:p>
            <w:pPr>
              <w:widowControl/>
              <w:jc w:val="center"/>
              <w:rPr>
                <w:rFonts w:ascii="宋体" w:hAnsi="宋体" w:cs="宋体"/>
                <w:color w:val="000000"/>
                <w:kern w:val="0"/>
                <w:sz w:val="18"/>
                <w:szCs w:val="18"/>
              </w:rPr>
            </w:pPr>
            <w:r>
              <w:rPr>
                <w:rFonts w:hint="eastAsia"/>
                <w:color w:val="FF0000"/>
                <w:sz w:val="18"/>
                <w:szCs w:val="18"/>
              </w:rPr>
              <w:t>0.047</w:t>
            </w:r>
          </w:p>
        </w:tc>
      </w:tr>
      <w:tr>
        <w:tblPrEx>
          <w:tblCellMar>
            <w:top w:w="0" w:type="dxa"/>
            <w:left w:w="108" w:type="dxa"/>
            <w:bottom w:w="0" w:type="dxa"/>
            <w:right w:w="108" w:type="dxa"/>
          </w:tblCellMar>
        </w:tblPrEx>
        <w:trPr>
          <w:trHeight w:val="270" w:hRule="atLeast"/>
        </w:trPr>
        <w:tc>
          <w:tcPr>
            <w:tcW w:w="1215"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c>
          <w:tcPr>
            <w:tcW w:w="1346" w:type="pct"/>
            <w:tcBorders>
              <w:top w:val="nil"/>
              <w:left w:val="single" w:color="auto" w:sz="4" w:space="0"/>
              <w:bottom w:val="single" w:color="auto" w:sz="4" w:space="0"/>
              <w:right w:val="single" w:color="auto" w:sz="4" w:space="0"/>
            </w:tcBorders>
            <w:shd w:val="clear" w:color="000000" w:fill="FFFF00"/>
            <w:vAlign w:val="center"/>
          </w:tcPr>
          <w:p>
            <w:pPr>
              <w:widowControl/>
              <w:jc w:val="center"/>
              <w:rPr>
                <w:rFonts w:ascii="宋体" w:hAnsi="宋体" w:cs="宋体"/>
                <w:color w:val="000000"/>
                <w:kern w:val="0"/>
                <w:sz w:val="18"/>
                <w:szCs w:val="18"/>
              </w:rPr>
            </w:pPr>
            <w:r>
              <w:rPr>
                <w:rFonts w:hint="eastAsia"/>
                <w:color w:val="FF0000"/>
                <w:sz w:val="18"/>
                <w:szCs w:val="18"/>
              </w:rPr>
              <w:t>5.58</w:t>
            </w:r>
            <w:r>
              <w:rPr>
                <w:color w:val="FF0000"/>
                <w:sz w:val="18"/>
                <w:szCs w:val="18"/>
              </w:rPr>
              <w:t>6</w:t>
            </w:r>
          </w:p>
        </w:tc>
        <w:tc>
          <w:tcPr>
            <w:tcW w:w="1346"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w:t>
            </w:r>
          </w:p>
        </w:tc>
        <w:tc>
          <w:tcPr>
            <w:tcW w:w="1093" w:type="pct"/>
            <w:tcBorders>
              <w:top w:val="nil"/>
              <w:left w:val="single" w:color="auto" w:sz="4" w:space="0"/>
              <w:bottom w:val="single" w:color="auto" w:sz="4" w:space="0"/>
              <w:right w:val="single" w:color="auto" w:sz="4" w:space="0"/>
            </w:tcBorders>
            <w:shd w:val="clear" w:color="000000" w:fill="FFFF00"/>
            <w:vAlign w:val="center"/>
          </w:tcPr>
          <w:p>
            <w:pPr>
              <w:widowControl/>
              <w:jc w:val="center"/>
              <w:rPr>
                <w:rFonts w:ascii="宋体" w:hAnsi="宋体" w:cs="宋体"/>
                <w:color w:val="000000"/>
                <w:kern w:val="0"/>
                <w:sz w:val="18"/>
                <w:szCs w:val="18"/>
              </w:rPr>
            </w:pPr>
            <w:r>
              <w:rPr>
                <w:rFonts w:hint="eastAsia"/>
                <w:color w:val="FF0000"/>
                <w:sz w:val="18"/>
                <w:szCs w:val="18"/>
              </w:rPr>
              <w:t>0.119</w:t>
            </w:r>
          </w:p>
        </w:tc>
      </w:tr>
    </w:tbl>
    <w:p>
      <w:pPr>
        <w:pStyle w:val="23"/>
      </w:pPr>
    </w:p>
    <w:p>
      <w:pPr>
        <w:pStyle w:val="63"/>
        <w:rPr>
          <w:rFonts w:ascii="Times New Roman"/>
        </w:rPr>
      </w:pPr>
      <w:r>
        <w:rPr>
          <w:rFonts w:ascii="Times New Roman"/>
        </w:rPr>
        <w:t>当相互作用项被首先考虑时，取</w:t>
      </w:r>
      <w:r>
        <w:rPr>
          <w:rFonts w:ascii="Times New Roman"/>
          <w:i/>
        </w:rPr>
        <w:t>M</w:t>
      </w:r>
      <w:r>
        <w:rPr>
          <w:rFonts w:ascii="Times New Roman"/>
          <w:i/>
          <w:vertAlign w:val="subscript"/>
        </w:rPr>
        <w:t>ab</w:t>
      </w:r>
      <w:r>
        <w:rPr>
          <w:rFonts w:ascii="Times New Roman"/>
        </w:rPr>
        <w:t>与</w:t>
      </w:r>
      <w:r>
        <w:rPr>
          <w:rFonts w:ascii="Times New Roman"/>
          <w:i/>
        </w:rPr>
        <w:t>M</w:t>
      </w:r>
      <w:r>
        <w:rPr>
          <w:rFonts w:ascii="Times New Roman"/>
          <w:i/>
          <w:vertAlign w:val="subscript"/>
        </w:rPr>
        <w:t>r</w:t>
      </w:r>
      <w:r>
        <w:rPr>
          <w:rFonts w:ascii="Times New Roman"/>
        </w:rPr>
        <w:t>之比：</w:t>
      </w:r>
    </w:p>
    <w:p>
      <w:pPr>
        <w:pStyle w:val="23"/>
        <w:rPr>
          <w:rFonts w:ascii="Times New Roman"/>
        </w:rPr>
      </w:pPr>
      <w:r>
        <w:rPr>
          <w:rFonts w:ascii="Times New Roman"/>
          <w:i/>
        </w:rPr>
        <w:t>M</w:t>
      </w:r>
      <w:r>
        <w:rPr>
          <w:rFonts w:ascii="Times New Roman"/>
          <w:i/>
          <w:vertAlign w:val="subscript"/>
        </w:rPr>
        <w:t>ab</w:t>
      </w:r>
      <w:r>
        <w:rPr>
          <w:rFonts w:ascii="Times New Roman"/>
        </w:rPr>
        <w:t>/</w:t>
      </w:r>
      <w:r>
        <w:rPr>
          <w:rFonts w:ascii="Times New Roman"/>
          <w:i/>
        </w:rPr>
        <w:t>M</w:t>
      </w:r>
      <w:r>
        <w:rPr>
          <w:rFonts w:ascii="Times New Roman"/>
          <w:i/>
          <w:vertAlign w:val="subscript"/>
        </w:rPr>
        <w:t>r</w:t>
      </w:r>
      <w:r>
        <w:rPr>
          <w:rFonts w:ascii="Times New Roman"/>
        </w:rPr>
        <w:t xml:space="preserve"> = 0.8</w:t>
      </w:r>
      <w:r>
        <w:rPr>
          <w:rFonts w:ascii="Times New Roman"/>
          <w:color w:val="FF0000"/>
        </w:rPr>
        <w:t>0</w:t>
      </w:r>
    </w:p>
    <w:p>
      <w:pPr>
        <w:pStyle w:val="23"/>
        <w:rPr>
          <w:rFonts w:ascii="Times New Roman"/>
        </w:rPr>
      </w:pPr>
      <w:r>
        <w:rPr>
          <w:rFonts w:ascii="Times New Roman"/>
        </w:rPr>
        <w:t>由于小于1，它不显著，</w:t>
      </w:r>
      <w:r>
        <w:rPr>
          <w:rFonts w:ascii="Times New Roman"/>
          <w:i/>
        </w:rPr>
        <w:t>S</w:t>
      </w:r>
      <w:r>
        <w:rPr>
          <w:rFonts w:ascii="Times New Roman"/>
          <w:i/>
          <w:vertAlign w:val="subscript"/>
        </w:rPr>
        <w:t>ab</w:t>
      </w:r>
      <w:r>
        <w:rPr>
          <w:rFonts w:ascii="Times New Roman"/>
        </w:rPr>
        <w:t>可以和</w:t>
      </w:r>
      <w:r>
        <w:rPr>
          <w:rFonts w:ascii="Times New Roman"/>
          <w:i/>
        </w:rPr>
        <w:t>S</w:t>
      </w:r>
      <w:r>
        <w:rPr>
          <w:rFonts w:ascii="Times New Roman"/>
          <w:i/>
          <w:vertAlign w:val="subscript"/>
        </w:rPr>
        <w:t>r</w:t>
      </w:r>
      <w:r>
        <w:rPr>
          <w:rFonts w:ascii="Times New Roman"/>
        </w:rPr>
        <w:t>合并，给出：</w:t>
      </w:r>
    </w:p>
    <w:p>
      <w:pPr>
        <w:pStyle w:val="23"/>
        <w:rPr>
          <w:rFonts w:ascii="Times New Roman"/>
        </w:rPr>
      </w:pPr>
      <w:r>
        <w:rPr>
          <w:rFonts w:ascii="Times New Roman"/>
          <w:i/>
        </w:rPr>
        <w:t>S</w:t>
      </w:r>
      <w:r>
        <w:rPr>
          <w:rFonts w:ascii="Times New Roman"/>
          <w:i/>
          <w:vertAlign w:val="subscript"/>
        </w:rPr>
        <w:t>r</w:t>
      </w:r>
      <w:r>
        <w:rPr>
          <w:rFonts w:ascii="Times New Roman"/>
        </w:rPr>
        <w:sym w:font="Symbol" w:char="00A2"/>
      </w:r>
      <w:r>
        <w:rPr>
          <w:rFonts w:ascii="Times New Roman"/>
        </w:rPr>
        <w:t xml:space="preserve"> = 1.8</w:t>
      </w:r>
      <w:r>
        <w:rPr>
          <w:rFonts w:ascii="Times New Roman"/>
          <w:color w:val="FF0000"/>
        </w:rPr>
        <w:t>33</w:t>
      </w:r>
      <w:r>
        <w:rPr>
          <w:rFonts w:ascii="Times New Roman"/>
        </w:rPr>
        <w:t xml:space="preserve">； </w:t>
      </w:r>
    </w:p>
    <w:p>
      <w:pPr>
        <w:pStyle w:val="23"/>
        <w:rPr>
          <w:rFonts w:ascii="Times New Roman"/>
        </w:rPr>
      </w:pPr>
      <w:r>
        <w:rPr>
          <w:rFonts w:ascii="Times New Roman"/>
        </w:rPr>
        <w:t>DF</w:t>
      </w:r>
      <w:r>
        <w:rPr>
          <w:rFonts w:ascii="Times New Roman"/>
          <w:i/>
          <w:vertAlign w:val="subscript"/>
        </w:rPr>
        <w:t>r</w:t>
      </w:r>
      <w:r>
        <w:rPr>
          <w:rFonts w:ascii="Times New Roman"/>
        </w:rPr>
        <w:sym w:font="Symbol" w:char="00A2"/>
      </w:r>
      <w:r>
        <w:rPr>
          <w:rFonts w:ascii="Times New Roman"/>
        </w:rPr>
        <w:t xml:space="preserve"> = </w:t>
      </w:r>
      <w:r>
        <w:rPr>
          <w:rFonts w:ascii="Times New Roman"/>
          <w:highlight w:val="yellow"/>
        </w:rPr>
        <w:t>4</w:t>
      </w:r>
      <w:r>
        <w:rPr>
          <w:rFonts w:ascii="Times New Roman"/>
          <w:color w:val="FF0000"/>
        </w:rPr>
        <w:t>1</w:t>
      </w:r>
      <w:r>
        <w:rPr>
          <w:rFonts w:ascii="Times New Roman"/>
        </w:rPr>
        <w:t>；</w:t>
      </w:r>
    </w:p>
    <w:p>
      <w:pPr>
        <w:pStyle w:val="23"/>
        <w:rPr>
          <w:rFonts w:ascii="Times New Roman"/>
          <w:color w:val="FF0000"/>
        </w:rPr>
      </w:pPr>
      <w:r>
        <w:rPr>
          <w:rFonts w:ascii="Times New Roman"/>
          <w:i/>
        </w:rPr>
        <w:t>M</w:t>
      </w:r>
      <w:r>
        <w:rPr>
          <w:rFonts w:ascii="Times New Roman"/>
          <w:i/>
          <w:vertAlign w:val="subscript"/>
        </w:rPr>
        <w:t>r</w:t>
      </w:r>
      <w:r>
        <w:rPr>
          <w:rFonts w:ascii="Times New Roman"/>
        </w:rPr>
        <w:sym w:font="Symbol" w:char="00A2"/>
      </w:r>
      <w:r>
        <w:rPr>
          <w:rFonts w:ascii="Times New Roman"/>
        </w:rPr>
        <w:t xml:space="preserve"> = 0.04</w:t>
      </w:r>
      <w:r>
        <w:rPr>
          <w:rFonts w:ascii="Times New Roman"/>
          <w:color w:val="FF0000"/>
        </w:rPr>
        <w:t>5</w:t>
      </w:r>
      <w:r>
        <w:rPr>
          <w:rFonts w:ascii="Times New Roman"/>
        </w:rPr>
        <w:t>。</w:t>
      </w:r>
    </w:p>
    <w:p>
      <w:pPr>
        <w:pStyle w:val="23"/>
        <w:rPr>
          <w:rFonts w:ascii="Times New Roman"/>
        </w:rPr>
      </w:pPr>
    </w:p>
    <w:p>
      <w:pPr>
        <w:pStyle w:val="23"/>
        <w:ind w:firstLine="0" w:firstLineChars="0"/>
        <w:rPr>
          <w:rFonts w:ascii="Times New Roman"/>
        </w:rPr>
      </w:pPr>
      <w:r>
        <w:rPr>
          <w:rFonts w:ascii="Times New Roman"/>
        </w:rPr>
        <w:t>其中，</w:t>
      </w:r>
    </w:p>
    <w:p>
      <w:pPr>
        <w:pStyle w:val="23"/>
        <w:rPr>
          <w:rFonts w:ascii="Times New Roman"/>
        </w:rPr>
      </w:pPr>
      <w:r>
        <w:rPr>
          <w:rFonts w:ascii="Times New Roman"/>
          <w:i/>
        </w:rPr>
        <w:t>S</w:t>
      </w:r>
      <w:r>
        <w:rPr>
          <w:rFonts w:ascii="Times New Roman"/>
          <w:i/>
          <w:vertAlign w:val="subscript"/>
        </w:rPr>
        <w:t>r</w:t>
      </w:r>
      <w:r>
        <w:rPr>
          <w:rFonts w:ascii="Times New Roman"/>
        </w:rPr>
        <w:sym w:font="Symbol" w:char="00A2"/>
      </w:r>
      <w:r>
        <w:rPr>
          <w:rFonts w:ascii="Times New Roman"/>
        </w:rPr>
        <w:t xml:space="preserve"> 是</w:t>
      </w:r>
      <w:r>
        <w:rPr>
          <w:rFonts w:ascii="Times New Roman"/>
          <w:i/>
        </w:rPr>
        <w:t>S</w:t>
      </w:r>
      <w:r>
        <w:rPr>
          <w:rFonts w:ascii="Times New Roman"/>
          <w:i/>
          <w:vertAlign w:val="subscript"/>
        </w:rPr>
        <w:t>r</w:t>
      </w:r>
      <w:r>
        <w:rPr>
          <w:rFonts w:ascii="Times New Roman"/>
        </w:rPr>
        <w:t>的新值；</w:t>
      </w:r>
    </w:p>
    <w:p>
      <w:pPr>
        <w:pStyle w:val="23"/>
        <w:rPr>
          <w:rFonts w:ascii="Times New Roman"/>
        </w:rPr>
      </w:pPr>
      <w:r>
        <w:rPr>
          <w:rFonts w:ascii="Times New Roman"/>
        </w:rPr>
        <w:t>DF</w:t>
      </w:r>
      <w:r>
        <w:rPr>
          <w:rFonts w:ascii="Times New Roman"/>
          <w:i/>
          <w:vertAlign w:val="subscript"/>
        </w:rPr>
        <w:t>r</w:t>
      </w:r>
      <w:r>
        <w:rPr>
          <w:rFonts w:ascii="Times New Roman"/>
        </w:rPr>
        <w:sym w:font="Symbol" w:char="00A2"/>
      </w:r>
      <w:r>
        <w:rPr>
          <w:rFonts w:ascii="Times New Roman"/>
        </w:rPr>
        <w:t>是DF</w:t>
      </w:r>
      <w:r>
        <w:rPr>
          <w:rFonts w:ascii="Times New Roman"/>
          <w:i/>
          <w:vertAlign w:val="subscript"/>
        </w:rPr>
        <w:t>r</w:t>
      </w:r>
      <w:r>
        <w:rPr>
          <w:rFonts w:ascii="Times New Roman"/>
        </w:rPr>
        <w:t>的新值；</w:t>
      </w:r>
    </w:p>
    <w:p>
      <w:pPr>
        <w:pStyle w:val="23"/>
        <w:rPr>
          <w:rFonts w:ascii="Times New Roman"/>
        </w:rPr>
      </w:pPr>
      <w:r>
        <w:rPr>
          <w:rFonts w:ascii="Times New Roman"/>
          <w:i/>
        </w:rPr>
        <w:t>M</w:t>
      </w:r>
      <w:r>
        <w:rPr>
          <w:rFonts w:ascii="Times New Roman"/>
          <w:i/>
          <w:vertAlign w:val="subscript"/>
        </w:rPr>
        <w:t>r</w:t>
      </w:r>
      <w:r>
        <w:rPr>
          <w:rFonts w:ascii="Times New Roman"/>
        </w:rPr>
        <w:sym w:font="Symbol" w:char="00A2"/>
      </w:r>
      <w:r>
        <w:rPr>
          <w:rFonts w:ascii="Times New Roman"/>
        </w:rPr>
        <w:t xml:space="preserve"> 是</w:t>
      </w:r>
      <w:r>
        <w:rPr>
          <w:rFonts w:ascii="Times New Roman"/>
          <w:i/>
        </w:rPr>
        <w:t>M</w:t>
      </w:r>
      <w:r>
        <w:rPr>
          <w:rFonts w:ascii="Times New Roman"/>
          <w:i/>
          <w:vertAlign w:val="subscript"/>
        </w:rPr>
        <w:t>r</w:t>
      </w:r>
      <w:r>
        <w:rPr>
          <w:rFonts w:ascii="Times New Roman"/>
        </w:rPr>
        <w:t>的新值。</w:t>
      </w:r>
    </w:p>
    <w:p>
      <w:pPr>
        <w:pStyle w:val="63"/>
      </w:pPr>
      <w:r>
        <w:rPr>
          <w:rFonts w:hint="eastAsia"/>
        </w:rPr>
        <w:t>当考虑两主要因素A和B时：</w:t>
      </w:r>
    </w:p>
    <w:p>
      <w:pPr>
        <w:pStyle w:val="23"/>
        <w:rPr>
          <w:rFonts w:ascii="Times New Roman"/>
        </w:rPr>
      </w:pPr>
      <w:r>
        <w:rPr>
          <w:rFonts w:ascii="Times New Roman"/>
          <w:i/>
        </w:rPr>
        <w:t>M</w:t>
      </w:r>
      <w:r>
        <w:rPr>
          <w:rFonts w:ascii="Times New Roman"/>
          <w:i/>
          <w:vertAlign w:val="subscript"/>
        </w:rPr>
        <w:t>a</w:t>
      </w:r>
      <w:r>
        <w:rPr>
          <w:rFonts w:ascii="Times New Roman"/>
        </w:rPr>
        <w:t>/</w:t>
      </w:r>
      <w:r>
        <w:rPr>
          <w:rFonts w:ascii="Times New Roman"/>
          <w:i/>
        </w:rPr>
        <w:t>M</w:t>
      </w:r>
      <w:r>
        <w:rPr>
          <w:rFonts w:ascii="Times New Roman"/>
          <w:i/>
          <w:vertAlign w:val="subscript"/>
        </w:rPr>
        <w:t>r</w:t>
      </w:r>
      <w:r>
        <w:rPr>
          <w:rFonts w:ascii="Times New Roman"/>
        </w:rPr>
        <w:sym w:font="Symbol" w:char="00A2"/>
      </w:r>
      <w:r>
        <w:rPr>
          <w:rFonts w:ascii="Times New Roman"/>
        </w:rPr>
        <w:t xml:space="preserve"> = 25.</w:t>
      </w:r>
      <w:r>
        <w:rPr>
          <w:rFonts w:ascii="Times New Roman"/>
          <w:color w:val="FF0000"/>
        </w:rPr>
        <w:t>07</w:t>
      </w:r>
      <w:r>
        <w:rPr>
          <w:rFonts w:ascii="Times New Roman"/>
        </w:rPr>
        <w:t>;</w:t>
      </w:r>
    </w:p>
    <w:p>
      <w:pPr>
        <w:pStyle w:val="23"/>
        <w:rPr>
          <w:rFonts w:ascii="Times New Roman"/>
        </w:rPr>
      </w:pPr>
      <w:r>
        <w:rPr>
          <w:rFonts w:ascii="Times New Roman"/>
          <w:i/>
        </w:rPr>
        <w:t>M</w:t>
      </w:r>
      <w:r>
        <w:rPr>
          <w:rFonts w:ascii="Times New Roman"/>
          <w:i/>
          <w:vertAlign w:val="subscript"/>
        </w:rPr>
        <w:t xml:space="preserve">b </w:t>
      </w:r>
      <w:r>
        <w:rPr>
          <w:rFonts w:ascii="Times New Roman"/>
        </w:rPr>
        <w:t>/</w:t>
      </w:r>
      <w:r>
        <w:rPr>
          <w:rFonts w:ascii="Times New Roman"/>
          <w:i/>
        </w:rPr>
        <w:t>M</w:t>
      </w:r>
      <w:r>
        <w:rPr>
          <w:rFonts w:ascii="Times New Roman"/>
          <w:i/>
          <w:vertAlign w:val="subscript"/>
        </w:rPr>
        <w:t>r</w:t>
      </w:r>
      <w:r>
        <w:rPr>
          <w:rFonts w:ascii="Times New Roman"/>
        </w:rPr>
        <w:sym w:font="Symbol" w:char="00A2"/>
      </w:r>
      <w:r>
        <w:rPr>
          <w:rFonts w:ascii="Times New Roman"/>
        </w:rPr>
        <w:t xml:space="preserve"> = </w:t>
      </w:r>
      <w:r>
        <w:rPr>
          <w:rFonts w:ascii="Times New Roman"/>
          <w:color w:val="FF0000"/>
        </w:rPr>
        <w:t>2.90.</w:t>
      </w:r>
    </w:p>
    <w:p>
      <w:pPr>
        <w:pStyle w:val="23"/>
        <w:ind w:firstLine="0" w:firstLineChars="0"/>
        <w:rPr>
          <w:rFonts w:ascii="Times New Roman"/>
        </w:rPr>
      </w:pPr>
      <w:r>
        <w:rPr>
          <w:rFonts w:ascii="Times New Roman"/>
        </w:rPr>
        <w:t>对于自由度3×41的临界</w:t>
      </w:r>
      <w:r>
        <w:rPr>
          <w:rFonts w:ascii="Times New Roman"/>
          <w:i/>
        </w:rPr>
        <w:t>F</w:t>
      </w:r>
      <w:r>
        <w:rPr>
          <w:rFonts w:ascii="Times New Roman"/>
        </w:rPr>
        <w:t>值:</w:t>
      </w:r>
    </w:p>
    <w:p>
      <w:pPr>
        <w:pStyle w:val="23"/>
        <w:ind w:firstLine="400"/>
        <w:rPr>
          <w:rFonts w:ascii="Times New Roman"/>
          <w:sz w:val="20"/>
        </w:rPr>
      </w:pPr>
      <w:r>
        <w:rPr>
          <w:rFonts w:ascii="Times New Roman"/>
          <w:i/>
          <w:iCs/>
          <w:sz w:val="20"/>
        </w:rPr>
        <w:t>F</w:t>
      </w:r>
      <w:r>
        <w:rPr>
          <w:rFonts w:ascii="Times New Roman"/>
          <w:sz w:val="16"/>
          <w:szCs w:val="16"/>
          <w:vertAlign w:val="subscript"/>
        </w:rPr>
        <w:t>cr</w:t>
      </w:r>
      <w:r>
        <w:rPr>
          <w:rFonts w:ascii="Times New Roman"/>
          <w:sz w:val="16"/>
          <w:szCs w:val="16"/>
        </w:rPr>
        <w:t xml:space="preserve"> </w:t>
      </w:r>
      <w:r>
        <w:rPr>
          <w:rFonts w:ascii="Times New Roman"/>
          <w:sz w:val="20"/>
        </w:rPr>
        <w:t>= 2.84</w:t>
      </w:r>
      <w:r>
        <w:rPr>
          <w:rFonts w:ascii="Times New Roman" w:hAnsi="Arial"/>
          <w:sz w:val="20"/>
        </w:rPr>
        <w:t>，置信水平</w:t>
      </w:r>
      <w:r>
        <w:rPr>
          <w:rFonts w:ascii="Times New Roman"/>
          <w:sz w:val="20"/>
        </w:rPr>
        <w:t>95 % ;</w:t>
      </w:r>
    </w:p>
    <w:p>
      <w:pPr>
        <w:pStyle w:val="23"/>
        <w:ind w:firstLine="400"/>
        <w:rPr>
          <w:rFonts w:ascii="Times New Roman"/>
          <w:sz w:val="20"/>
        </w:rPr>
      </w:pPr>
      <w:r>
        <w:rPr>
          <w:rFonts w:ascii="Times New Roman"/>
          <w:i/>
          <w:iCs/>
          <w:sz w:val="20"/>
        </w:rPr>
        <w:t>F</w:t>
      </w:r>
      <w:r>
        <w:rPr>
          <w:rFonts w:ascii="Times New Roman"/>
          <w:sz w:val="16"/>
          <w:szCs w:val="16"/>
          <w:vertAlign w:val="subscript"/>
        </w:rPr>
        <w:t>cr</w:t>
      </w:r>
      <w:r>
        <w:rPr>
          <w:rFonts w:ascii="Times New Roman"/>
          <w:sz w:val="16"/>
          <w:szCs w:val="16"/>
        </w:rPr>
        <w:t xml:space="preserve"> </w:t>
      </w:r>
      <w:r>
        <w:rPr>
          <w:rFonts w:ascii="Times New Roman"/>
          <w:sz w:val="20"/>
        </w:rPr>
        <w:t>= 4.31</w:t>
      </w:r>
      <w:r>
        <w:rPr>
          <w:rFonts w:ascii="Times New Roman" w:hAnsi="Arial"/>
          <w:sz w:val="20"/>
        </w:rPr>
        <w:t>，置信水平</w:t>
      </w:r>
      <w:r>
        <w:rPr>
          <w:rFonts w:ascii="Times New Roman"/>
          <w:sz w:val="20"/>
        </w:rPr>
        <w:t>99 %</w:t>
      </w:r>
      <w:r>
        <w:rPr>
          <w:rFonts w:ascii="Times New Roman" w:hAnsi="Arial"/>
          <w:sz w:val="20"/>
        </w:rPr>
        <w:t>。</w:t>
      </w:r>
    </w:p>
    <w:p>
      <w:pPr>
        <w:pStyle w:val="63"/>
      </w:pPr>
      <w:r>
        <w:rPr>
          <w:rFonts w:ascii="Arial" w:hAnsi="Arial" w:cs="Arial"/>
          <w:spacing w:val="10"/>
          <w:sz w:val="19"/>
          <w:szCs w:val="19"/>
        </w:rPr>
        <w:t>结论是，这两个因素都很重要，尽管油</w:t>
      </w:r>
      <w:r>
        <w:rPr>
          <w:rFonts w:hint="eastAsia" w:ascii="Arial" w:hAnsi="Arial" w:cs="Arial"/>
          <w:spacing w:val="10"/>
          <w:sz w:val="19"/>
          <w:szCs w:val="19"/>
        </w:rPr>
        <w:t>的</w:t>
      </w:r>
      <w:r>
        <w:rPr>
          <w:rFonts w:ascii="Arial" w:hAnsi="Arial" w:cs="Arial"/>
          <w:spacing w:val="10"/>
          <w:sz w:val="19"/>
          <w:szCs w:val="19"/>
        </w:rPr>
        <w:t>因素仅在95 %的水平上很重要，而炭黑</w:t>
      </w:r>
      <w:r>
        <w:rPr>
          <w:rFonts w:hint="eastAsia" w:ascii="Arial" w:hAnsi="Arial" w:cs="Arial"/>
          <w:spacing w:val="10"/>
          <w:sz w:val="19"/>
          <w:szCs w:val="19"/>
        </w:rPr>
        <w:t>的</w:t>
      </w:r>
      <w:r>
        <w:rPr>
          <w:rFonts w:ascii="Arial" w:hAnsi="Arial" w:cs="Arial"/>
          <w:spacing w:val="10"/>
          <w:sz w:val="19"/>
          <w:szCs w:val="19"/>
        </w:rPr>
        <w:t>因素在远远超过99 %的水平上很重要。这些因素之间没有显著的相互作用。因此，可以提高油</w:t>
      </w:r>
      <w:r>
        <w:rPr>
          <w:rFonts w:hint="eastAsia" w:ascii="Arial" w:hAnsi="Arial" w:cs="Arial"/>
          <w:spacing w:val="10"/>
          <w:sz w:val="19"/>
          <w:szCs w:val="19"/>
        </w:rPr>
        <w:t>含量</w:t>
      </w:r>
      <w:r>
        <w:rPr>
          <w:rFonts w:ascii="Arial" w:hAnsi="Arial" w:cs="Arial"/>
          <w:spacing w:val="10"/>
          <w:sz w:val="19"/>
          <w:szCs w:val="19"/>
        </w:rPr>
        <w:t>，以改善</w:t>
      </w:r>
      <w:r>
        <w:rPr>
          <w:rFonts w:hint="eastAsia" w:ascii="Arial" w:hAnsi="Arial" w:cs="Arial"/>
          <w:spacing w:val="10"/>
          <w:sz w:val="19"/>
          <w:szCs w:val="19"/>
        </w:rPr>
        <w:t>混炼胶</w:t>
      </w:r>
      <w:r>
        <w:rPr>
          <w:rFonts w:ascii="Arial" w:hAnsi="Arial" w:cs="Arial"/>
          <w:spacing w:val="10"/>
          <w:sz w:val="19"/>
          <w:szCs w:val="19"/>
        </w:rPr>
        <w:t>的加工性能，而不会对</w:t>
      </w:r>
      <w:r>
        <w:rPr>
          <w:rFonts w:hint="eastAsia" w:ascii="Arial" w:hAnsi="Arial" w:cs="Arial"/>
          <w:spacing w:val="10"/>
          <w:sz w:val="19"/>
          <w:szCs w:val="19"/>
        </w:rPr>
        <w:t>混炼胶</w:t>
      </w:r>
      <w:r>
        <w:rPr>
          <w:rFonts w:ascii="Arial" w:hAnsi="Arial" w:cs="Arial"/>
          <w:spacing w:val="10"/>
          <w:sz w:val="19"/>
          <w:szCs w:val="19"/>
        </w:rPr>
        <w:t>的耐磨性产生太大的损害。</w:t>
      </w:r>
    </w:p>
    <w:p>
      <w:pPr>
        <w:pStyle w:val="64"/>
      </w:pPr>
      <w:r>
        <w:rPr>
          <w:rFonts w:hint="eastAsia"/>
        </w:rPr>
        <w:t>上述例子也可以用最小二乘回归法来分析，这种方法可以定量估计变量之间的关系以及它们之间的相互作用。</w:t>
      </w:r>
    </w:p>
    <w:p>
      <w:pPr>
        <w:pStyle w:val="45"/>
      </w:pPr>
      <w:bookmarkStart w:id="237" w:name="_Toc124173947"/>
      <w:r>
        <w:rPr>
          <w:rFonts w:hint="eastAsia"/>
        </w:rPr>
        <w:t>回归分析</w:t>
      </w:r>
      <w:bookmarkEnd w:id="237"/>
    </w:p>
    <w:p>
      <w:pPr>
        <w:pStyle w:val="42"/>
      </w:pPr>
      <w:bookmarkStart w:id="238" w:name="_Toc124173948"/>
      <w:r>
        <w:rPr>
          <w:rFonts w:hint="eastAsia"/>
        </w:rPr>
        <w:t>原理</w:t>
      </w:r>
      <w:bookmarkEnd w:id="238"/>
    </w:p>
    <w:p>
      <w:pPr>
        <w:pStyle w:val="63"/>
      </w:pPr>
      <w:r>
        <w:rPr>
          <w:rFonts w:hint="eastAsia"/>
        </w:rPr>
        <w:t>当进行了一系列的测试，其中一个测试参数，例如压缩永久变形，是在一个独立变量(如时间或温度)的不同值上测量的，可以预期它们之间会存在某种形式的函数关系。然而，如第10章所示，在这个过程中有许多变异源，最终的结果是观测到的数据并不完全适合单个曲线函数，而是或多或少地分散在所选择函数周围。因变量（测得的）和自变量（受控的）之间的函数关系称为回归线。</w:t>
      </w:r>
    </w:p>
    <w:p>
      <w:pPr>
        <w:pStyle w:val="63"/>
      </w:pPr>
      <w:r>
        <w:rPr>
          <w:rFonts w:hint="eastAsia"/>
        </w:rPr>
        <w:t>所选择的模型方程是能够从科学定律中推导出来，但通常并不这样，而是要借助经验关系。在这种情况下，宜使用充分描述观测结果的最简单的函数关系。因此，对于作为压缩时间(温度保持恒定)的函数的压缩形变，永久变形和时间的对数之间的线性关系可以很好地表达观测到的实验误差内的数据。然而，很明显，真正的函数关系不能是线性的，因为压缩永久变形低于0%或高于100%是不可能的。因此，相比实验中遇到的，过渡函数会能更好的在更大的时间跨度内描述这种关系。一个简单的替代方法是将压缩永久变形(cs)的值用下述函数替换为纵坐标：</w:t>
      </w:r>
    </w:p>
    <w:p>
      <w:pPr>
        <w:tabs>
          <w:tab w:val="left" w:pos="284"/>
          <w:tab w:val="left" w:pos="567"/>
        </w:tabs>
        <w:spacing w:before="156" w:beforeLines="50" w:after="156" w:afterLines="50"/>
        <w:ind w:left="420" w:leftChars="200"/>
      </w:pPr>
      <w:r>
        <w:rPr>
          <w:kern w:val="0"/>
          <w:sz w:val="20"/>
          <w:szCs w:val="20"/>
        </w:rPr>
        <w:t xml:space="preserve">log[cs/(100 </w:t>
      </w:r>
      <w:r>
        <w:rPr>
          <w:rFonts w:eastAsia="MS Mincho"/>
          <w:kern w:val="0"/>
          <w:sz w:val="20"/>
          <w:szCs w:val="20"/>
        </w:rPr>
        <w:t>−</w:t>
      </w:r>
      <w:r>
        <w:rPr>
          <w:kern w:val="0"/>
          <w:sz w:val="20"/>
          <w:szCs w:val="20"/>
        </w:rPr>
        <w:t xml:space="preserve"> cs)]</w:t>
      </w:r>
    </w:p>
    <w:p>
      <w:pPr>
        <w:pStyle w:val="63"/>
      </w:pPr>
      <w:r>
        <w:rPr>
          <w:rFonts w:hint="eastAsia"/>
        </w:rPr>
        <w:t>在考虑使用的函数形式时，宜考虑以下三点:</w:t>
      </w:r>
    </w:p>
    <w:p>
      <w:pPr>
        <w:pStyle w:val="59"/>
        <w:numPr>
          <w:ilvl w:val="0"/>
          <w:numId w:val="31"/>
        </w:numPr>
      </w:pPr>
      <w:r>
        <w:rPr>
          <w:rFonts w:hint="eastAsia"/>
        </w:rPr>
        <w:t>函数的系数可以用解析法推导出来(例如用最小二乘法)，如果不能，也可以用迭代法代替。</w:t>
      </w:r>
    </w:p>
    <w:p>
      <w:pPr>
        <w:pStyle w:val="59"/>
      </w:pPr>
      <w:r>
        <w:rPr>
          <w:rFonts w:hint="eastAsia"/>
        </w:rPr>
        <w:t>从更复杂的函数中获得的好处应该足以证明在求其系数时所付出的额外努力是合理的。</w:t>
      </w:r>
    </w:p>
    <w:p>
      <w:pPr>
        <w:pStyle w:val="59"/>
      </w:pPr>
      <w:r>
        <w:rPr>
          <w:rFonts w:hint="eastAsia"/>
        </w:rPr>
        <w:t>宜进行评估，以确定所观测到的数据是否必须外推才能达到特别关注的条件。</w:t>
      </w:r>
    </w:p>
    <w:p>
      <w:pPr>
        <w:pStyle w:val="23"/>
      </w:pPr>
      <w:r>
        <w:rPr>
          <w:rFonts w:hint="eastAsia"/>
        </w:rPr>
        <w:t>在这方面适用的试验有:</w:t>
      </w:r>
    </w:p>
    <w:p>
      <w:pPr>
        <w:pStyle w:val="54"/>
      </w:pPr>
      <w:r>
        <w:rPr>
          <w:rFonts w:hint="eastAsia"/>
        </w:rPr>
        <w:t>在高温下短期老化以预测在低温下长期的行为;</w:t>
      </w:r>
    </w:p>
    <w:p>
      <w:pPr>
        <w:pStyle w:val="54"/>
      </w:pPr>
      <w:r>
        <w:rPr>
          <w:rFonts w:hint="eastAsia"/>
        </w:rPr>
        <w:t>用短时间试验估算长时间应力松弛。</w:t>
      </w:r>
    </w:p>
    <w:p>
      <w:pPr>
        <w:pStyle w:val="23"/>
      </w:pPr>
      <w:r>
        <w:rPr>
          <w:rFonts w:hint="eastAsia"/>
        </w:rPr>
        <w:t>如果需要插值或非常短的外推，例如在回缩试验中估算出现70%回缩的温度时，则宜选择给出数据正确趋势的最小阶多项式。</w:t>
      </w:r>
    </w:p>
    <w:p>
      <w:pPr>
        <w:pStyle w:val="63"/>
      </w:pPr>
      <w:r>
        <w:rPr>
          <w:rFonts w:hint="eastAsia"/>
        </w:rPr>
        <w:t>然而，对于外推法来说，多项式是出了名的危险，多项式的阶数越高，这种趋势就越严重。在这种情况下，可能有必要使用更复杂的函数，以避免预测的严重不准确。然而，不使用更复杂的函数的另一个原因是，除了很难得到它的系数外，它不一定能像更简单的函数那样很好地表达所观察到的数据，尽管使用它进行外推更安全。现在有几个强大的个人计算机程序，它们能够使曲线拟合，只是比输入数据和从内置函数库中选择一个或多个函数稍麻烦点。建议尽可能使用这些方案，以减少进行分析所需的时间和努力。</w:t>
      </w:r>
    </w:p>
    <w:p>
      <w:pPr>
        <w:pStyle w:val="23"/>
      </w:pPr>
      <w:r>
        <w:rPr>
          <w:rFonts w:hint="eastAsia"/>
        </w:rPr>
        <w:t>同样值得注意的是，许多关系式可以通过诸如对数、倒数或根之类的变换简化为特别易解的线性形式。</w:t>
      </w:r>
    </w:p>
    <w:p>
      <w:pPr>
        <w:pStyle w:val="42"/>
      </w:pPr>
      <w:bookmarkStart w:id="239" w:name="_Toc124173949"/>
      <w:r>
        <w:rPr>
          <w:rFonts w:hint="eastAsia"/>
        </w:rPr>
        <w:t>方法</w:t>
      </w:r>
      <w:bookmarkEnd w:id="239"/>
    </w:p>
    <w:p>
      <w:pPr>
        <w:pStyle w:val="46"/>
        <w:spacing w:before="156" w:after="156"/>
      </w:pPr>
      <w:r>
        <w:rPr>
          <w:rFonts w:hint="eastAsia"/>
        </w:rPr>
        <w:t>概述</w:t>
      </w:r>
    </w:p>
    <w:p>
      <w:pPr>
        <w:pStyle w:val="23"/>
        <w:rPr>
          <w:rFonts w:ascii="Arial" w:hAnsi="Arial" w:cs="Arial"/>
          <w:color w:val="333333"/>
          <w:szCs w:val="21"/>
          <w:shd w:val="clear" w:color="auto" w:fill="F7F8FA"/>
        </w:rPr>
      </w:pPr>
      <w:r>
        <w:rPr>
          <w:rFonts w:hint="eastAsia"/>
        </w:rPr>
        <w:t>这里介绍最高为三阶的多项式(或任何可简化为多项式的函数)的最小二乘法，作为该技术说明。这些将涵盖橡胶工业的大多数应用。对于方程的推导和高阶多项式的发展，请参考标准数学教科书。(参见本标准末尾的参考文献，其中列出了一些有用的参考著作。)</w:t>
      </w:r>
    </w:p>
    <w:p>
      <w:pPr>
        <w:pStyle w:val="23"/>
      </w:pPr>
      <w:r>
        <w:rPr>
          <w:rFonts w:hint="eastAsia"/>
        </w:rPr>
        <w:t>拟合不能用最小二乘法处理的函数曲线的迭代法有很多，但这些都超出了本文件的范围，请参考数学教科书。</w:t>
      </w:r>
    </w:p>
    <w:p>
      <w:pPr>
        <w:pStyle w:val="23"/>
        <w:rPr>
          <w:szCs w:val="22"/>
        </w:rPr>
      </w:pPr>
      <w:r>
        <w:t>利用计算软件进行回归计算会更方便</w:t>
      </w:r>
      <w:r>
        <w:rPr>
          <w:rFonts w:hint="eastAsia"/>
        </w:rPr>
        <w:t>，</w:t>
      </w:r>
      <w:r>
        <w:t>附录</w:t>
      </w:r>
      <w:r>
        <w:rPr>
          <w:rFonts w:hint="eastAsia"/>
        </w:rPr>
        <w:t>H给出了利用excel计算的示例。</w:t>
      </w:r>
    </w:p>
    <w:p>
      <w:pPr>
        <w:pStyle w:val="46"/>
        <w:spacing w:before="156" w:after="156"/>
      </w:pPr>
      <w:r>
        <w:rPr>
          <w:rFonts w:hint="eastAsia"/>
        </w:rPr>
        <w:t>线性最小二乘法</w:t>
      </w:r>
    </w:p>
    <w:p>
      <w:pPr>
        <w:pStyle w:val="113"/>
        <w:rPr>
          <w:rFonts w:ascii="Times New Roman"/>
        </w:rPr>
      </w:pPr>
      <w:r>
        <w:rPr>
          <w:rFonts w:ascii="Times New Roman"/>
        </w:rPr>
        <w:t>考虑在一组条件（</w:t>
      </w:r>
      <w:r>
        <w:rPr>
          <w:rFonts w:ascii="Times New Roman"/>
          <w:i/>
        </w:rPr>
        <w:t>x</w:t>
      </w:r>
      <w:r>
        <w:rPr>
          <w:rFonts w:ascii="Times New Roman"/>
        </w:rPr>
        <w:t>）下得到的一组结果（</w:t>
      </w:r>
      <w:r>
        <w:rPr>
          <w:rFonts w:ascii="Times New Roman"/>
          <w:i/>
        </w:rPr>
        <w:t>y</w:t>
      </w:r>
      <w:r>
        <w:rPr>
          <w:rFonts w:ascii="Times New Roman"/>
        </w:rPr>
        <w:t>），总共有n个数据对。以所有</w:t>
      </w:r>
      <w:r>
        <w:rPr>
          <w:rFonts w:ascii="Times New Roman"/>
          <w:i/>
        </w:rPr>
        <w:t>n</w:t>
      </w:r>
      <w:r>
        <w:rPr>
          <w:rFonts w:ascii="Times New Roman"/>
        </w:rPr>
        <w:t>个数据对的项求和。</w:t>
      </w:r>
    </w:p>
    <w:p>
      <w:pPr>
        <w:pStyle w:val="23"/>
        <w:rPr>
          <w:rFonts w:ascii="Times New Roman"/>
        </w:rPr>
      </w:pPr>
      <w:r>
        <w:rPr>
          <w:rFonts w:ascii="Times New Roman"/>
        </w:rPr>
        <w:t>最简单的、线性的回归线形式能够写为式（</w:t>
      </w:r>
      <w:r>
        <w:rPr>
          <w:rFonts w:hint="eastAsia" w:ascii="Times New Roman"/>
        </w:rPr>
        <w:t>46）</w:t>
      </w:r>
      <w:r>
        <w:rPr>
          <w:rFonts w:ascii="Times New Roman"/>
        </w:rPr>
        <w:t>：</w:t>
      </w:r>
    </w:p>
    <w:p>
      <w:pPr>
        <w:pStyle w:val="23"/>
        <w:ind w:firstLine="840" w:firstLineChars="400"/>
        <w:rPr>
          <w:rFonts w:ascii="Times New Roman"/>
        </w:rPr>
      </w:pPr>
      <w:r>
        <w:rPr>
          <w:rFonts w:ascii="Times New Roman"/>
          <w:i/>
        </w:rPr>
        <w:t>y</w:t>
      </w:r>
      <w:r>
        <w:rPr>
          <w:rFonts w:ascii="Times New Roman"/>
        </w:rPr>
        <w:t xml:space="preserve"> = </w:t>
      </w:r>
      <w:r>
        <w:rPr>
          <w:rFonts w:ascii="Times New Roman"/>
          <w:i/>
        </w:rPr>
        <w:t>a</w:t>
      </w:r>
      <w:r>
        <w:rPr>
          <w:rFonts w:ascii="Times New Roman"/>
        </w:rPr>
        <w:t xml:space="preserve"> + </w:t>
      </w:r>
      <w:r>
        <w:rPr>
          <w:rFonts w:ascii="Times New Roman"/>
          <w:i/>
        </w:rPr>
        <w:t>bx</w:t>
      </w:r>
      <w:r>
        <w:rPr>
          <w:rFonts w:ascii="Times New Roman"/>
        </w:rPr>
        <w:t xml:space="preserve">                                                                  (46)</w:t>
      </w:r>
    </w:p>
    <w:p>
      <w:pPr>
        <w:pStyle w:val="23"/>
        <w:ind w:firstLine="0" w:firstLineChars="0"/>
        <w:rPr>
          <w:rFonts w:ascii="Times New Roman"/>
        </w:rPr>
      </w:pPr>
      <w:r>
        <w:rPr>
          <w:rFonts w:ascii="Times New Roman"/>
        </w:rPr>
        <w:t>其中：</w:t>
      </w:r>
    </w:p>
    <w:p>
      <w:pPr>
        <w:pStyle w:val="23"/>
        <w:rPr>
          <w:rFonts w:ascii="Times New Roman"/>
        </w:rPr>
      </w:pPr>
      <w:r>
        <w:rPr>
          <w:rFonts w:ascii="Times New Roman"/>
          <w:i/>
        </w:rPr>
        <w:t xml:space="preserve">a </w:t>
      </w:r>
      <w:r>
        <w:rPr>
          <w:rFonts w:ascii="Times New Roman"/>
        </w:rPr>
        <w:t>是当</w:t>
      </w:r>
      <w:r>
        <w:rPr>
          <w:rFonts w:ascii="Times New Roman"/>
          <w:i/>
        </w:rPr>
        <w:t xml:space="preserve">x </w:t>
      </w:r>
      <w:r>
        <w:rPr>
          <w:rFonts w:ascii="Times New Roman"/>
        </w:rPr>
        <w:t>= 0时，</w:t>
      </w:r>
      <w:r>
        <w:rPr>
          <w:rFonts w:ascii="Times New Roman"/>
          <w:i/>
        </w:rPr>
        <w:t>y</w:t>
      </w:r>
      <w:r>
        <w:rPr>
          <w:rFonts w:ascii="Times New Roman"/>
        </w:rPr>
        <w:t>轴上的截距；</w:t>
      </w:r>
    </w:p>
    <w:p>
      <w:pPr>
        <w:pStyle w:val="23"/>
        <w:rPr>
          <w:rFonts w:ascii="Times New Roman"/>
        </w:rPr>
      </w:pPr>
      <w:r>
        <w:rPr>
          <w:rFonts w:ascii="Times New Roman"/>
          <w:i/>
        </w:rPr>
        <w:t>b</w:t>
      </w:r>
      <w:r>
        <w:rPr>
          <w:rFonts w:ascii="Times New Roman"/>
        </w:rPr>
        <w:t xml:space="preserve"> 是回归方程的斜率。</w:t>
      </w:r>
    </w:p>
    <w:p>
      <w:pPr>
        <w:pStyle w:val="113"/>
        <w:rPr>
          <w:rFonts w:ascii="Times New Roman"/>
        </w:rPr>
      </w:pPr>
      <w:r>
        <w:rPr>
          <w:rFonts w:ascii="Times New Roman"/>
        </w:rPr>
        <w:t>为了计算</w:t>
      </w:r>
      <w:r>
        <w:rPr>
          <w:rFonts w:ascii="Times New Roman"/>
          <w:i/>
        </w:rPr>
        <w:t>a</w:t>
      </w:r>
      <w:r>
        <w:rPr>
          <w:rFonts w:ascii="Times New Roman"/>
        </w:rPr>
        <w:t>和</w:t>
      </w:r>
      <w:r>
        <w:rPr>
          <w:rFonts w:ascii="Times New Roman"/>
          <w:i/>
        </w:rPr>
        <w:t>b</w:t>
      </w:r>
      <w:r>
        <w:rPr>
          <w:rFonts w:ascii="Times New Roman"/>
        </w:rPr>
        <w:t>的最佳估计值，首先计算以下因子：</w:t>
      </w:r>
    </w:p>
    <w:p>
      <w:pPr>
        <w:pStyle w:val="23"/>
        <w:rPr>
          <w:rFonts w:ascii="Times New Roman"/>
        </w:rPr>
      </w:pPr>
      <w:r>
        <w:rPr>
          <w:rFonts w:ascii="Times New Roman"/>
          <w:i/>
        </w:rPr>
        <w:t>C</w:t>
      </w:r>
      <w:r>
        <w:rPr>
          <w:rFonts w:ascii="Times New Roman"/>
          <w:vertAlign w:val="subscript"/>
        </w:rPr>
        <w:t>11</w:t>
      </w:r>
      <w:r>
        <w:rPr>
          <w:rFonts w:ascii="Times New Roman"/>
        </w:rPr>
        <w:t xml:space="preserve"> </w:t>
      </w:r>
      <w:r>
        <w:rPr>
          <w:rFonts w:hint="eastAsia" w:ascii="Times New Roman"/>
        </w:rPr>
        <w:t>以</w:t>
      </w:r>
      <w:r>
        <w:rPr>
          <w:rFonts w:ascii="Times New Roman"/>
        </w:rPr>
        <w:t>式（</w:t>
      </w:r>
      <w:r>
        <w:rPr>
          <w:rFonts w:hint="eastAsia" w:ascii="Times New Roman"/>
        </w:rPr>
        <w:t>47）</w:t>
      </w:r>
      <w:r>
        <w:rPr>
          <w:rFonts w:ascii="Times New Roman"/>
        </w:rPr>
        <w:t>给出：</w:t>
      </w:r>
    </w:p>
    <w:p>
      <w:pPr>
        <w:pStyle w:val="23"/>
        <w:ind w:firstLine="840" w:firstLineChars="400"/>
        <w:rPr>
          <w:rFonts w:ascii="Times New Roman"/>
        </w:rPr>
      </w:pPr>
      <m:oMath>
        <m:sSub>
          <m:sSubPr>
            <m:ctrlPr>
              <w:rPr>
                <w:rFonts w:ascii="Cambria Math" w:hAnsi="Cambria Math" w:eastAsia="Cambria Math" w:cs="Cambria Math"/>
                <w:i/>
                <w:szCs w:val="22"/>
              </w:rPr>
            </m:ctrlPr>
          </m:sSubPr>
          <m:e>
            <m:r>
              <m:rPr/>
              <w:rPr>
                <w:rFonts w:ascii="Cambria Math" w:hAnsi="Cambria Math" w:eastAsia="Cambria Math" w:cs="Cambria Math"/>
              </w:rPr>
              <m:t>C</m:t>
            </m:r>
            <m:ctrlPr>
              <w:rPr>
                <w:rFonts w:ascii="Cambria Math" w:hAnsi="Cambria Math" w:eastAsia="Cambria Math" w:cs="Cambria Math"/>
                <w:i/>
                <w:szCs w:val="22"/>
              </w:rPr>
            </m:ctrlPr>
          </m:e>
          <m:sub>
            <m:r>
              <m:rPr/>
              <w:rPr>
                <w:rFonts w:ascii="Cambria Math" w:hAnsi="Cambria Math" w:eastAsia="Cambria Math" w:cs="Cambria Math"/>
              </w:rPr>
              <m:t>11</m:t>
            </m:r>
            <m:ctrlPr>
              <w:rPr>
                <w:rFonts w:ascii="Cambria Math" w:hAnsi="Cambria Math" w:eastAsia="Cambria Math" w:cs="Cambria Math"/>
                <w:i/>
                <w:szCs w:val="22"/>
              </w:rPr>
            </m:ctrlPr>
          </m:sub>
        </m:sSub>
        <m:r>
          <m:rPr>
            <m:sty m:val="p"/>
          </m:rPr>
          <w:rPr>
            <w:rFonts w:ascii="Cambria Math" w:hAnsi="Cambria Math" w:eastAsia="Cambria Math" w:cs="Cambria Math"/>
          </w:rPr>
          <m:t>=</m:t>
        </m:r>
        <m:nary>
          <m:naryPr>
            <m:chr m:val="∑"/>
            <m:limLoc m:val="undOvr"/>
            <m:subHide m:val="1"/>
            <m:supHide m:val="1"/>
            <m:ctrlPr>
              <w:rPr>
                <w:rFonts w:ascii="Cambria Math" w:hAnsi="Cambria Math" w:eastAsia="Cambria Math" w:cs="Cambria Math"/>
                <w:szCs w:val="22"/>
              </w:rPr>
            </m:ctrlPr>
          </m:naryPr>
          <m:sub>
            <m:ctrlPr>
              <w:rPr>
                <w:rFonts w:ascii="Cambria Math" w:hAnsi="Cambria Math" w:eastAsia="Cambria Math" w:cs="Cambria Math"/>
                <w:szCs w:val="22"/>
              </w:rPr>
            </m:ctrlPr>
          </m:sub>
          <m:sup>
            <m:ctrlPr>
              <w:rPr>
                <w:rFonts w:ascii="Cambria Math" w:hAnsi="Cambria Math" w:eastAsia="Cambria Math" w:cs="Cambria Math"/>
                <w:szCs w:val="22"/>
              </w:rPr>
            </m:ctrlPr>
          </m:sup>
          <m:e>
            <m:sSup>
              <m:sSupPr>
                <m:ctrlPr>
                  <w:rPr>
                    <w:rFonts w:ascii="Cambria Math" w:hAnsi="Cambria Math" w:eastAsia="Cambria Math" w:cs="Cambria Math"/>
                    <w:i/>
                    <w:szCs w:val="22"/>
                  </w:rPr>
                </m:ctrlPr>
              </m:sSupPr>
              <m:e>
                <m:r>
                  <m:rPr/>
                  <w:rPr>
                    <w:rFonts w:ascii="Cambria Math" w:hAnsi="Cambria Math" w:eastAsia="Cambria Math" w:cs="Cambria Math"/>
                  </w:rPr>
                  <m:t>(x</m:t>
                </m:r>
                <m:ctrlPr>
                  <w:rPr>
                    <w:rFonts w:ascii="Cambria Math" w:hAnsi="Cambria Math" w:eastAsia="Cambria Math" w:cs="Cambria Math"/>
                    <w:i/>
                    <w:szCs w:val="22"/>
                  </w:rPr>
                </m:ctrlPr>
              </m:e>
              <m:sup>
                <m:r>
                  <m:rPr/>
                  <w:rPr>
                    <w:rFonts w:ascii="Cambria Math" w:hAnsi="Cambria Math" w:eastAsia="Cambria Math" w:cs="Cambria Math"/>
                  </w:rPr>
                  <m:t>2</m:t>
                </m:r>
                <m:ctrlPr>
                  <w:rPr>
                    <w:rFonts w:ascii="Cambria Math" w:hAnsi="Cambria Math" w:eastAsia="Cambria Math" w:cs="Cambria Math"/>
                    <w:i/>
                    <w:szCs w:val="22"/>
                  </w:rPr>
                </m:ctrlPr>
              </m:sup>
            </m:sSup>
            <m:r>
              <m:rPr/>
              <w:rPr>
                <w:rFonts w:ascii="Cambria Math" w:hAnsi="Cambria Math" w:eastAsia="Cambria Math" w:cs="Cambria Math"/>
              </w:rPr>
              <m:t>)−</m:t>
            </m:r>
            <m:f>
              <m:fPr>
                <m:ctrlPr>
                  <w:rPr>
                    <w:rFonts w:ascii="Cambria Math" w:hAnsi="Cambria Math" w:eastAsia="Cambria Math" w:cs="Cambria Math"/>
                    <w:i/>
                    <w:szCs w:val="22"/>
                  </w:rPr>
                </m:ctrlPr>
              </m:fPr>
              <m:num>
                <m:sSup>
                  <m:sSupPr>
                    <m:ctrlPr>
                      <w:rPr>
                        <w:rFonts w:ascii="Cambria Math" w:hAnsi="Cambria Math" w:eastAsia="Cambria Math" w:cs="Cambria Math"/>
                        <w:i/>
                        <w:szCs w:val="22"/>
                      </w:rPr>
                    </m:ctrlPr>
                  </m:sSupPr>
                  <m:e>
                    <m:r>
                      <m:rPr/>
                      <w:rPr>
                        <w:rFonts w:ascii="Cambria Math" w:hAnsi="Cambria Math" w:eastAsia="Cambria Math" w:cs="Cambria Math"/>
                      </w:rPr>
                      <m:t>(</m:t>
                    </m:r>
                    <m:nary>
                      <m:naryPr>
                        <m:chr m:val="∑"/>
                        <m:limLoc m:val="undOvr"/>
                        <m:subHide m:val="1"/>
                        <m:supHide m:val="1"/>
                        <m:ctrlPr>
                          <w:rPr>
                            <w:rFonts w:ascii="Cambria Math" w:hAnsi="Cambria Math" w:eastAsia="Cambria Math" w:cs="Cambria Math"/>
                            <w:i/>
                            <w:szCs w:val="22"/>
                          </w:rPr>
                        </m:ctrlPr>
                      </m:naryPr>
                      <m:sub>
                        <m:ctrlPr>
                          <w:rPr>
                            <w:rFonts w:ascii="Cambria Math" w:hAnsi="Cambria Math" w:eastAsia="Cambria Math" w:cs="Cambria Math"/>
                            <w:i/>
                            <w:szCs w:val="22"/>
                          </w:rPr>
                        </m:ctrlPr>
                      </m:sub>
                      <m:sup>
                        <m:ctrlPr>
                          <w:rPr>
                            <w:rFonts w:ascii="Cambria Math" w:hAnsi="Cambria Math" w:eastAsia="Cambria Math" w:cs="Cambria Math"/>
                            <w:i/>
                            <w:szCs w:val="22"/>
                          </w:rPr>
                        </m:ctrlPr>
                      </m:sup>
                      <m:e>
                        <m:r>
                          <m:rPr/>
                          <w:rPr>
                            <w:rFonts w:ascii="Cambria Math" w:hAnsi="Cambria Math" w:eastAsia="Cambria Math" w:cs="Cambria Math"/>
                          </w:rPr>
                          <m:t>x</m:t>
                        </m:r>
                        <m:ctrlPr>
                          <w:rPr>
                            <w:rFonts w:ascii="Cambria Math" w:hAnsi="Cambria Math" w:eastAsia="Cambria Math" w:cs="Cambria Math"/>
                            <w:i/>
                            <w:szCs w:val="22"/>
                          </w:rPr>
                        </m:ctrlPr>
                      </m:e>
                    </m:nary>
                    <m:r>
                      <m:rPr/>
                      <w:rPr>
                        <w:rFonts w:ascii="Cambria Math" w:hAnsi="Cambria Math" w:eastAsia="Cambria Math" w:cs="Cambria Math"/>
                      </w:rPr>
                      <m:t>)</m:t>
                    </m:r>
                    <m:ctrlPr>
                      <w:rPr>
                        <w:rFonts w:ascii="Cambria Math" w:hAnsi="Cambria Math" w:eastAsia="Cambria Math" w:cs="Cambria Math"/>
                        <w:i/>
                        <w:szCs w:val="22"/>
                      </w:rPr>
                    </m:ctrlPr>
                  </m:e>
                  <m:sup>
                    <m:r>
                      <m:rPr/>
                      <w:rPr>
                        <w:rFonts w:ascii="Cambria Math" w:hAnsi="Cambria Math" w:eastAsia="Cambria Math" w:cs="Cambria Math"/>
                      </w:rPr>
                      <m:t>2</m:t>
                    </m:r>
                    <m:ctrlPr>
                      <w:rPr>
                        <w:rFonts w:ascii="Cambria Math" w:hAnsi="Cambria Math" w:eastAsia="Cambria Math" w:cs="Cambria Math"/>
                        <w:i/>
                        <w:szCs w:val="22"/>
                      </w:rPr>
                    </m:ctrlPr>
                  </m:sup>
                </m:sSup>
                <m:ctrlPr>
                  <w:rPr>
                    <w:rFonts w:ascii="Cambria Math" w:hAnsi="Cambria Math" w:eastAsia="Cambria Math" w:cs="Cambria Math"/>
                    <w:i/>
                    <w:szCs w:val="22"/>
                  </w:rPr>
                </m:ctrlPr>
              </m:num>
              <m:den>
                <m:r>
                  <m:rPr/>
                  <w:rPr>
                    <w:rFonts w:ascii="Cambria Math" w:hAnsi="Cambria Math" w:eastAsia="Cambria Math" w:cs="Cambria Math"/>
                  </w:rPr>
                  <m:t>n</m:t>
                </m:r>
                <m:ctrlPr>
                  <w:rPr>
                    <w:rFonts w:ascii="Cambria Math" w:hAnsi="Cambria Math" w:eastAsia="Cambria Math" w:cs="Cambria Math"/>
                    <w:i/>
                    <w:szCs w:val="22"/>
                  </w:rPr>
                </m:ctrlPr>
              </m:den>
            </m:f>
            <m:ctrlPr>
              <w:rPr>
                <w:rFonts w:ascii="Cambria Math" w:hAnsi="Cambria Math" w:eastAsia="Cambria Math" w:cs="Cambria Math"/>
                <w:szCs w:val="22"/>
              </w:rPr>
            </m:ctrlPr>
          </m:e>
        </m:nary>
      </m:oMath>
      <w:r>
        <w:rPr>
          <w:rFonts w:ascii="Times New Roman"/>
        </w:rPr>
        <w:t xml:space="preserve">                                                          (47)</w:t>
      </w:r>
    </w:p>
    <w:p>
      <w:pPr>
        <w:pStyle w:val="23"/>
      </w:pPr>
      <w:r>
        <w:rPr>
          <w:rFonts w:ascii="Times New Roman"/>
          <w:i/>
        </w:rPr>
        <w:t>C</w:t>
      </w:r>
      <w:r>
        <w:rPr>
          <w:rFonts w:ascii="Times New Roman"/>
          <w:i/>
          <w:vertAlign w:val="subscript"/>
        </w:rPr>
        <w:t>yy</w:t>
      </w:r>
      <w:r>
        <w:rPr>
          <w:rFonts w:hint="eastAsia"/>
        </w:rPr>
        <w:t xml:space="preserve"> 以式（48）给出：</w:t>
      </w:r>
    </w:p>
    <w:p>
      <w:pPr>
        <w:pStyle w:val="23"/>
        <w:ind w:firstLine="840" w:firstLineChars="400"/>
      </w:pPr>
      <m:oMath>
        <m:sSub>
          <m:sSubPr>
            <m:ctrlPr>
              <w:rPr>
                <w:rFonts w:ascii="Cambria Math" w:hAnsi="Cambria Math" w:eastAsia="Cambria Math" w:cs="Cambria Math"/>
                <w:i/>
                <w:szCs w:val="22"/>
              </w:rPr>
            </m:ctrlPr>
          </m:sSubPr>
          <m:e>
            <m:r>
              <m:rPr/>
              <w:rPr>
                <w:rFonts w:ascii="Cambria Math" w:hAnsi="Cambria Math" w:eastAsia="Cambria Math" w:cs="Cambria Math"/>
              </w:rPr>
              <m:t>C</m:t>
            </m:r>
            <m:ctrlPr>
              <w:rPr>
                <w:rFonts w:ascii="Cambria Math" w:hAnsi="Cambria Math" w:eastAsia="Cambria Math" w:cs="Cambria Math"/>
                <w:i/>
                <w:szCs w:val="22"/>
              </w:rPr>
            </m:ctrlPr>
          </m:e>
          <m:sub>
            <m:r>
              <m:rPr/>
              <w:rPr>
                <w:rFonts w:ascii="Cambria Math" w:hAnsi="Cambria Math" w:eastAsia="Cambria Math" w:cs="Cambria Math"/>
              </w:rPr>
              <m:t>yy</m:t>
            </m:r>
            <m:ctrlPr>
              <w:rPr>
                <w:rFonts w:ascii="Cambria Math" w:hAnsi="Cambria Math" w:eastAsia="Cambria Math" w:cs="Cambria Math"/>
                <w:i/>
                <w:szCs w:val="22"/>
              </w:rPr>
            </m:ctrlPr>
          </m:sub>
        </m:sSub>
        <m:r>
          <m:rPr>
            <m:sty m:val="p"/>
          </m:rPr>
          <w:rPr>
            <w:rFonts w:ascii="Cambria Math" w:hAnsi="Cambria Math" w:eastAsia="Cambria Math" w:cs="Cambria Math"/>
          </w:rPr>
          <m:t>=</m:t>
        </m:r>
        <m:nary>
          <m:naryPr>
            <m:chr m:val="∑"/>
            <m:limLoc m:val="undOvr"/>
            <m:subHide m:val="1"/>
            <m:supHide m:val="1"/>
            <m:ctrlPr>
              <w:rPr>
                <w:rFonts w:ascii="Cambria Math" w:hAnsi="Cambria Math" w:eastAsia="Cambria Math" w:cs="Cambria Math"/>
                <w:szCs w:val="22"/>
              </w:rPr>
            </m:ctrlPr>
          </m:naryPr>
          <m:sub>
            <m:ctrlPr>
              <w:rPr>
                <w:rFonts w:ascii="Cambria Math" w:hAnsi="Cambria Math" w:eastAsia="Cambria Math" w:cs="Cambria Math"/>
                <w:szCs w:val="22"/>
              </w:rPr>
            </m:ctrlPr>
          </m:sub>
          <m:sup>
            <m:ctrlPr>
              <w:rPr>
                <w:rFonts w:ascii="Cambria Math" w:hAnsi="Cambria Math" w:eastAsia="Cambria Math" w:cs="Cambria Math"/>
                <w:szCs w:val="22"/>
              </w:rPr>
            </m:ctrlPr>
          </m:sup>
          <m:e>
            <m:sSup>
              <m:sSupPr>
                <m:ctrlPr>
                  <w:rPr>
                    <w:rFonts w:ascii="Cambria Math" w:hAnsi="Cambria Math" w:eastAsia="Cambria Math" w:cs="Cambria Math"/>
                    <w:i/>
                    <w:szCs w:val="22"/>
                  </w:rPr>
                </m:ctrlPr>
              </m:sSupPr>
              <m:e>
                <m:r>
                  <m:rPr/>
                  <w:rPr>
                    <w:rFonts w:ascii="Cambria Math" w:hAnsi="Cambria Math" w:eastAsia="Cambria Math" w:cs="Cambria Math"/>
                  </w:rPr>
                  <m:t>(y</m:t>
                </m:r>
                <m:ctrlPr>
                  <w:rPr>
                    <w:rFonts w:ascii="Cambria Math" w:hAnsi="Cambria Math" w:eastAsia="Cambria Math" w:cs="Cambria Math"/>
                    <w:i/>
                    <w:szCs w:val="22"/>
                  </w:rPr>
                </m:ctrlPr>
              </m:e>
              <m:sup>
                <m:r>
                  <m:rPr/>
                  <w:rPr>
                    <w:rFonts w:ascii="Cambria Math" w:hAnsi="Cambria Math" w:eastAsia="Cambria Math" w:cs="Cambria Math"/>
                  </w:rPr>
                  <m:t>2</m:t>
                </m:r>
                <m:ctrlPr>
                  <w:rPr>
                    <w:rFonts w:ascii="Cambria Math" w:hAnsi="Cambria Math" w:eastAsia="Cambria Math" w:cs="Cambria Math"/>
                    <w:i/>
                    <w:szCs w:val="22"/>
                  </w:rPr>
                </m:ctrlPr>
              </m:sup>
            </m:sSup>
            <m:r>
              <m:rPr/>
              <w:rPr>
                <w:rFonts w:ascii="Cambria Math" w:hAnsi="Cambria Math" w:eastAsia="Cambria Math" w:cs="Cambria Math"/>
              </w:rPr>
              <m:t>)−</m:t>
            </m:r>
            <m:f>
              <m:fPr>
                <m:ctrlPr>
                  <w:rPr>
                    <w:rFonts w:ascii="Cambria Math" w:hAnsi="Cambria Math" w:eastAsia="Cambria Math" w:cs="Cambria Math"/>
                    <w:i/>
                    <w:szCs w:val="22"/>
                  </w:rPr>
                </m:ctrlPr>
              </m:fPr>
              <m:num>
                <m:sSup>
                  <m:sSupPr>
                    <m:ctrlPr>
                      <w:rPr>
                        <w:rFonts w:ascii="Cambria Math" w:hAnsi="Cambria Math" w:eastAsia="Cambria Math" w:cs="Cambria Math"/>
                        <w:i/>
                        <w:szCs w:val="22"/>
                      </w:rPr>
                    </m:ctrlPr>
                  </m:sSupPr>
                  <m:e>
                    <m:r>
                      <m:rPr/>
                      <w:rPr>
                        <w:rFonts w:ascii="Cambria Math" w:hAnsi="Cambria Math" w:eastAsia="Cambria Math" w:cs="Cambria Math"/>
                      </w:rPr>
                      <m:t>(</m:t>
                    </m:r>
                    <m:nary>
                      <m:naryPr>
                        <m:chr m:val="∑"/>
                        <m:limLoc m:val="undOvr"/>
                        <m:subHide m:val="1"/>
                        <m:supHide m:val="1"/>
                        <m:ctrlPr>
                          <w:rPr>
                            <w:rFonts w:ascii="Cambria Math" w:hAnsi="Cambria Math" w:eastAsia="Cambria Math" w:cs="Cambria Math"/>
                            <w:i/>
                            <w:szCs w:val="22"/>
                          </w:rPr>
                        </m:ctrlPr>
                      </m:naryPr>
                      <m:sub>
                        <m:ctrlPr>
                          <w:rPr>
                            <w:rFonts w:ascii="Cambria Math" w:hAnsi="Cambria Math" w:eastAsia="Cambria Math" w:cs="Cambria Math"/>
                            <w:i/>
                            <w:szCs w:val="22"/>
                          </w:rPr>
                        </m:ctrlPr>
                      </m:sub>
                      <m:sup>
                        <m:ctrlPr>
                          <w:rPr>
                            <w:rFonts w:ascii="Cambria Math" w:hAnsi="Cambria Math" w:eastAsia="Cambria Math" w:cs="Cambria Math"/>
                            <w:i/>
                            <w:szCs w:val="22"/>
                          </w:rPr>
                        </m:ctrlPr>
                      </m:sup>
                      <m:e>
                        <m:r>
                          <m:rPr/>
                          <w:rPr>
                            <w:rFonts w:ascii="Cambria Math" w:hAnsi="Cambria Math" w:eastAsia="Cambria Math" w:cs="Cambria Math"/>
                          </w:rPr>
                          <m:t>y</m:t>
                        </m:r>
                        <m:ctrlPr>
                          <w:rPr>
                            <w:rFonts w:ascii="Cambria Math" w:hAnsi="Cambria Math" w:eastAsia="Cambria Math" w:cs="Cambria Math"/>
                            <w:i/>
                            <w:szCs w:val="22"/>
                          </w:rPr>
                        </m:ctrlPr>
                      </m:e>
                    </m:nary>
                    <m:r>
                      <m:rPr/>
                      <w:rPr>
                        <w:rFonts w:ascii="Cambria Math" w:hAnsi="Cambria Math" w:eastAsia="Cambria Math" w:cs="Cambria Math"/>
                      </w:rPr>
                      <m:t>)</m:t>
                    </m:r>
                    <m:ctrlPr>
                      <w:rPr>
                        <w:rFonts w:ascii="Cambria Math" w:hAnsi="Cambria Math" w:eastAsia="Cambria Math" w:cs="Cambria Math"/>
                        <w:i/>
                        <w:szCs w:val="22"/>
                      </w:rPr>
                    </m:ctrlPr>
                  </m:e>
                  <m:sup>
                    <m:r>
                      <m:rPr/>
                      <w:rPr>
                        <w:rFonts w:ascii="Cambria Math" w:hAnsi="Cambria Math" w:eastAsia="Cambria Math" w:cs="Cambria Math"/>
                      </w:rPr>
                      <m:t>2</m:t>
                    </m:r>
                    <m:ctrlPr>
                      <w:rPr>
                        <w:rFonts w:ascii="Cambria Math" w:hAnsi="Cambria Math" w:eastAsia="Cambria Math" w:cs="Cambria Math"/>
                        <w:i/>
                        <w:szCs w:val="22"/>
                      </w:rPr>
                    </m:ctrlPr>
                  </m:sup>
                </m:sSup>
                <m:ctrlPr>
                  <w:rPr>
                    <w:rFonts w:ascii="Cambria Math" w:hAnsi="Cambria Math" w:eastAsia="Cambria Math" w:cs="Cambria Math"/>
                    <w:i/>
                    <w:szCs w:val="22"/>
                  </w:rPr>
                </m:ctrlPr>
              </m:num>
              <m:den>
                <m:r>
                  <m:rPr/>
                  <w:rPr>
                    <w:rFonts w:ascii="Cambria Math" w:hAnsi="Cambria Math" w:eastAsia="Cambria Math" w:cs="Cambria Math"/>
                  </w:rPr>
                  <m:t>n</m:t>
                </m:r>
                <m:ctrlPr>
                  <w:rPr>
                    <w:rFonts w:ascii="Cambria Math" w:hAnsi="Cambria Math" w:eastAsia="Cambria Math" w:cs="Cambria Math"/>
                    <w:i/>
                    <w:szCs w:val="22"/>
                  </w:rPr>
                </m:ctrlPr>
              </m:den>
            </m:f>
            <m:ctrlPr>
              <w:rPr>
                <w:rFonts w:ascii="Cambria Math" w:hAnsi="Cambria Math" w:eastAsia="Cambria Math" w:cs="Cambria Math"/>
                <w:szCs w:val="22"/>
              </w:rPr>
            </m:ctrlPr>
          </m:e>
        </m:nary>
      </m:oMath>
      <w:r>
        <w:rPr>
          <w:rFonts w:hint="eastAsia"/>
        </w:rPr>
        <w:t xml:space="preserve">                                                          (48)</w:t>
      </w:r>
    </w:p>
    <w:p>
      <w:pPr>
        <w:pStyle w:val="23"/>
      </w:pPr>
      <w:r>
        <w:rPr>
          <w:rFonts w:ascii="Times New Roman"/>
          <w:i/>
        </w:rPr>
        <w:t>C</w:t>
      </w:r>
      <w:r>
        <w:rPr>
          <w:rFonts w:ascii="Times New Roman"/>
          <w:i/>
          <w:vertAlign w:val="subscript"/>
        </w:rPr>
        <w:t>y</w:t>
      </w:r>
      <w:r>
        <w:rPr>
          <w:rFonts w:ascii="Times New Roman"/>
          <w:vertAlign w:val="subscript"/>
        </w:rPr>
        <w:t>1</w:t>
      </w:r>
      <w:r>
        <w:rPr>
          <w:rFonts w:hint="eastAsia"/>
        </w:rPr>
        <w:t xml:space="preserve"> 以式（49）给出：</w:t>
      </w:r>
    </w:p>
    <w:p>
      <w:pPr>
        <w:pStyle w:val="23"/>
        <w:ind w:firstLine="840" w:firstLineChars="400"/>
      </w:pPr>
      <m:oMath>
        <m:sSub>
          <m:sSubPr>
            <m:ctrlPr>
              <w:rPr>
                <w:rFonts w:ascii="Cambria Math" w:hAnsi="Cambria Math" w:eastAsia="Cambria Math" w:cs="Cambria Math"/>
                <w:i/>
                <w:szCs w:val="22"/>
              </w:rPr>
            </m:ctrlPr>
          </m:sSubPr>
          <m:e>
            <m:r>
              <m:rPr/>
              <w:rPr>
                <w:rFonts w:ascii="Cambria Math" w:hAnsi="Cambria Math" w:eastAsia="Cambria Math" w:cs="Cambria Math"/>
              </w:rPr>
              <m:t>C</m:t>
            </m:r>
            <m:ctrlPr>
              <w:rPr>
                <w:rFonts w:ascii="Cambria Math" w:hAnsi="Cambria Math" w:eastAsia="Cambria Math" w:cs="Cambria Math"/>
                <w:i/>
                <w:szCs w:val="22"/>
              </w:rPr>
            </m:ctrlPr>
          </m:e>
          <m:sub>
            <m:r>
              <m:rPr/>
              <w:rPr>
                <w:rFonts w:ascii="Cambria Math" w:hAnsi="Cambria Math" w:eastAsia="Cambria Math" w:cs="Cambria Math"/>
              </w:rPr>
              <m:t>y1</m:t>
            </m:r>
            <m:ctrlPr>
              <w:rPr>
                <w:rFonts w:ascii="Cambria Math" w:hAnsi="Cambria Math" w:eastAsia="Cambria Math" w:cs="Cambria Math"/>
                <w:i/>
                <w:szCs w:val="22"/>
              </w:rPr>
            </m:ctrlPr>
          </m:sub>
        </m:sSub>
        <m:r>
          <m:rPr>
            <m:sty m:val="p"/>
          </m:rPr>
          <w:rPr>
            <w:rFonts w:ascii="Cambria Math" w:hAnsi="Cambria Math" w:eastAsia="Cambria Math" w:cs="Cambria Math"/>
          </w:rPr>
          <m:t>=</m:t>
        </m:r>
        <m:nary>
          <m:naryPr>
            <m:chr m:val="∑"/>
            <m:limLoc m:val="undOvr"/>
            <m:subHide m:val="1"/>
            <m:supHide m:val="1"/>
            <m:ctrlPr>
              <w:rPr>
                <w:rFonts w:ascii="Cambria Math" w:hAnsi="Cambria Math" w:eastAsia="Cambria Math" w:cs="Cambria Math"/>
                <w:szCs w:val="22"/>
              </w:rPr>
            </m:ctrlPr>
          </m:naryPr>
          <m:sub>
            <m:ctrlPr>
              <w:rPr>
                <w:rFonts w:ascii="Cambria Math" w:hAnsi="Cambria Math" w:eastAsia="Cambria Math" w:cs="Cambria Math"/>
                <w:szCs w:val="22"/>
              </w:rPr>
            </m:ctrlPr>
          </m:sub>
          <m:sup>
            <m:ctrlPr>
              <w:rPr>
                <w:rFonts w:ascii="Cambria Math" w:hAnsi="Cambria Math" w:eastAsia="Cambria Math" w:cs="Cambria Math"/>
                <w:szCs w:val="22"/>
              </w:rPr>
            </m:ctrlPr>
          </m:sup>
          <m:e>
            <m:r>
              <m:rPr/>
              <w:rPr>
                <w:rFonts w:ascii="Cambria Math" w:hAnsi="Cambria Math" w:eastAsia="Cambria Math" w:cs="Cambria Math"/>
              </w:rPr>
              <m:t>(xy)−</m:t>
            </m:r>
            <m:f>
              <m:fPr>
                <m:ctrlPr>
                  <w:rPr>
                    <w:rFonts w:ascii="Cambria Math" w:hAnsi="Cambria Math" w:eastAsia="Cambria Math" w:cs="Cambria Math"/>
                    <w:i/>
                    <w:szCs w:val="22"/>
                  </w:rPr>
                </m:ctrlPr>
              </m:fPr>
              <m:num>
                <m:r>
                  <m:rPr/>
                  <w:rPr>
                    <w:rFonts w:ascii="Cambria Math" w:hAnsi="Cambria Math" w:eastAsia="Cambria Math" w:cs="Cambria Math"/>
                  </w:rPr>
                  <m:t>(</m:t>
                </m:r>
                <m:nary>
                  <m:naryPr>
                    <m:chr m:val="∑"/>
                    <m:limLoc m:val="undOvr"/>
                    <m:subHide m:val="1"/>
                    <m:supHide m:val="1"/>
                    <m:ctrlPr>
                      <w:rPr>
                        <w:rFonts w:ascii="Cambria Math" w:hAnsi="Cambria Math" w:eastAsia="Cambria Math" w:cs="Cambria Math"/>
                        <w:i/>
                        <w:szCs w:val="22"/>
                      </w:rPr>
                    </m:ctrlPr>
                  </m:naryPr>
                  <m:sub>
                    <m:ctrlPr>
                      <w:rPr>
                        <w:rFonts w:ascii="Cambria Math" w:hAnsi="Cambria Math" w:eastAsia="Cambria Math" w:cs="Cambria Math"/>
                        <w:i/>
                        <w:szCs w:val="22"/>
                      </w:rPr>
                    </m:ctrlPr>
                  </m:sub>
                  <m:sup>
                    <m:ctrlPr>
                      <w:rPr>
                        <w:rFonts w:ascii="Cambria Math" w:hAnsi="Cambria Math" w:eastAsia="Cambria Math" w:cs="Cambria Math"/>
                        <w:i/>
                        <w:szCs w:val="22"/>
                      </w:rPr>
                    </m:ctrlPr>
                  </m:sup>
                  <m:e>
                    <m:r>
                      <m:rPr/>
                      <w:rPr>
                        <w:rFonts w:ascii="Cambria Math" w:hAnsi="Cambria Math" w:eastAsia="Cambria Math" w:cs="Cambria Math"/>
                      </w:rPr>
                      <m:t>x</m:t>
                    </m:r>
                    <m:ctrlPr>
                      <w:rPr>
                        <w:rFonts w:ascii="Cambria Math" w:hAnsi="Cambria Math" w:eastAsia="Cambria Math" w:cs="Cambria Math"/>
                        <w:i/>
                        <w:szCs w:val="22"/>
                      </w:rPr>
                    </m:ctrlPr>
                  </m:e>
                </m:nary>
                <m:nary>
                  <m:naryPr>
                    <m:chr m:val="∑"/>
                    <m:limLoc m:val="undOvr"/>
                    <m:subHide m:val="1"/>
                    <m:supHide m:val="1"/>
                    <m:ctrlPr>
                      <w:rPr>
                        <w:rFonts w:ascii="Cambria Math" w:hAnsi="Cambria Math" w:eastAsia="Cambria Math" w:cs="Cambria Math"/>
                        <w:i/>
                        <w:szCs w:val="22"/>
                      </w:rPr>
                    </m:ctrlPr>
                  </m:naryPr>
                  <m:sub>
                    <m:ctrlPr>
                      <w:rPr>
                        <w:rFonts w:ascii="Cambria Math" w:hAnsi="Cambria Math" w:eastAsia="Cambria Math" w:cs="Cambria Math"/>
                        <w:i/>
                        <w:szCs w:val="22"/>
                      </w:rPr>
                    </m:ctrlPr>
                  </m:sub>
                  <m:sup>
                    <m:ctrlPr>
                      <w:rPr>
                        <w:rFonts w:ascii="Cambria Math" w:hAnsi="Cambria Math" w:eastAsia="Cambria Math" w:cs="Cambria Math"/>
                        <w:i/>
                        <w:szCs w:val="22"/>
                      </w:rPr>
                    </m:ctrlPr>
                  </m:sup>
                  <m:e>
                    <m:r>
                      <m:rPr/>
                      <w:rPr>
                        <w:rFonts w:ascii="Cambria Math" w:hAnsi="Cambria Math" w:eastAsia="Cambria Math" w:cs="Cambria Math"/>
                      </w:rPr>
                      <m:t>y</m:t>
                    </m:r>
                    <m:ctrlPr>
                      <w:rPr>
                        <w:rFonts w:ascii="Cambria Math" w:hAnsi="Cambria Math" w:eastAsia="Cambria Math" w:cs="Cambria Math"/>
                        <w:i/>
                        <w:szCs w:val="22"/>
                      </w:rPr>
                    </m:ctrlPr>
                  </m:e>
                </m:nary>
                <m:r>
                  <m:rPr/>
                  <w:rPr>
                    <w:rFonts w:ascii="Cambria Math" w:hAnsi="Cambria Math" w:eastAsia="Cambria Math" w:cs="Cambria Math"/>
                  </w:rPr>
                  <m:t>)</m:t>
                </m:r>
                <m:ctrlPr>
                  <w:rPr>
                    <w:rFonts w:ascii="Cambria Math" w:hAnsi="Cambria Math" w:eastAsia="Cambria Math" w:cs="Cambria Math"/>
                    <w:i/>
                    <w:szCs w:val="22"/>
                  </w:rPr>
                </m:ctrlPr>
              </m:num>
              <m:den>
                <m:r>
                  <m:rPr/>
                  <w:rPr>
                    <w:rFonts w:ascii="Cambria Math" w:hAnsi="Cambria Math" w:eastAsia="Cambria Math" w:cs="Cambria Math"/>
                  </w:rPr>
                  <m:t>n</m:t>
                </m:r>
                <m:ctrlPr>
                  <w:rPr>
                    <w:rFonts w:ascii="Cambria Math" w:hAnsi="Cambria Math" w:eastAsia="Cambria Math" w:cs="Cambria Math"/>
                    <w:i/>
                    <w:szCs w:val="22"/>
                  </w:rPr>
                </m:ctrlPr>
              </m:den>
            </m:f>
            <m:ctrlPr>
              <w:rPr>
                <w:rFonts w:ascii="Cambria Math" w:hAnsi="Cambria Math" w:eastAsia="Cambria Math" w:cs="Cambria Math"/>
                <w:szCs w:val="22"/>
              </w:rPr>
            </m:ctrlPr>
          </m:e>
        </m:nary>
      </m:oMath>
      <w:r>
        <w:rPr>
          <w:rFonts w:hint="eastAsia"/>
        </w:rPr>
        <w:t xml:space="preserve">                                                        (49)</w:t>
      </w:r>
    </w:p>
    <w:p>
      <w:pPr>
        <w:pStyle w:val="23"/>
      </w:pPr>
      <w:r>
        <w:rPr>
          <w:rFonts w:hint="eastAsia"/>
        </w:rPr>
        <w:t>系数用式（50）和（51）计算：</w:t>
      </w:r>
    </w:p>
    <w:p>
      <w:pPr>
        <w:pStyle w:val="23"/>
        <w:ind w:firstLine="945" w:firstLineChars="450"/>
        <w:rPr>
          <w:rFonts w:ascii="Times New Roman"/>
        </w:rPr>
      </w:pPr>
      <m:oMath>
        <m:r>
          <m:rPr/>
          <w:rPr>
            <w:rFonts w:ascii="Cambria Math" w:hAnsi="Cambria Math"/>
          </w:rPr>
          <m:t>a</m:t>
        </m:r>
        <m:r>
          <m:rPr>
            <m:sty m:val="p"/>
          </m:rPr>
          <w:rPr>
            <w:rFonts w:ascii="Cambria Math" w:hAnsi="Cambria Math"/>
          </w:rPr>
          <m:t>=</m:t>
        </m:r>
        <m:f>
          <m:fPr>
            <m:ctrlPr>
              <w:rPr>
                <w:rFonts w:ascii="Cambria Math" w:hAnsi="Cambria Math"/>
                <w:szCs w:val="22"/>
              </w:rPr>
            </m:ctrlPr>
          </m:fPr>
          <m:num>
            <m:r>
              <m:rPr/>
              <w:rPr>
                <w:rFonts w:ascii="Cambria Math" w:hAnsi="Cambria Math"/>
              </w:rPr>
              <m:t>(</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r>
                  <m:rPr/>
                  <w:rPr>
                    <w:rFonts w:ascii="Cambria Math" w:hAnsi="Cambria Math"/>
                  </w:rPr>
                  <m:t>y</m:t>
                </m:r>
                <m:ctrlPr>
                  <w:rPr>
                    <w:rFonts w:ascii="Cambria Math" w:hAnsi="Cambria Math"/>
                    <w:i/>
                    <w:szCs w:val="22"/>
                  </w:rPr>
                </m:ctrlPr>
              </m:e>
            </m:nary>
            <m:r>
              <m:rPr/>
              <w:rPr>
                <w:rFonts w:ascii="Cambria Math" w:hAnsi="Cambria Math"/>
              </w:rPr>
              <m:t>−b</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r>
                  <m:rPr/>
                  <w:rPr>
                    <w:rFonts w:ascii="Cambria Math" w:hAnsi="Cambria Math"/>
                  </w:rPr>
                  <m:t>x</m:t>
                </m:r>
                <m:ctrlPr>
                  <w:rPr>
                    <w:rFonts w:ascii="Cambria Math" w:hAnsi="Cambria Math"/>
                    <w:i/>
                    <w:szCs w:val="22"/>
                  </w:rPr>
                </m:ctrlPr>
              </m:e>
            </m:nary>
            <m:r>
              <m:rPr/>
              <w:rPr>
                <w:rFonts w:ascii="Cambria Math" w:hAnsi="Cambria Math"/>
                <w:szCs w:val="22"/>
              </w:rPr>
              <m:t>)</m:t>
            </m:r>
            <m:ctrlPr>
              <w:rPr>
                <w:rFonts w:ascii="Cambria Math" w:hAnsi="Cambria Math"/>
                <w:szCs w:val="22"/>
              </w:rPr>
            </m:ctrlPr>
          </m:num>
          <m:den>
            <m:r>
              <m:rPr/>
              <w:rPr>
                <w:rFonts w:ascii="Cambria Math" w:hAnsi="Cambria Math"/>
              </w:rPr>
              <m:t>n</m:t>
            </m:r>
            <m:ctrlPr>
              <w:rPr>
                <w:rFonts w:ascii="Cambria Math" w:hAnsi="Cambria Math"/>
                <w:szCs w:val="22"/>
              </w:rPr>
            </m:ctrlPr>
          </m:den>
        </m:f>
      </m:oMath>
      <w:r>
        <w:rPr>
          <w:rFonts w:ascii="Times New Roman"/>
        </w:rPr>
        <w:t xml:space="preserve">                            </w:t>
      </w:r>
      <w:r>
        <w:rPr>
          <w:rFonts w:hint="eastAsia" w:ascii="Times New Roman"/>
        </w:rPr>
        <w:t xml:space="preserve">             </w:t>
      </w:r>
      <w:r>
        <w:rPr>
          <w:rFonts w:ascii="Times New Roman"/>
        </w:rPr>
        <w:t xml:space="preserve">                      (50)</w:t>
      </w:r>
    </w:p>
    <w:p>
      <w:pPr>
        <w:pStyle w:val="23"/>
        <w:ind w:firstLine="945" w:firstLineChars="450"/>
        <w:rPr>
          <w:rFonts w:ascii="Times New Roman"/>
        </w:rPr>
      </w:pPr>
      <m:oMath>
        <m:r>
          <m:rPr/>
          <w:rPr>
            <w:rFonts w:ascii="Cambria Math" w:hAnsi="Cambria Math"/>
          </w:rPr>
          <m:t>b</m:t>
        </m:r>
        <m:r>
          <m:rPr>
            <m:sty m:val="p"/>
          </m:rPr>
          <w:rPr>
            <w:rFonts w:ascii="Cambria Math" w:hAnsi="Cambria Math"/>
          </w:rPr>
          <m:t>=</m:t>
        </m:r>
        <m:f>
          <m:fPr>
            <m:ctrlPr>
              <w:rPr>
                <w:rFonts w:ascii="Cambria Math" w:hAnsi="Cambria Math"/>
                <w:szCs w:val="22"/>
              </w:rPr>
            </m:ctrlPr>
          </m:fPr>
          <m:num>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y1</m:t>
                </m:r>
                <m:ctrlPr>
                  <w:rPr>
                    <w:rFonts w:ascii="Cambria Math" w:hAnsi="Cambria Math"/>
                    <w:i/>
                    <w:szCs w:val="22"/>
                  </w:rPr>
                </m:ctrlPr>
              </m:sub>
            </m:sSub>
            <m:ctrlPr>
              <w:rPr>
                <w:rFonts w:ascii="Cambria Math" w:hAnsi="Cambria Math"/>
                <w:szCs w:val="22"/>
              </w:rPr>
            </m:ctrlPr>
          </m:num>
          <m:den>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11</m:t>
                </m:r>
                <m:ctrlPr>
                  <w:rPr>
                    <w:rFonts w:ascii="Cambria Math" w:hAnsi="Cambria Math"/>
                    <w:i/>
                    <w:szCs w:val="22"/>
                  </w:rPr>
                </m:ctrlPr>
              </m:sub>
            </m:sSub>
            <m:ctrlPr>
              <w:rPr>
                <w:rFonts w:ascii="Cambria Math" w:hAnsi="Cambria Math"/>
                <w:szCs w:val="22"/>
              </w:rPr>
            </m:ctrlPr>
          </m:den>
        </m:f>
      </m:oMath>
      <w:r>
        <w:rPr>
          <w:rFonts w:ascii="Times New Roman"/>
        </w:rPr>
        <w:t xml:space="preserve">         </w:t>
      </w:r>
      <w:r>
        <w:rPr>
          <w:rFonts w:hint="eastAsia" w:ascii="Times New Roman"/>
        </w:rPr>
        <w:t xml:space="preserve">             </w:t>
      </w:r>
      <w:r>
        <w:rPr>
          <w:rFonts w:ascii="Times New Roman"/>
        </w:rPr>
        <w:t xml:space="preserve">                                              (51)</w:t>
      </w:r>
    </w:p>
    <w:p>
      <w:pPr>
        <w:pStyle w:val="23"/>
        <w:rPr>
          <w:rFonts w:ascii="Times New Roman"/>
        </w:rPr>
      </w:pPr>
      <w:r>
        <w:rPr>
          <w:rFonts w:ascii="Times New Roman"/>
        </w:rPr>
        <w:t>这种回归是否具有统计学意义可以通过计算另外一个因</w:t>
      </w:r>
      <w:r>
        <w:rPr>
          <w:rFonts w:hint="eastAsia" w:ascii="Times New Roman"/>
        </w:rPr>
        <w:t>子</w:t>
      </w:r>
      <w:r>
        <w:rPr>
          <w:rFonts w:ascii="Times New Roman"/>
          <w:i/>
        </w:rPr>
        <w:t>D</w:t>
      </w:r>
      <w:r>
        <w:rPr>
          <w:rFonts w:ascii="Times New Roman"/>
        </w:rPr>
        <w:t>来检验，</w:t>
      </w:r>
      <w:r>
        <w:rPr>
          <w:rFonts w:ascii="Times New Roman"/>
          <w:i/>
        </w:rPr>
        <w:t>D</w:t>
      </w:r>
      <w:r>
        <w:rPr>
          <w:rFonts w:ascii="Times New Roman"/>
        </w:rPr>
        <w:t>由式（</w:t>
      </w:r>
      <w:r>
        <w:rPr>
          <w:rFonts w:hint="eastAsia" w:ascii="Times New Roman"/>
        </w:rPr>
        <w:t>52）</w:t>
      </w:r>
      <w:r>
        <w:rPr>
          <w:rFonts w:ascii="Times New Roman"/>
        </w:rPr>
        <w:t>给出：</w:t>
      </w:r>
    </w:p>
    <w:p>
      <w:pPr>
        <w:pStyle w:val="23"/>
        <w:ind w:firstLine="840" w:firstLineChars="400"/>
        <w:rPr>
          <w:rFonts w:ascii="Times New Roman"/>
        </w:rPr>
      </w:pPr>
      <m:oMath>
        <m:r>
          <m:rPr>
            <m:sty m:val="p"/>
          </m:rPr>
          <w:rPr>
            <w:rFonts w:ascii="Cambria Math" w:hAnsi="Cambria Math"/>
          </w:rPr>
          <m:t>D=</m:t>
        </m:r>
        <m:sSup>
          <m:sSupPr>
            <m:ctrlPr>
              <w:rPr>
                <w:rFonts w:ascii="Cambria Math" w:hAnsi="Cambria Math"/>
                <w:color w:val="FF0000"/>
                <w:sz w:val="24"/>
              </w:rPr>
            </m:ctrlPr>
          </m:sSupPr>
          <m:e>
            <m:r>
              <m:rPr/>
              <w:rPr>
                <w:rFonts w:ascii="Cambria Math" w:hAnsi="Cambria Math"/>
                <w:color w:val="FF0000"/>
              </w:rPr>
              <m:t>b</m:t>
            </m:r>
            <m:ctrlPr>
              <w:rPr>
                <w:rFonts w:ascii="Cambria Math" w:hAnsi="Cambria Math"/>
                <w:color w:val="FF0000"/>
                <w:sz w:val="24"/>
              </w:rPr>
            </m:ctrlPr>
          </m:e>
          <m:sup>
            <m:r>
              <m:rPr/>
              <w:rPr>
                <w:rFonts w:ascii="Cambria Math" w:hAnsi="Cambria Math"/>
                <w:color w:val="FF0000"/>
              </w:rPr>
              <m:t>2</m:t>
            </m:r>
            <m:ctrlPr>
              <w:rPr>
                <w:rFonts w:ascii="Cambria Math" w:hAnsi="Cambria Math"/>
                <w:color w:val="FF0000"/>
                <w:sz w:val="24"/>
              </w:rPr>
            </m:ctrlPr>
          </m:sup>
        </m:sSup>
        <m:sSub>
          <m:sSubPr>
            <m:ctrlPr>
              <w:rPr>
                <w:rFonts w:ascii="Cambria Math" w:hAnsi="Cambria Math"/>
                <w:i/>
                <w:color w:val="FF0000"/>
                <w:sz w:val="24"/>
              </w:rPr>
            </m:ctrlPr>
          </m:sSubPr>
          <m:e>
            <m:r>
              <m:rPr/>
              <w:rPr>
                <w:rFonts w:ascii="Cambria Math" w:hAnsi="Cambria Math"/>
                <w:color w:val="FF0000"/>
              </w:rPr>
              <m:t>C</m:t>
            </m:r>
            <m:ctrlPr>
              <w:rPr>
                <w:rFonts w:ascii="Cambria Math" w:hAnsi="Cambria Math"/>
                <w:i/>
                <w:color w:val="FF0000"/>
                <w:sz w:val="24"/>
              </w:rPr>
            </m:ctrlPr>
          </m:e>
          <m:sub>
            <m:r>
              <m:rPr/>
              <w:rPr>
                <w:rFonts w:ascii="Cambria Math" w:hAnsi="Cambria Math"/>
                <w:color w:val="FF0000"/>
              </w:rPr>
              <m:t>11</m:t>
            </m:r>
            <m:ctrlPr>
              <w:rPr>
                <w:rFonts w:ascii="Cambria Math" w:hAnsi="Cambria Math"/>
                <w:i/>
                <w:color w:val="FF0000"/>
                <w:sz w:val="24"/>
              </w:rPr>
            </m:ctrlPr>
          </m:sub>
        </m:sSub>
      </m:oMath>
      <w:r>
        <w:rPr>
          <w:rFonts w:ascii="Times New Roman"/>
        </w:rPr>
        <w:t xml:space="preserve">          </w:t>
      </w:r>
      <w:r>
        <w:rPr>
          <w:rFonts w:hint="eastAsia" w:ascii="Times New Roman"/>
        </w:rPr>
        <w:t xml:space="preserve">              </w:t>
      </w:r>
      <w:r>
        <w:rPr>
          <w:rFonts w:ascii="Times New Roman"/>
        </w:rPr>
        <w:t xml:space="preserve">                                         (52)</w:t>
      </w:r>
    </w:p>
    <w:p>
      <w:pPr>
        <w:pStyle w:val="23"/>
        <w:rPr>
          <w:rFonts w:ascii="Times New Roman"/>
        </w:rPr>
      </w:pPr>
      <w:r>
        <w:rPr>
          <w:rFonts w:ascii="Times New Roman"/>
        </w:rPr>
        <w:t>回归的方差比由式（</w:t>
      </w:r>
      <w:r>
        <w:rPr>
          <w:rFonts w:hint="eastAsia" w:ascii="Times New Roman"/>
        </w:rPr>
        <w:t>53）</w:t>
      </w:r>
      <w:r>
        <w:rPr>
          <w:rFonts w:ascii="Times New Roman"/>
        </w:rPr>
        <w:t>给出：</w:t>
      </w:r>
    </w:p>
    <w:p>
      <w:pPr>
        <w:pStyle w:val="23"/>
        <w:ind w:firstLine="840" w:firstLineChars="400"/>
        <w:rPr>
          <w:rFonts w:ascii="Times New Roman"/>
        </w:rPr>
      </w:pPr>
      <m:oMath>
        <m:sSub>
          <m:sSubPr>
            <m:ctrlPr>
              <w:rPr>
                <w:rFonts w:ascii="Cambria Math" w:hAnsi="Cambria Math"/>
                <w:szCs w:val="22"/>
              </w:rPr>
            </m:ctrlPr>
          </m:sSubPr>
          <m:e>
            <m:r>
              <m:rPr/>
              <w:rPr>
                <w:rFonts w:ascii="Cambria Math" w:hAnsi="Cambria Math"/>
              </w:rPr>
              <m:t>F</m:t>
            </m:r>
            <m:ctrlPr>
              <w:rPr>
                <w:rFonts w:ascii="Cambria Math" w:hAnsi="Cambria Math"/>
                <w:szCs w:val="22"/>
              </w:rPr>
            </m:ctrlPr>
          </m:e>
          <m:sub>
            <m:r>
              <m:rPr/>
              <w:rPr>
                <w:rFonts w:ascii="Cambria Math" w:hAnsi="Cambria Math"/>
              </w:rPr>
              <m:t>r</m:t>
            </m:r>
            <m:ctrlPr>
              <w:rPr>
                <w:rFonts w:ascii="Cambria Math" w:hAnsi="Cambria Math"/>
                <w:szCs w:val="22"/>
              </w:rPr>
            </m:ctrlPr>
          </m:sub>
        </m:sSub>
        <m:r>
          <m:rPr/>
          <w:rPr>
            <w:rFonts w:ascii="Cambria Math" w:hAnsi="Cambria Math"/>
          </w:rPr>
          <m:t>=D</m:t>
        </m:r>
        <m:f>
          <m:fPr>
            <m:ctrlPr>
              <w:rPr>
                <w:rFonts w:ascii="Cambria Math" w:hAnsi="Cambria Math"/>
                <w:i/>
                <w:szCs w:val="22"/>
              </w:rPr>
            </m:ctrlPr>
          </m:fPr>
          <m:num>
            <m:r>
              <m:rPr/>
              <w:rPr>
                <w:rFonts w:ascii="Cambria Math" w:hAnsi="Cambria Math"/>
              </w:rPr>
              <m:t>n−2</m:t>
            </m:r>
            <m:ctrlPr>
              <w:rPr>
                <w:rFonts w:ascii="Cambria Math" w:hAnsi="Cambria Math"/>
                <w:i/>
                <w:szCs w:val="22"/>
              </w:rPr>
            </m:ctrlPr>
          </m:num>
          <m:den>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yy</m:t>
                </m:r>
                <m:ctrlPr>
                  <w:rPr>
                    <w:rFonts w:ascii="Cambria Math" w:hAnsi="Cambria Math"/>
                    <w:i/>
                    <w:szCs w:val="22"/>
                  </w:rPr>
                </m:ctrlPr>
              </m:sub>
            </m:sSub>
            <m:r>
              <m:rPr/>
              <w:rPr>
                <w:rFonts w:ascii="Cambria Math" w:hAnsi="Cambria Math"/>
              </w:rPr>
              <m:t>−D</m:t>
            </m:r>
            <m:ctrlPr>
              <w:rPr>
                <w:rFonts w:ascii="Cambria Math" w:hAnsi="Cambria Math"/>
                <w:i/>
                <w:szCs w:val="22"/>
              </w:rPr>
            </m:ctrlPr>
          </m:den>
        </m:f>
      </m:oMath>
      <w:r>
        <w:rPr>
          <w:rFonts w:ascii="Times New Roman"/>
        </w:rPr>
        <w:t xml:space="preserve">              </w:t>
      </w:r>
      <w:r>
        <w:rPr>
          <w:rFonts w:hint="eastAsia" w:ascii="Times New Roman"/>
        </w:rPr>
        <w:t xml:space="preserve">              </w:t>
      </w:r>
      <w:r>
        <w:rPr>
          <w:rFonts w:ascii="Times New Roman"/>
        </w:rPr>
        <w:t xml:space="preserve">                                     (53)</w:t>
      </w:r>
    </w:p>
    <w:p>
      <w:pPr>
        <w:pStyle w:val="23"/>
        <w:rPr>
          <w:rFonts w:ascii="Times New Roman"/>
        </w:rPr>
      </w:pPr>
      <w:r>
        <w:rPr>
          <w:rFonts w:ascii="Times New Roman"/>
        </w:rPr>
        <w:t>然后，该</w:t>
      </w:r>
      <w:r>
        <w:rPr>
          <w:rFonts w:ascii="Times New Roman"/>
          <w:i/>
        </w:rPr>
        <w:t>F</w:t>
      </w:r>
      <w:r>
        <w:rPr>
          <w:rFonts w:ascii="Times New Roman"/>
          <w:vertAlign w:val="subscript"/>
        </w:rPr>
        <w:t>r</w:t>
      </w:r>
      <w:r>
        <w:rPr>
          <w:rFonts w:ascii="Times New Roman"/>
        </w:rPr>
        <w:t>值宜与Snedecor的</w:t>
      </w:r>
      <w:r>
        <w:rPr>
          <w:rFonts w:ascii="Times New Roman"/>
          <w:i/>
        </w:rPr>
        <w:t>F</w:t>
      </w:r>
      <w:r>
        <w:rPr>
          <w:rFonts w:ascii="Times New Roman"/>
        </w:rPr>
        <w:t>值表比较，较大均方的用自由度1，较小均方的用自由度（</w:t>
      </w:r>
      <w:r>
        <w:rPr>
          <w:rFonts w:ascii="Times New Roman"/>
          <w:i/>
        </w:rPr>
        <w:t>n</w:t>
      </w:r>
      <w:r>
        <w:rPr>
          <w:rFonts w:ascii="Times New Roman"/>
        </w:rPr>
        <w:t>-2）。如果</w:t>
      </w:r>
      <w:r>
        <w:rPr>
          <w:rFonts w:ascii="Times New Roman"/>
          <w:i/>
        </w:rPr>
        <w:t>F</w:t>
      </w:r>
      <w:r>
        <w:rPr>
          <w:rFonts w:ascii="Times New Roman"/>
          <w:vertAlign w:val="subscript"/>
        </w:rPr>
        <w:t>r</w:t>
      </w:r>
      <w:r>
        <w:rPr>
          <w:rFonts w:ascii="Times New Roman"/>
        </w:rPr>
        <w:t>大于</w:t>
      </w:r>
      <w:r>
        <w:rPr>
          <w:rFonts w:ascii="Times New Roman"/>
          <w:i/>
        </w:rPr>
        <w:t>F</w:t>
      </w:r>
      <w:r>
        <w:rPr>
          <w:rFonts w:ascii="Times New Roman"/>
        </w:rPr>
        <w:t>表值，则回归在给定置信水平是显著的。</w:t>
      </w:r>
    </w:p>
    <w:p>
      <w:pPr>
        <w:pStyle w:val="46"/>
        <w:spacing w:before="156" w:after="156"/>
      </w:pPr>
      <w:r>
        <w:rPr>
          <w:rFonts w:hint="eastAsia"/>
        </w:rPr>
        <w:t>二次最小二乘</w:t>
      </w:r>
    </w:p>
    <w:p>
      <w:pPr>
        <w:pStyle w:val="23"/>
      </w:pPr>
      <w:r>
        <w:rPr>
          <w:rFonts w:hint="eastAsia"/>
        </w:rPr>
        <w:t>这里假设一元二次回归线是这种形式如式（54）：</w:t>
      </w:r>
    </w:p>
    <w:p>
      <w:pPr>
        <w:pStyle w:val="23"/>
        <w:ind w:firstLine="840" w:firstLineChars="400"/>
        <w:rPr>
          <w:rFonts w:ascii="Times New Roman"/>
        </w:rPr>
      </w:pPr>
      <m:oMath>
        <m:r>
          <m:rPr>
            <m:sty m:val="p"/>
          </m:rPr>
          <w:rPr>
            <w:rFonts w:ascii="Cambria Math" w:hAnsi="Cambria Math"/>
          </w:rPr>
          <m:t>y=</m:t>
        </m:r>
        <m:r>
          <m:rPr/>
          <w:rPr>
            <w:rFonts w:ascii="Cambria Math" w:hAnsi="Cambria Math"/>
          </w:rPr>
          <m:t>a+bx+c</m:t>
        </m:r>
        <m:sSup>
          <m:sSupPr>
            <m:ctrlPr>
              <w:rPr>
                <w:rFonts w:ascii="Cambria Math" w:hAnsi="Cambria Math"/>
                <w:szCs w:val="22"/>
              </w:rPr>
            </m:ctrlPr>
          </m:sSupPr>
          <m:e>
            <m:r>
              <m:rPr/>
              <w:rPr>
                <w:rFonts w:ascii="Cambria Math" w:hAnsi="Cambria Math"/>
              </w:rPr>
              <m:t>x</m:t>
            </m:r>
            <m:ctrlPr>
              <w:rPr>
                <w:rFonts w:ascii="Cambria Math" w:hAnsi="Cambria Math"/>
                <w:szCs w:val="22"/>
              </w:rPr>
            </m:ctrlPr>
          </m:e>
          <m:sup>
            <m:r>
              <m:rPr/>
              <w:rPr>
                <w:rFonts w:ascii="Cambria Math" w:hAnsi="Cambria Math"/>
              </w:rPr>
              <m:t>2</m:t>
            </m:r>
            <m:ctrlPr>
              <w:rPr>
                <w:rFonts w:ascii="Cambria Math" w:hAnsi="Cambria Math"/>
                <w:szCs w:val="22"/>
              </w:rPr>
            </m:ctrlPr>
          </m:sup>
        </m:sSup>
      </m:oMath>
      <w:r>
        <w:rPr>
          <w:rFonts w:ascii="Times New Roman"/>
        </w:rPr>
        <w:t xml:space="preserve">       </w:t>
      </w:r>
      <w:r>
        <w:rPr>
          <w:rFonts w:hint="eastAsia" w:ascii="Times New Roman"/>
        </w:rPr>
        <w:t xml:space="preserve">             </w:t>
      </w:r>
      <w:r>
        <w:rPr>
          <w:rFonts w:ascii="Times New Roman"/>
        </w:rPr>
        <w:t xml:space="preserve">                                        （54）</w:t>
      </w:r>
    </w:p>
    <w:p>
      <w:pPr>
        <w:pStyle w:val="23"/>
        <w:rPr>
          <w:rFonts w:ascii="Times New Roman"/>
        </w:rPr>
      </w:pPr>
      <w:r>
        <w:rPr>
          <w:rFonts w:ascii="Times New Roman"/>
        </w:rPr>
        <w:t>对于这种分析所需的因子计算在附录H中给出。在此情况下，</w:t>
      </w:r>
      <w:r>
        <w:rPr>
          <w:rFonts w:ascii="Times New Roman"/>
          <w:i/>
        </w:rPr>
        <w:t>F</w:t>
      </w:r>
      <w:r>
        <w:rPr>
          <w:rFonts w:ascii="Times New Roman"/>
          <w:vertAlign w:val="subscript"/>
        </w:rPr>
        <w:t>r</w:t>
      </w:r>
      <w:r>
        <w:rPr>
          <w:rFonts w:ascii="Times New Roman"/>
        </w:rPr>
        <w:t>值与</w:t>
      </w:r>
      <w:r>
        <w:rPr>
          <w:rFonts w:ascii="Times New Roman"/>
          <w:i/>
        </w:rPr>
        <w:t>F</w:t>
      </w:r>
      <w:r>
        <w:rPr>
          <w:rFonts w:ascii="Times New Roman"/>
        </w:rPr>
        <w:t>表值比较，较大均方的用自由度2，较小均方用自由度（</w:t>
      </w:r>
      <w:r>
        <w:rPr>
          <w:rFonts w:ascii="Times New Roman"/>
          <w:i/>
        </w:rPr>
        <w:t>n</w:t>
      </w:r>
      <w:r>
        <w:rPr>
          <w:rFonts w:ascii="Times New Roman"/>
        </w:rPr>
        <w:t>-3）。</w:t>
      </w:r>
    </w:p>
    <w:p>
      <w:pPr>
        <w:pStyle w:val="46"/>
        <w:spacing w:before="156" w:after="156"/>
      </w:pPr>
      <w:r>
        <w:rPr>
          <w:rFonts w:hint="eastAsia"/>
        </w:rPr>
        <w:t>三次最小二乘</w:t>
      </w:r>
    </w:p>
    <w:p>
      <w:pPr>
        <w:pStyle w:val="23"/>
      </w:pPr>
      <w:r>
        <w:t>这里假设一元三次回归线是式（</w:t>
      </w:r>
      <w:r>
        <w:rPr>
          <w:rFonts w:hint="eastAsia"/>
        </w:rPr>
        <w:t>55）的</w:t>
      </w:r>
      <w:r>
        <w:t>形式：</w:t>
      </w:r>
    </w:p>
    <w:p>
      <w:pPr>
        <w:pStyle w:val="23"/>
        <w:ind w:firstLine="840" w:firstLineChars="400"/>
      </w:pPr>
      <m:oMath>
        <m:r>
          <m:rPr>
            <m:sty m:val="p"/>
          </m:rPr>
          <w:rPr>
            <w:rFonts w:ascii="Cambria Math" w:hAnsi="Cambria Math"/>
          </w:rPr>
          <m:t>y=</m:t>
        </m:r>
        <m:r>
          <m:rPr/>
          <w:rPr>
            <w:rFonts w:ascii="Cambria Math" w:hAnsi="Cambria Math"/>
          </w:rPr>
          <m:t>a+bx+c</m:t>
        </m:r>
        <m:sSup>
          <m:sSupPr>
            <m:ctrlPr>
              <w:rPr>
                <w:rFonts w:ascii="Cambria Math" w:hAnsi="Cambria Math"/>
                <w:szCs w:val="22"/>
              </w:rPr>
            </m:ctrlPr>
          </m:sSupPr>
          <m:e>
            <m:r>
              <m:rPr/>
              <w:rPr>
                <w:rFonts w:ascii="Cambria Math" w:hAnsi="Cambria Math"/>
              </w:rPr>
              <m:t>x</m:t>
            </m:r>
            <m:ctrlPr>
              <w:rPr>
                <w:rFonts w:ascii="Cambria Math" w:hAnsi="Cambria Math"/>
                <w:szCs w:val="22"/>
              </w:rPr>
            </m:ctrlPr>
          </m:e>
          <m:sup>
            <m:r>
              <m:rPr/>
              <w:rPr>
                <w:rFonts w:ascii="Cambria Math" w:hAnsi="Cambria Math"/>
              </w:rPr>
              <m:t>2</m:t>
            </m:r>
            <m:ctrlPr>
              <w:rPr>
                <w:rFonts w:ascii="Cambria Math" w:hAnsi="Cambria Math"/>
                <w:szCs w:val="22"/>
              </w:rPr>
            </m:ctrlPr>
          </m:sup>
        </m:sSup>
        <m:r>
          <m:rPr/>
          <w:rPr>
            <w:rFonts w:ascii="Cambria Math" w:hAnsi="Cambria Math"/>
          </w:rPr>
          <m:t>+d</m:t>
        </m:r>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3</m:t>
            </m:r>
            <m:ctrlPr>
              <w:rPr>
                <w:rFonts w:ascii="Cambria Math" w:hAnsi="Cambria Math"/>
                <w:i/>
                <w:szCs w:val="22"/>
              </w:rPr>
            </m:ctrlPr>
          </m:sup>
        </m:sSup>
      </m:oMath>
      <w:r>
        <w:t xml:space="preserve">             </w:t>
      </w:r>
      <w:r>
        <w:rPr>
          <w:rFonts w:hint="eastAsia"/>
        </w:rPr>
        <w:t xml:space="preserve">            </w:t>
      </w:r>
      <w:r>
        <w:t xml:space="preserve">                             （55）</w:t>
      </w:r>
    </w:p>
    <w:p>
      <w:pPr>
        <w:pStyle w:val="23"/>
      </w:pPr>
      <w:r>
        <w:t>对于这种分析所需的因子计算在附录H中给出。在此情况下，</w:t>
      </w:r>
      <w:r>
        <w:rPr>
          <w:i/>
        </w:rPr>
        <w:t>F</w:t>
      </w:r>
      <w:r>
        <w:rPr>
          <w:vertAlign w:val="subscript"/>
        </w:rPr>
        <w:t>r</w:t>
      </w:r>
      <w:r>
        <w:t>值与</w:t>
      </w:r>
      <w:r>
        <w:rPr>
          <w:i/>
        </w:rPr>
        <w:t>F</w:t>
      </w:r>
      <w:r>
        <w:t>表值比较，较大均方的用自由度3，较小均方用自由度（</w:t>
      </w:r>
      <w:r>
        <w:rPr>
          <w:rFonts w:ascii="Times New Roman"/>
          <w:i/>
        </w:rPr>
        <w:t>n</w:t>
      </w:r>
      <w:r>
        <w:t>-4）。</w:t>
      </w:r>
    </w:p>
    <w:p>
      <w:pPr>
        <w:pStyle w:val="42"/>
      </w:pPr>
      <w:bookmarkStart w:id="240" w:name="_Toc124173950"/>
      <w:r>
        <w:rPr>
          <w:rFonts w:hint="eastAsia"/>
        </w:rPr>
        <w:t>在橡胶试验中的应用</w:t>
      </w:r>
      <w:bookmarkEnd w:id="240"/>
    </w:p>
    <w:p>
      <w:pPr>
        <w:pStyle w:val="46"/>
        <w:spacing w:before="156" w:after="156"/>
      </w:pPr>
      <w:r>
        <w:rPr>
          <w:rFonts w:hint="eastAsia"/>
        </w:rPr>
        <w:t>概述</w:t>
      </w:r>
    </w:p>
    <w:p>
      <w:pPr>
        <w:tabs>
          <w:tab w:val="left" w:pos="284"/>
          <w:tab w:val="left" w:pos="567"/>
          <w:tab w:val="left" w:pos="993"/>
        </w:tabs>
        <w:spacing w:before="156" w:beforeLines="50" w:after="156" w:afterLines="50"/>
        <w:ind w:firstLine="420" w:firstLineChars="200"/>
      </w:pPr>
      <w:r>
        <w:rPr>
          <w:rFonts w:hint="eastAsia"/>
        </w:rPr>
        <w:t>回归分析允许推导复合特征或实验特征与物理性能之间的定量关系。</w:t>
      </w:r>
    </w:p>
    <w:p>
      <w:pPr>
        <w:pStyle w:val="46"/>
        <w:spacing w:before="156" w:after="156"/>
      </w:pPr>
      <w:r>
        <w:rPr>
          <w:rFonts w:hint="eastAsia"/>
        </w:rPr>
        <w:t>温度对压缩永久变形的影响</w:t>
      </w:r>
    </w:p>
    <w:p>
      <w:pPr>
        <w:pStyle w:val="113"/>
      </w:pPr>
      <w:r>
        <w:rPr>
          <w:rFonts w:hint="eastAsia"/>
        </w:rPr>
        <w:t>在一系列按照ISO 815的测试中，在不同温度下老化7d后测定压缩永久变形值，数据记录于表32。</w:t>
      </w:r>
    </w:p>
    <w:p>
      <w:pPr>
        <w:pStyle w:val="23"/>
        <w:rPr>
          <w:rFonts w:ascii="Times New Roman"/>
        </w:rPr>
      </w:pPr>
    </w:p>
    <w:p>
      <w:pPr>
        <w:pStyle w:val="127"/>
        <w:ind w:left="0"/>
      </w:pPr>
      <w:r>
        <w:rPr>
          <w:rFonts w:hint="eastAsia" w:hAnsi="黑体"/>
        </w:rPr>
        <w:t>7d老化后压缩永久变形测量值</w:t>
      </w:r>
    </w:p>
    <w:tbl>
      <w:tblPr>
        <w:tblStyle w:val="33"/>
        <w:tblW w:w="5000" w:type="pct"/>
        <w:tblInd w:w="0" w:type="dxa"/>
        <w:tblLayout w:type="autofit"/>
        <w:tblCellMar>
          <w:top w:w="0" w:type="dxa"/>
          <w:left w:w="108" w:type="dxa"/>
          <w:bottom w:w="0" w:type="dxa"/>
          <w:right w:w="108" w:type="dxa"/>
        </w:tblCellMar>
      </w:tblPr>
      <w:tblGrid>
        <w:gridCol w:w="1914"/>
        <w:gridCol w:w="1914"/>
        <w:gridCol w:w="1914"/>
        <w:gridCol w:w="1914"/>
        <w:gridCol w:w="1914"/>
      </w:tblGrid>
      <w:tr>
        <w:tblPrEx>
          <w:tblCellMar>
            <w:top w:w="0" w:type="dxa"/>
            <w:left w:w="108" w:type="dxa"/>
            <w:bottom w:w="0" w:type="dxa"/>
            <w:right w:w="108" w:type="dxa"/>
          </w:tblCellMar>
        </w:tblPrEx>
        <w:trPr>
          <w:trHeight w:val="270" w:hRule="atLeast"/>
        </w:trPr>
        <w:tc>
          <w:tcPr>
            <w:tcW w:w="1000"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温度</w:t>
            </w:r>
          </w:p>
          <w:p>
            <w:pPr>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000" w:type="pct"/>
            <w:gridSpan w:val="3"/>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结果　</w:t>
            </w:r>
          </w:p>
        </w:tc>
        <w:tc>
          <w:tcPr>
            <w:tcW w:w="1000" w:type="pct"/>
            <w:vMerge w:val="restar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均值</w:t>
            </w:r>
          </w:p>
        </w:tc>
      </w:tr>
      <w:tr>
        <w:tblPrEx>
          <w:tblCellMar>
            <w:top w:w="0" w:type="dxa"/>
            <w:left w:w="108" w:type="dxa"/>
            <w:bottom w:w="0" w:type="dxa"/>
            <w:right w:w="108" w:type="dxa"/>
          </w:tblCellMar>
        </w:tblPrEx>
        <w:trPr>
          <w:trHeight w:val="27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0" w:type="auto"/>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100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 </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 </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 </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270" w:hRule="atLeast"/>
        </w:trPr>
        <w:tc>
          <w:tcPr>
            <w:tcW w:w="100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21.3</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27.4</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25.5</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24.7</w:t>
            </w:r>
          </w:p>
        </w:tc>
      </w:tr>
      <w:tr>
        <w:tblPrEx>
          <w:tblCellMar>
            <w:top w:w="0" w:type="dxa"/>
            <w:left w:w="108" w:type="dxa"/>
            <w:bottom w:w="0" w:type="dxa"/>
            <w:right w:w="108" w:type="dxa"/>
          </w:tblCellMar>
        </w:tblPrEx>
        <w:trPr>
          <w:trHeight w:val="270" w:hRule="atLeast"/>
        </w:trPr>
        <w:tc>
          <w:tcPr>
            <w:tcW w:w="100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29.6</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29.2</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33.3</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30.7</w:t>
            </w:r>
          </w:p>
        </w:tc>
      </w:tr>
      <w:tr>
        <w:tblPrEx>
          <w:tblCellMar>
            <w:top w:w="0" w:type="dxa"/>
            <w:left w:w="108" w:type="dxa"/>
            <w:bottom w:w="0" w:type="dxa"/>
            <w:right w:w="108" w:type="dxa"/>
          </w:tblCellMar>
        </w:tblPrEx>
        <w:trPr>
          <w:trHeight w:val="270" w:hRule="atLeast"/>
        </w:trPr>
        <w:tc>
          <w:tcPr>
            <w:tcW w:w="100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36.8</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34.7</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38.5</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36.7</w:t>
            </w:r>
          </w:p>
        </w:tc>
      </w:tr>
      <w:tr>
        <w:tblPrEx>
          <w:tblCellMar>
            <w:top w:w="0" w:type="dxa"/>
            <w:left w:w="108" w:type="dxa"/>
            <w:bottom w:w="0" w:type="dxa"/>
            <w:right w:w="108" w:type="dxa"/>
          </w:tblCellMar>
        </w:tblPrEx>
        <w:trPr>
          <w:trHeight w:val="270" w:hRule="atLeast"/>
        </w:trPr>
        <w:tc>
          <w:tcPr>
            <w:tcW w:w="100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125</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47.2</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44.8</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48.0</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46.6</w:t>
            </w:r>
          </w:p>
        </w:tc>
      </w:tr>
      <w:tr>
        <w:tblPrEx>
          <w:tblCellMar>
            <w:top w:w="0" w:type="dxa"/>
            <w:left w:w="108" w:type="dxa"/>
            <w:bottom w:w="0" w:type="dxa"/>
            <w:right w:w="108" w:type="dxa"/>
          </w:tblCellMar>
        </w:tblPrEx>
        <w:trPr>
          <w:trHeight w:val="270" w:hRule="atLeast"/>
        </w:trPr>
        <w:tc>
          <w:tcPr>
            <w:tcW w:w="100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57.7</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58.5</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56.7</w:t>
            </w:r>
          </w:p>
        </w:tc>
        <w:tc>
          <w:tcPr>
            <w:tcW w:w="10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57.6</w:t>
            </w:r>
          </w:p>
        </w:tc>
      </w:tr>
    </w:tbl>
    <w:p>
      <w:pPr>
        <w:pStyle w:val="23"/>
      </w:pPr>
    </w:p>
    <w:p>
      <w:pPr>
        <w:pStyle w:val="113"/>
      </w:pPr>
      <w:r>
        <w:rPr>
          <w:rFonts w:hint="eastAsia"/>
        </w:rPr>
        <w:t>根据化学动力学定律，我们有理由假设阿伦尼乌斯Arrhenius类的函数关系也适用于这些数据。因此压缩永久变形cs能采用式（56）的形式:</w:t>
      </w:r>
    </w:p>
    <w:p>
      <w:pPr>
        <w:pStyle w:val="23"/>
        <w:ind w:firstLine="400"/>
      </w:pPr>
      <m:oMath>
        <m:r>
          <m:rPr>
            <m:sty m:val="p"/>
          </m:rPr>
          <w:rPr>
            <w:rFonts w:ascii="Cambria Math" w:hAnsi="Cambria Math" w:cs="Arial"/>
            <w:sz w:val="20"/>
          </w:rPr>
          <m:t xml:space="preserve">CS= </m:t>
        </m:r>
        <m:r>
          <m:rPr/>
          <w:rPr>
            <w:rFonts w:ascii="Cambria Math" w:hAnsi="Cambria Math" w:cs="Arial"/>
            <w:sz w:val="20"/>
          </w:rPr>
          <m:t>α</m:t>
        </m:r>
        <m:r>
          <m:rPr>
            <m:sty m:val="p"/>
          </m:rPr>
          <w:rPr>
            <w:rFonts w:ascii="Cambria Math" w:hAnsi="Cambria Math" w:cs="Arial"/>
            <w:sz w:val="20"/>
          </w:rPr>
          <m:t>exp⁡(</m:t>
        </m:r>
        <m:f>
          <m:fPr>
            <m:ctrlPr>
              <w:rPr>
                <w:rFonts w:ascii="Cambria Math" w:hAnsi="Cambria Math" w:cs="Arial"/>
                <w:i/>
              </w:rPr>
            </m:ctrlPr>
          </m:fPr>
          <m:num>
            <m:r>
              <m:rPr/>
              <w:rPr>
                <w:rFonts w:ascii="Cambria Math" w:hAnsi="Cambria Math" w:cs="Arial"/>
                <w:sz w:val="20"/>
              </w:rPr>
              <m:t>β</m:t>
            </m:r>
            <m:ctrlPr>
              <w:rPr>
                <w:rFonts w:ascii="Cambria Math" w:hAnsi="Cambria Math" w:cs="Arial"/>
                <w:i/>
              </w:rPr>
            </m:ctrlPr>
          </m:num>
          <m:den>
            <m:r>
              <m:rPr/>
              <w:rPr>
                <w:rFonts w:ascii="Cambria Math" w:hAnsi="Cambria Math" w:cs="Arial"/>
                <w:sz w:val="20"/>
              </w:rPr>
              <m:t>T</m:t>
            </m:r>
            <m:ctrlPr>
              <w:rPr>
                <w:rFonts w:ascii="Cambria Math" w:hAnsi="Cambria Math" w:cs="Arial"/>
                <w:i/>
              </w:rPr>
            </m:ctrlPr>
          </m:den>
        </m:f>
        <m:r>
          <m:rPr>
            <m:sty m:val="p"/>
          </m:rPr>
          <w:rPr>
            <w:rFonts w:ascii="Cambria Math" w:hAnsi="Cambria Math" w:cs="Arial"/>
            <w:sz w:val="20"/>
          </w:rPr>
          <m:t>)</m:t>
        </m:r>
      </m:oMath>
      <w:r>
        <w:t xml:space="preserve">                   </w:t>
      </w:r>
      <w:r>
        <w:rPr>
          <w:rFonts w:hint="eastAsia"/>
        </w:rPr>
        <w:t xml:space="preserve">                  </w:t>
      </w:r>
      <w:r>
        <w:t xml:space="preserve">                               (56)</w:t>
      </w:r>
    </w:p>
    <w:p>
      <w:pPr>
        <w:pStyle w:val="23"/>
        <w:ind w:firstLine="0" w:firstLineChars="0"/>
      </w:pPr>
      <w:r>
        <w:rPr>
          <w:rFonts w:hint="eastAsia"/>
        </w:rPr>
        <w:t>式中，</w:t>
      </w:r>
    </w:p>
    <w:p>
      <w:pPr>
        <w:pStyle w:val="23"/>
        <w:rPr>
          <w:rFonts w:ascii="Times New Roman"/>
        </w:rPr>
      </w:pPr>
      <w:r>
        <w:rPr>
          <w:rFonts w:ascii="Times New Roman"/>
          <w:i/>
        </w:rPr>
        <w:t>α</w:t>
      </w:r>
      <w:r>
        <w:rPr>
          <w:rFonts w:ascii="Times New Roman"/>
        </w:rPr>
        <w:t>和</w:t>
      </w:r>
      <w:r>
        <w:rPr>
          <w:rFonts w:ascii="Times New Roman"/>
          <w:i/>
        </w:rPr>
        <w:t>β</w:t>
      </w:r>
      <w:r>
        <w:rPr>
          <w:rFonts w:ascii="Times New Roman"/>
        </w:rPr>
        <w:t>是常数；</w:t>
      </w:r>
    </w:p>
    <w:p>
      <w:pPr>
        <w:pStyle w:val="23"/>
        <w:rPr>
          <w:rFonts w:ascii="Times New Roman"/>
        </w:rPr>
      </w:pPr>
      <w:r>
        <w:rPr>
          <w:rFonts w:ascii="Times New Roman"/>
          <w:i/>
        </w:rPr>
        <w:t>T</w:t>
      </w:r>
      <w:r>
        <w:rPr>
          <w:rFonts w:ascii="Times New Roman"/>
        </w:rPr>
        <w:t>是温度， 单位为开尔文，K(绝对温度)。</w:t>
      </w:r>
    </w:p>
    <w:p>
      <w:pPr>
        <w:pStyle w:val="23"/>
        <w:rPr>
          <w:rFonts w:ascii="Times New Roman"/>
          <w:kern w:val="2"/>
          <w:szCs w:val="22"/>
        </w:rPr>
      </w:pPr>
      <w:r>
        <w:rPr>
          <w:rFonts w:ascii="Times New Roman"/>
        </w:rPr>
        <w:t>这个函数是不能直接利用最小二乘法确定</w:t>
      </w:r>
      <w:r>
        <w:rPr>
          <w:rFonts w:ascii="Times New Roman"/>
          <w:i/>
        </w:rPr>
        <w:t>α</w:t>
      </w:r>
      <w:r>
        <w:rPr>
          <w:rFonts w:ascii="Times New Roman"/>
        </w:rPr>
        <w:t>和</w:t>
      </w:r>
      <w:r>
        <w:rPr>
          <w:rFonts w:ascii="Times New Roman"/>
          <w:i/>
        </w:rPr>
        <w:t>β</w:t>
      </w:r>
      <w:r>
        <w:rPr>
          <w:rFonts w:ascii="Times New Roman"/>
        </w:rPr>
        <w:t>的,但通过取自然对数它很容易转变成可用的公式</w:t>
      </w:r>
      <w:r>
        <w:rPr>
          <w:rFonts w:hint="eastAsia" w:ascii="Times New Roman"/>
        </w:rPr>
        <w:t>：</w:t>
      </w:r>
    </w:p>
    <w:p>
      <w:pPr>
        <w:pStyle w:val="23"/>
      </w:pPr>
      <m:oMath>
        <m:func>
          <m:funcPr>
            <m:ctrlPr>
              <w:rPr>
                <w:rFonts w:ascii="Cambria Math" w:hAnsi="Cambria Math"/>
                <w:i/>
                <w:szCs w:val="22"/>
              </w:rPr>
            </m:ctrlPr>
          </m:funcPr>
          <m:fName>
            <m:r>
              <m:rPr>
                <m:sty m:val="p"/>
              </m:rPr>
              <w:rPr>
                <w:rFonts w:ascii="Cambria Math" w:hAnsi="Cambria Math"/>
              </w:rPr>
              <m:t>ln</m:t>
            </m:r>
            <m:ctrlPr>
              <w:rPr>
                <w:rFonts w:ascii="Cambria Math" w:hAnsi="Cambria Math"/>
                <w:i/>
                <w:szCs w:val="22"/>
              </w:rPr>
            </m:ctrlPr>
          </m:fName>
          <m:e>
            <m:d>
              <m:dPr>
                <m:ctrlPr>
                  <w:rPr>
                    <w:rFonts w:ascii="Cambria Math" w:hAnsi="Cambria Math"/>
                    <w:i/>
                    <w:szCs w:val="22"/>
                  </w:rPr>
                </m:ctrlPr>
              </m:dPr>
              <m:e>
                <m:r>
                  <m:rPr/>
                  <w:rPr>
                    <w:rFonts w:ascii="Cambria Math" w:hAnsi="Cambria Math"/>
                  </w:rPr>
                  <m:t>cs</m:t>
                </m:r>
                <m:ctrlPr>
                  <w:rPr>
                    <w:rFonts w:ascii="Cambria Math" w:hAnsi="Cambria Math"/>
                    <w:i/>
                    <w:szCs w:val="22"/>
                  </w:rPr>
                </m:ctrlPr>
              </m:e>
            </m:d>
            <m:ctrlPr>
              <w:rPr>
                <w:rFonts w:ascii="Cambria Math" w:hAnsi="Cambria Math"/>
                <w:i/>
                <w:szCs w:val="22"/>
              </w:rPr>
            </m:ctrlPr>
          </m:e>
        </m:func>
        <m:r>
          <m:rPr/>
          <w:rPr>
            <w:rFonts w:ascii="Cambria Math" w:hAnsi="Cambria Math"/>
          </w:rPr>
          <m:t>=</m:t>
        </m:r>
        <m:func>
          <m:funcPr>
            <m:ctrlPr>
              <w:rPr>
                <w:rFonts w:ascii="Cambria Math" w:hAnsi="Cambria Math"/>
                <w:szCs w:val="22"/>
              </w:rPr>
            </m:ctrlPr>
          </m:funcPr>
          <m:fName>
            <m:r>
              <m:rPr>
                <m:sty m:val="p"/>
              </m:rPr>
              <w:rPr>
                <w:rFonts w:ascii="Cambria Math" w:hAnsi="Cambria Math"/>
              </w:rPr>
              <m:t>ln</m:t>
            </m:r>
            <m:ctrlPr>
              <w:rPr>
                <w:rFonts w:ascii="Cambria Math" w:hAnsi="Cambria Math"/>
                <w:szCs w:val="22"/>
              </w:rPr>
            </m:ctrlPr>
          </m:fName>
          <m:e>
            <m:d>
              <m:dPr>
                <m:ctrlPr>
                  <w:rPr>
                    <w:rFonts w:ascii="Cambria Math" w:hAnsi="Cambria Math"/>
                    <w:i/>
                    <w:szCs w:val="22"/>
                  </w:rPr>
                </m:ctrlPr>
              </m:dPr>
              <m:e>
                <m:r>
                  <m:rPr/>
                  <w:rPr>
                    <w:rFonts w:ascii="Cambria Math" w:hAnsi="Cambria Math"/>
                  </w:rPr>
                  <m:t>α</m:t>
                </m:r>
                <m:ctrlPr>
                  <w:rPr>
                    <w:rFonts w:ascii="Cambria Math" w:hAnsi="Cambria Math"/>
                    <w:i/>
                    <w:szCs w:val="22"/>
                  </w:rPr>
                </m:ctrlPr>
              </m:e>
            </m:d>
            <m:ctrlPr>
              <w:rPr>
                <w:rFonts w:ascii="Cambria Math" w:hAnsi="Cambria Math"/>
                <w:szCs w:val="22"/>
              </w:rPr>
            </m:ctrlPr>
          </m:e>
        </m:func>
        <m:r>
          <m:rPr/>
          <w:rPr>
            <w:rFonts w:ascii="Cambria Math" w:hAnsi="Cambria Math"/>
          </w:rPr>
          <m:t>+</m:t>
        </m:r>
        <m:f>
          <m:fPr>
            <m:ctrlPr>
              <w:rPr>
                <w:rFonts w:ascii="Cambria Math" w:hAnsi="Cambria Math"/>
                <w:i/>
                <w:szCs w:val="22"/>
              </w:rPr>
            </m:ctrlPr>
          </m:fPr>
          <m:num>
            <m:r>
              <m:rPr/>
              <w:rPr>
                <w:rFonts w:ascii="Cambria Math" w:hAnsi="Cambria Math"/>
              </w:rPr>
              <m:t>β</m:t>
            </m:r>
            <m:ctrlPr>
              <w:rPr>
                <w:rFonts w:ascii="Cambria Math" w:hAnsi="Cambria Math"/>
                <w:i/>
                <w:szCs w:val="22"/>
              </w:rPr>
            </m:ctrlPr>
          </m:num>
          <m:den>
            <m:r>
              <m:rPr/>
              <w:rPr>
                <w:rFonts w:ascii="Cambria Math" w:hAnsi="Cambria Math"/>
              </w:rPr>
              <m:t>θ+273</m:t>
            </m:r>
            <m:ctrlPr>
              <w:rPr>
                <w:rFonts w:ascii="Cambria Math" w:hAnsi="Cambria Math"/>
                <w:i/>
                <w:szCs w:val="22"/>
              </w:rPr>
            </m:ctrlPr>
          </m:den>
        </m:f>
      </m:oMath>
      <w:r>
        <w:t xml:space="preserve">                            </w:t>
      </w:r>
      <w:r>
        <w:rPr>
          <w:rFonts w:hint="eastAsia"/>
        </w:rPr>
        <w:t xml:space="preserve">                    </w:t>
      </w:r>
      <w:r>
        <w:t xml:space="preserve">             (57)</w:t>
      </w:r>
    </w:p>
    <w:p>
      <w:pPr>
        <w:pStyle w:val="23"/>
        <w:ind w:firstLine="0" w:firstLineChars="0"/>
      </w:pPr>
      <w:r>
        <w:rPr>
          <w:rFonts w:hint="eastAsia"/>
        </w:rPr>
        <w:t>式中，</w:t>
      </w:r>
      <w:r>
        <w:rPr>
          <w:i/>
        </w:rPr>
        <w:t>θ</w:t>
      </w:r>
      <w:r>
        <w:rPr>
          <w:rFonts w:hint="eastAsia"/>
        </w:rPr>
        <w:t>是温度，</w:t>
      </w:r>
      <w:r>
        <w:t>℃</w:t>
      </w:r>
      <w:r>
        <w:rPr>
          <w:rFonts w:hint="eastAsia"/>
        </w:rPr>
        <w:t>。</w:t>
      </w:r>
    </w:p>
    <w:p>
      <w:pPr>
        <w:pStyle w:val="23"/>
      </w:pPr>
      <w:r>
        <w:rPr>
          <w:rFonts w:hint="eastAsia"/>
        </w:rPr>
        <w:t>该函数具有公式（58）相同的形式：</w:t>
      </w:r>
    </w:p>
    <w:p>
      <w:pPr>
        <w:pStyle w:val="23"/>
      </w:pPr>
      <m:oMath>
        <m:r>
          <m:rPr/>
          <w:rPr>
            <w:rFonts w:ascii="Cambria Math" w:hAnsi="Cambria Math"/>
          </w:rPr>
          <m:t>y</m:t>
        </m:r>
        <m:r>
          <m:rPr>
            <m:sty m:val="p"/>
          </m:rPr>
          <w:rPr>
            <w:rFonts w:ascii="Cambria Math" w:hAnsi="Cambria Math"/>
          </w:rPr>
          <m:t>=</m:t>
        </m:r>
        <m:r>
          <m:rPr/>
          <w:rPr>
            <w:rFonts w:ascii="Cambria Math" w:hAnsi="Cambria Math"/>
          </w:rPr>
          <m:t>a+bx</m:t>
        </m:r>
        <m:r>
          <m:rPr>
            <m:sty m:val="p"/>
          </m:rPr>
          <w:rPr>
            <w:rFonts w:ascii="Cambria Math" w:hAnsi="Cambria Math"/>
          </w:rPr>
          <m:t xml:space="preserve"> </m:t>
        </m:r>
      </m:oMath>
      <w:r>
        <w:t xml:space="preserve">                                    </w:t>
      </w:r>
      <w:r>
        <w:rPr>
          <w:rFonts w:hint="eastAsia"/>
        </w:rPr>
        <w:t xml:space="preserve">                     </w:t>
      </w:r>
      <w:r>
        <w:t xml:space="preserve">              (58)</w:t>
      </w:r>
    </w:p>
    <w:p>
      <w:pPr>
        <w:pStyle w:val="23"/>
        <w:ind w:firstLine="0" w:firstLineChars="0"/>
      </w:pPr>
      <w:r>
        <w:rPr>
          <w:rFonts w:hint="eastAsia"/>
        </w:rPr>
        <w:t>式中，</w:t>
      </w:r>
    </w:p>
    <w:p>
      <w:pPr>
        <w:pStyle w:val="23"/>
      </w:pPr>
      <m:oMath>
        <m:r>
          <m:rPr>
            <m:sty m:val="p"/>
          </m:rPr>
          <w:rPr>
            <w:rFonts w:ascii="Cambria Math" w:hAnsi="Cambria Math"/>
          </w:rPr>
          <m:t>y=ln⁡(cs)</m:t>
        </m:r>
      </m:oMath>
      <w:r>
        <w:t xml:space="preserve">; </w:t>
      </w:r>
    </w:p>
    <w:p>
      <w:pPr>
        <w:pStyle w:val="23"/>
      </w:pPr>
      <m:oMath>
        <m:r>
          <m:rPr/>
          <w:rPr>
            <w:rFonts w:ascii="Cambria Math" w:hAnsi="Cambria Math"/>
          </w:rPr>
          <m:t>x</m:t>
        </m:r>
        <m:r>
          <m:rPr>
            <m:sty m:val="p"/>
          </m:rPr>
          <w:rPr>
            <w:rFonts w:ascii="Cambria Math" w:hAnsi="Cambria Math"/>
          </w:rPr>
          <m:t>=1/(</m:t>
        </m:r>
        <m:r>
          <m:rPr/>
          <w:rPr>
            <w:rFonts w:ascii="Cambria Math" w:hAnsi="Cambria Math"/>
          </w:rPr>
          <m:t>θ</m:t>
        </m:r>
        <m:r>
          <m:rPr>
            <m:sty m:val="p"/>
          </m:rPr>
          <w:rPr>
            <w:rFonts w:ascii="Cambria Math" w:hAnsi="Cambria Math"/>
          </w:rPr>
          <m:t>+273)</m:t>
        </m:r>
      </m:oMath>
      <w:r>
        <w:rPr>
          <w:rFonts w:hint="eastAsia"/>
        </w:rPr>
        <w:t>。</w:t>
      </w:r>
    </w:p>
    <w:p>
      <w:pPr>
        <w:pStyle w:val="23"/>
      </w:pPr>
      <w:r>
        <w:rPr>
          <w:rFonts w:hint="eastAsia"/>
        </w:rPr>
        <w:t>这样，用压缩永久变形的均值作为因变量</w:t>
      </w:r>
      <w:r>
        <w:rPr>
          <w:i/>
        </w:rPr>
        <w:t>y</w:t>
      </w:r>
      <w:r>
        <w:rPr>
          <w:rFonts w:hint="eastAsia"/>
        </w:rPr>
        <w:t>，将表格转换为如表</w:t>
      </w:r>
      <w:r>
        <w:t>33</w:t>
      </w:r>
      <w:r>
        <w:rPr>
          <w:rFonts w:hint="eastAsia"/>
        </w:rPr>
        <w:t>所示。</w:t>
      </w:r>
    </w:p>
    <w:p>
      <w:pPr>
        <w:pStyle w:val="127"/>
        <w:ind w:left="0"/>
      </w:pPr>
      <w:r>
        <w:rPr>
          <w:rFonts w:hint="eastAsia" w:hAnsi="黑体"/>
        </w:rPr>
        <w:t>转换的压缩永久变形变量</w:t>
      </w:r>
    </w:p>
    <w:tbl>
      <w:tblPr>
        <w:tblStyle w:val="33"/>
        <w:tblW w:w="5000" w:type="pct"/>
        <w:tblInd w:w="0" w:type="dxa"/>
        <w:tblLayout w:type="autofit"/>
        <w:tblCellMar>
          <w:top w:w="0" w:type="dxa"/>
          <w:left w:w="108" w:type="dxa"/>
          <w:bottom w:w="0" w:type="dxa"/>
          <w:right w:w="108" w:type="dxa"/>
        </w:tblCellMar>
      </w:tblPr>
      <w:tblGrid>
        <w:gridCol w:w="4785"/>
        <w:gridCol w:w="4785"/>
      </w:tblGrid>
      <w:tr>
        <w:tblPrEx>
          <w:tblCellMar>
            <w:top w:w="0" w:type="dxa"/>
            <w:left w:w="108" w:type="dxa"/>
            <w:bottom w:w="0" w:type="dxa"/>
            <w:right w:w="108" w:type="dxa"/>
          </w:tblCellMar>
        </w:tblPrEx>
        <w:trPr>
          <w:trHeight w:val="270" w:hRule="atLeast"/>
        </w:trPr>
        <w:tc>
          <w:tcPr>
            <w:tcW w:w="2500" w:type="pct"/>
            <w:tcBorders>
              <w:top w:val="single" w:color="auto" w:sz="4" w:space="0"/>
              <w:left w:val="single" w:color="auto" w:sz="4" w:space="0"/>
              <w:bottom w:val="nil"/>
              <w:right w:val="single" w:color="auto" w:sz="4" w:space="0"/>
            </w:tcBorders>
            <w:noWrap/>
            <w:vAlign w:val="center"/>
          </w:tcPr>
          <w:p>
            <w:pPr>
              <w:widowControl/>
              <w:jc w:val="center"/>
              <w:rPr>
                <w:i/>
                <w:color w:val="000000"/>
                <w:kern w:val="0"/>
                <w:sz w:val="20"/>
                <w:szCs w:val="20"/>
              </w:rPr>
            </w:pPr>
            <w:r>
              <w:rPr>
                <w:i/>
                <w:color w:val="000000"/>
                <w:kern w:val="0"/>
                <w:sz w:val="20"/>
                <w:szCs w:val="20"/>
              </w:rPr>
              <w:t>x</w:t>
            </w:r>
          </w:p>
        </w:tc>
        <w:tc>
          <w:tcPr>
            <w:tcW w:w="2500" w:type="pct"/>
            <w:tcBorders>
              <w:top w:val="single" w:color="auto" w:sz="4" w:space="0"/>
              <w:left w:val="nil"/>
              <w:bottom w:val="nil"/>
              <w:right w:val="single" w:color="auto" w:sz="4" w:space="0"/>
            </w:tcBorders>
            <w:noWrap/>
            <w:vAlign w:val="center"/>
          </w:tcPr>
          <w:p>
            <w:pPr>
              <w:widowControl/>
              <w:jc w:val="center"/>
              <w:rPr>
                <w:i/>
                <w:color w:val="000000"/>
                <w:kern w:val="0"/>
                <w:sz w:val="20"/>
                <w:szCs w:val="20"/>
              </w:rPr>
            </w:pPr>
            <w:r>
              <w:rPr>
                <w:i/>
                <w:color w:val="000000"/>
                <w:kern w:val="0"/>
                <w:sz w:val="20"/>
                <w:szCs w:val="20"/>
              </w:rPr>
              <w:t>y</w:t>
            </w:r>
          </w:p>
        </w:tc>
      </w:tr>
      <w:tr>
        <w:tblPrEx>
          <w:tblCellMar>
            <w:top w:w="0" w:type="dxa"/>
            <w:left w:w="108" w:type="dxa"/>
            <w:bottom w:w="0" w:type="dxa"/>
            <w:right w:w="108" w:type="dxa"/>
          </w:tblCellMar>
        </w:tblPrEx>
        <w:trPr>
          <w:trHeight w:val="270" w:hRule="atLeast"/>
        </w:trPr>
        <w:tc>
          <w:tcPr>
            <w:tcW w:w="250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r>
              <w:rPr>
                <w:rFonts w:hint="eastAsia" w:ascii="宋体" w:hAnsi="宋体" w:cs="宋体"/>
                <w:color w:val="000000"/>
                <w:kern w:val="0"/>
                <w:sz w:val="20"/>
                <w:szCs w:val="20"/>
                <w:vertAlign w:val="superscript"/>
              </w:rPr>
              <w:t>–3</w:t>
            </w:r>
          </w:p>
        </w:tc>
        <w:tc>
          <w:tcPr>
            <w:tcW w:w="2500" w:type="pct"/>
            <w:tcBorders>
              <w:top w:val="nil"/>
              <w:left w:val="nil"/>
              <w:bottom w:val="single" w:color="auto" w:sz="4" w:space="0"/>
              <w:right w:val="single" w:color="auto" w:sz="4" w:space="0"/>
            </w:tcBorders>
            <w:noWrap/>
            <w:vAlign w:val="center"/>
          </w:tcPr>
          <w:p>
            <w:pPr>
              <w:widowControl/>
              <w:jc w:val="left"/>
              <w:rPr>
                <w:rFonts w:ascii="Calibri" w:hAnsi="Calibri"/>
                <w:szCs w:val="22"/>
              </w:rPr>
            </w:pPr>
          </w:p>
        </w:tc>
      </w:tr>
      <w:tr>
        <w:tblPrEx>
          <w:tblCellMar>
            <w:top w:w="0" w:type="dxa"/>
            <w:left w:w="108" w:type="dxa"/>
            <w:bottom w:w="0" w:type="dxa"/>
            <w:right w:w="108" w:type="dxa"/>
          </w:tblCellMar>
        </w:tblPrEx>
        <w:trPr>
          <w:trHeight w:val="270" w:hRule="atLeast"/>
        </w:trPr>
        <w:tc>
          <w:tcPr>
            <w:tcW w:w="250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2.92</w:t>
            </w:r>
          </w:p>
        </w:tc>
        <w:tc>
          <w:tcPr>
            <w:tcW w:w="25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3.21</w:t>
            </w:r>
          </w:p>
        </w:tc>
      </w:tr>
      <w:tr>
        <w:tblPrEx>
          <w:tblCellMar>
            <w:top w:w="0" w:type="dxa"/>
            <w:left w:w="108" w:type="dxa"/>
            <w:bottom w:w="0" w:type="dxa"/>
            <w:right w:w="108" w:type="dxa"/>
          </w:tblCellMar>
        </w:tblPrEx>
        <w:trPr>
          <w:trHeight w:val="270" w:hRule="atLeast"/>
        </w:trPr>
        <w:tc>
          <w:tcPr>
            <w:tcW w:w="250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2.79</w:t>
            </w:r>
          </w:p>
        </w:tc>
        <w:tc>
          <w:tcPr>
            <w:tcW w:w="25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3.42</w:t>
            </w:r>
          </w:p>
        </w:tc>
      </w:tr>
      <w:tr>
        <w:tblPrEx>
          <w:tblCellMar>
            <w:top w:w="0" w:type="dxa"/>
            <w:left w:w="108" w:type="dxa"/>
            <w:bottom w:w="0" w:type="dxa"/>
            <w:right w:w="108" w:type="dxa"/>
          </w:tblCellMar>
        </w:tblPrEx>
        <w:trPr>
          <w:trHeight w:val="270" w:hRule="atLeast"/>
        </w:trPr>
        <w:tc>
          <w:tcPr>
            <w:tcW w:w="250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2.68</w:t>
            </w:r>
          </w:p>
        </w:tc>
        <w:tc>
          <w:tcPr>
            <w:tcW w:w="25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3.60</w:t>
            </w:r>
          </w:p>
        </w:tc>
      </w:tr>
      <w:tr>
        <w:tblPrEx>
          <w:tblCellMar>
            <w:top w:w="0" w:type="dxa"/>
            <w:left w:w="108" w:type="dxa"/>
            <w:bottom w:w="0" w:type="dxa"/>
            <w:right w:w="108" w:type="dxa"/>
          </w:tblCellMar>
        </w:tblPrEx>
        <w:trPr>
          <w:trHeight w:val="270" w:hRule="atLeast"/>
        </w:trPr>
        <w:tc>
          <w:tcPr>
            <w:tcW w:w="250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2.51</w:t>
            </w:r>
          </w:p>
        </w:tc>
        <w:tc>
          <w:tcPr>
            <w:tcW w:w="25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3.84</w:t>
            </w:r>
          </w:p>
        </w:tc>
      </w:tr>
      <w:tr>
        <w:tblPrEx>
          <w:tblCellMar>
            <w:top w:w="0" w:type="dxa"/>
            <w:left w:w="108" w:type="dxa"/>
            <w:bottom w:w="0" w:type="dxa"/>
            <w:right w:w="108" w:type="dxa"/>
          </w:tblCellMar>
        </w:tblPrEx>
        <w:trPr>
          <w:trHeight w:val="270" w:hRule="atLeast"/>
        </w:trPr>
        <w:tc>
          <w:tcPr>
            <w:tcW w:w="250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2.36</w:t>
            </w:r>
          </w:p>
        </w:tc>
        <w:tc>
          <w:tcPr>
            <w:tcW w:w="25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4.05</w:t>
            </w:r>
          </w:p>
        </w:tc>
      </w:tr>
    </w:tbl>
    <w:p>
      <w:pPr>
        <w:pStyle w:val="113"/>
      </w:pPr>
      <w:r>
        <w:rPr>
          <w:rFonts w:hint="eastAsia"/>
        </w:rPr>
        <w:t>从11.2.2中给出的各种求和项，可以推导出以下因子：</w:t>
      </w:r>
    </w:p>
    <w:p>
      <w:pPr>
        <w:tabs>
          <w:tab w:val="left" w:pos="284"/>
          <w:tab w:val="left" w:pos="567"/>
          <w:tab w:val="left" w:pos="993"/>
        </w:tabs>
        <w:ind w:left="840" w:leftChars="400"/>
        <w:rPr>
          <w:rFonts w:ascii="宋体" w:hAnsi="宋体"/>
        </w:rPr>
      </w:pPr>
      <w:r>
        <w:rPr>
          <w:rFonts w:hint="eastAsia" w:ascii="宋体" w:hAnsi="宋体"/>
          <w:i/>
        </w:rPr>
        <w:t>C</w:t>
      </w:r>
      <w:r>
        <w:rPr>
          <w:rFonts w:hint="eastAsia" w:ascii="宋体" w:hAnsi="宋体"/>
          <w:vertAlign w:val="subscript"/>
        </w:rPr>
        <w:t xml:space="preserve">11 </w:t>
      </w:r>
      <w:r>
        <w:rPr>
          <w:rFonts w:hint="eastAsia" w:ascii="宋体" w:hAnsi="宋体"/>
        </w:rPr>
        <w:t>= 1.93×10</w:t>
      </w:r>
      <w:r>
        <w:rPr>
          <w:rFonts w:hint="eastAsia" w:ascii="宋体" w:hAnsi="宋体"/>
          <w:vertAlign w:val="superscript"/>
        </w:rPr>
        <w:t>-7</w:t>
      </w:r>
      <w:r>
        <w:rPr>
          <w:rFonts w:hint="eastAsia" w:ascii="宋体" w:hAnsi="宋体"/>
        </w:rPr>
        <w:t>；</w:t>
      </w:r>
    </w:p>
    <w:p>
      <w:pPr>
        <w:tabs>
          <w:tab w:val="left" w:pos="284"/>
          <w:tab w:val="left" w:pos="567"/>
          <w:tab w:val="left" w:pos="993"/>
        </w:tabs>
        <w:ind w:left="840" w:leftChars="400"/>
      </w:pPr>
      <w:r>
        <w:rPr>
          <w:i/>
        </w:rPr>
        <w:t>C</w:t>
      </w:r>
      <w:r>
        <w:rPr>
          <w:i/>
          <w:vertAlign w:val="subscript"/>
        </w:rPr>
        <w:t>yy</w:t>
      </w:r>
      <w:r>
        <w:t xml:space="preserve"> = 0.446</w:t>
      </w:r>
      <w:r>
        <w:rPr>
          <w:rFonts w:hint="eastAsia"/>
        </w:rPr>
        <w:t>；</w:t>
      </w:r>
    </w:p>
    <w:p>
      <w:pPr>
        <w:tabs>
          <w:tab w:val="left" w:pos="284"/>
          <w:tab w:val="left" w:pos="567"/>
          <w:tab w:val="left" w:pos="993"/>
        </w:tabs>
        <w:ind w:left="840" w:leftChars="400"/>
      </w:pPr>
      <w:r>
        <w:rPr>
          <w:i/>
        </w:rPr>
        <w:t>C</w:t>
      </w:r>
      <w:r>
        <w:rPr>
          <w:i/>
          <w:vertAlign w:val="subscript"/>
        </w:rPr>
        <w:t>y1</w:t>
      </w:r>
      <w:r>
        <w:t xml:space="preserve"> = -2.93×10</w:t>
      </w:r>
      <w:r>
        <w:rPr>
          <w:vertAlign w:val="superscript"/>
        </w:rPr>
        <w:t>-4</w:t>
      </w:r>
      <w:r>
        <w:rPr>
          <w:rFonts w:hint="eastAsia"/>
        </w:rPr>
        <w:t>；</w:t>
      </w:r>
    </w:p>
    <w:p>
      <w:pPr>
        <w:tabs>
          <w:tab w:val="left" w:pos="284"/>
          <w:tab w:val="left" w:pos="567"/>
          <w:tab w:val="left" w:pos="993"/>
        </w:tabs>
        <w:ind w:left="840" w:leftChars="400"/>
      </w:pPr>
      <w:r>
        <w:rPr>
          <w:i/>
        </w:rPr>
        <w:t xml:space="preserve">D </w:t>
      </w:r>
      <w:r>
        <w:t>= 0.445</w:t>
      </w:r>
      <w:r>
        <w:rPr>
          <w:rFonts w:hint="eastAsia"/>
        </w:rPr>
        <w:t>；</w:t>
      </w:r>
      <w:r>
        <w:t xml:space="preserve"> </w:t>
      </w:r>
    </w:p>
    <w:p>
      <w:pPr>
        <w:tabs>
          <w:tab w:val="left" w:pos="284"/>
          <w:tab w:val="left" w:pos="567"/>
          <w:tab w:val="left" w:pos="993"/>
        </w:tabs>
        <w:ind w:left="840" w:leftChars="400"/>
      </w:pPr>
      <w:r>
        <w:rPr>
          <w:i/>
        </w:rPr>
        <w:t>F</w:t>
      </w:r>
      <w:r>
        <w:rPr>
          <w:i/>
          <w:vertAlign w:val="subscript"/>
        </w:rPr>
        <w:t>r</w:t>
      </w:r>
      <w:r>
        <w:t xml:space="preserve"> = </w:t>
      </w:r>
      <w:r>
        <w:rPr>
          <w:rFonts w:hint="eastAsia"/>
        </w:rPr>
        <w:t>1389.85</w:t>
      </w:r>
      <w:r>
        <w:t>。</w:t>
      </w:r>
    </w:p>
    <w:p>
      <w:pPr>
        <w:tabs>
          <w:tab w:val="left" w:pos="284"/>
          <w:tab w:val="left" w:pos="567"/>
          <w:tab w:val="left" w:pos="993"/>
        </w:tabs>
        <w:ind w:left="420" w:leftChars="200"/>
      </w:pPr>
      <w:r>
        <w:rPr>
          <w:rFonts w:hint="eastAsia"/>
        </w:rPr>
        <w:t>回归系数为：</w:t>
      </w:r>
    </w:p>
    <w:p>
      <w:pPr>
        <w:tabs>
          <w:tab w:val="left" w:pos="284"/>
          <w:tab w:val="left" w:pos="567"/>
          <w:tab w:val="left" w:pos="993"/>
        </w:tabs>
        <w:ind w:left="840" w:leftChars="400"/>
      </w:pPr>
      <w:r>
        <w:rPr>
          <w:rFonts w:hint="eastAsia"/>
          <w:i/>
        </w:rPr>
        <w:t>a</w:t>
      </w:r>
      <w:r>
        <w:t xml:space="preserve"> = 7.66</w:t>
      </w:r>
      <w:r>
        <w:rPr>
          <w:rFonts w:hint="eastAsia"/>
        </w:rPr>
        <w:t>；</w:t>
      </w:r>
    </w:p>
    <w:p>
      <w:pPr>
        <w:tabs>
          <w:tab w:val="left" w:pos="284"/>
          <w:tab w:val="left" w:pos="567"/>
          <w:tab w:val="left" w:pos="993"/>
        </w:tabs>
        <w:ind w:left="840" w:leftChars="400"/>
      </w:pPr>
      <w:r>
        <w:rPr>
          <w:i/>
        </w:rPr>
        <w:t>b</w:t>
      </w:r>
      <w:r>
        <w:t xml:space="preserve"> = -1520.71</w:t>
      </w:r>
      <w:r>
        <w:rPr>
          <w:rFonts w:hint="eastAsia"/>
        </w:rPr>
        <w:t>。</w:t>
      </w:r>
    </w:p>
    <w:p>
      <w:pPr>
        <w:pStyle w:val="113"/>
      </w:pPr>
      <w:r>
        <w:rPr>
          <w:rFonts w:hint="eastAsia"/>
        </w:rPr>
        <w:t>如11.3.2.2所示，对函数进行线性化转换得到：</w:t>
      </w:r>
    </w:p>
    <w:p>
      <w:pPr>
        <w:autoSpaceDE w:val="0"/>
        <w:autoSpaceDN w:val="0"/>
        <w:adjustRightInd w:val="0"/>
        <w:ind w:left="840" w:leftChars="400"/>
        <w:jc w:val="left"/>
        <w:rPr>
          <w:kern w:val="0"/>
          <w:sz w:val="20"/>
          <w:szCs w:val="20"/>
        </w:rPr>
      </w:pPr>
      <w:r>
        <w:rPr>
          <w:i/>
          <w:iCs/>
          <w:kern w:val="0"/>
          <w:sz w:val="20"/>
          <w:szCs w:val="20"/>
        </w:rPr>
        <w:t xml:space="preserve">a </w:t>
      </w:r>
      <w:r>
        <w:rPr>
          <w:kern w:val="0"/>
          <w:sz w:val="20"/>
          <w:szCs w:val="20"/>
        </w:rPr>
        <w:t>= ln(</w:t>
      </w:r>
      <w:r>
        <w:rPr>
          <w:kern w:val="0"/>
          <w:szCs w:val="21"/>
        </w:rPr>
        <w:t>α</w:t>
      </w:r>
      <w:r>
        <w:rPr>
          <w:kern w:val="0"/>
          <w:sz w:val="20"/>
          <w:szCs w:val="20"/>
        </w:rPr>
        <w:t>)；</w:t>
      </w:r>
    </w:p>
    <w:p>
      <w:pPr>
        <w:tabs>
          <w:tab w:val="left" w:pos="284"/>
          <w:tab w:val="left" w:pos="567"/>
          <w:tab w:val="left" w:pos="993"/>
        </w:tabs>
        <w:ind w:left="840" w:leftChars="400"/>
        <w:rPr>
          <w:kern w:val="0"/>
          <w:sz w:val="20"/>
          <w:szCs w:val="20"/>
        </w:rPr>
      </w:pPr>
      <w:r>
        <w:rPr>
          <w:i/>
          <w:iCs/>
          <w:kern w:val="0"/>
          <w:sz w:val="20"/>
          <w:szCs w:val="20"/>
        </w:rPr>
        <w:t xml:space="preserve">b </w:t>
      </w:r>
      <w:r>
        <w:rPr>
          <w:kern w:val="0"/>
          <w:sz w:val="20"/>
          <w:szCs w:val="20"/>
        </w:rPr>
        <w:t xml:space="preserve">= </w:t>
      </w:r>
      <w:r>
        <w:rPr>
          <w:i/>
          <w:kern w:val="0"/>
          <w:szCs w:val="21"/>
        </w:rPr>
        <w:t>β</w:t>
      </w:r>
      <w:r>
        <w:rPr>
          <w:kern w:val="0"/>
          <w:sz w:val="20"/>
          <w:szCs w:val="20"/>
        </w:rPr>
        <w:t>。</w:t>
      </w:r>
    </w:p>
    <w:p>
      <w:pPr>
        <w:tabs>
          <w:tab w:val="left" w:pos="284"/>
          <w:tab w:val="left" w:pos="567"/>
          <w:tab w:val="left" w:pos="993"/>
        </w:tabs>
        <w:rPr>
          <w:kern w:val="0"/>
          <w:sz w:val="20"/>
          <w:szCs w:val="20"/>
        </w:rPr>
      </w:pPr>
      <w:r>
        <w:rPr>
          <w:iCs/>
          <w:kern w:val="0"/>
          <w:sz w:val="20"/>
          <w:szCs w:val="20"/>
        </w:rPr>
        <w:t>因此，</w:t>
      </w:r>
    </w:p>
    <w:p>
      <w:pPr>
        <w:autoSpaceDE w:val="0"/>
        <w:autoSpaceDN w:val="0"/>
        <w:adjustRightInd w:val="0"/>
        <w:ind w:left="840" w:leftChars="400"/>
        <w:jc w:val="left"/>
        <w:rPr>
          <w:kern w:val="0"/>
          <w:szCs w:val="21"/>
        </w:rPr>
      </w:pPr>
      <w:r>
        <w:rPr>
          <w:kern w:val="0"/>
          <w:szCs w:val="21"/>
        </w:rPr>
        <w:t>α = 2 121.76;</w:t>
      </w:r>
    </w:p>
    <w:p>
      <w:pPr>
        <w:tabs>
          <w:tab w:val="left" w:pos="284"/>
          <w:tab w:val="left" w:pos="567"/>
          <w:tab w:val="left" w:pos="993"/>
        </w:tabs>
        <w:ind w:left="840" w:leftChars="400"/>
        <w:rPr>
          <w:kern w:val="0"/>
          <w:szCs w:val="21"/>
        </w:rPr>
      </w:pPr>
      <w:r>
        <w:rPr>
          <w:i/>
          <w:kern w:val="0"/>
          <w:szCs w:val="21"/>
        </w:rPr>
        <w:t>β</w:t>
      </w:r>
      <w:r>
        <w:rPr>
          <w:kern w:val="0"/>
          <w:szCs w:val="21"/>
        </w:rPr>
        <w:t xml:space="preserve"> = −1 520</w:t>
      </w:r>
      <w:r>
        <w:rPr>
          <w:rFonts w:ascii="Calibri" w:hAnsi="Calibri" w:cs="Calibri"/>
          <w:color w:val="000000"/>
          <w:kern w:val="0"/>
          <w:szCs w:val="21"/>
        </w:rPr>
        <w:t xml:space="preserve"> .71</w:t>
      </w:r>
      <w:r>
        <w:rPr>
          <w:kern w:val="0"/>
          <w:szCs w:val="21"/>
        </w:rPr>
        <w:t>。</w:t>
      </w:r>
    </w:p>
    <w:p>
      <w:pPr>
        <w:tabs>
          <w:tab w:val="left" w:pos="284"/>
          <w:tab w:val="left" w:pos="567"/>
          <w:tab w:val="left" w:pos="993"/>
        </w:tabs>
        <w:rPr>
          <w:kern w:val="0"/>
          <w:szCs w:val="21"/>
        </w:rPr>
      </w:pPr>
      <w:r>
        <w:rPr>
          <w:kern w:val="0"/>
          <w:szCs w:val="21"/>
        </w:rPr>
        <w:t>回归方程为：</w:t>
      </w:r>
    </w:p>
    <w:p>
      <w:pPr>
        <w:tabs>
          <w:tab w:val="left" w:pos="284"/>
          <w:tab w:val="left" w:pos="567"/>
          <w:tab w:val="left" w:pos="993"/>
        </w:tabs>
        <w:ind w:left="420" w:leftChars="200"/>
        <w:rPr>
          <w:szCs w:val="21"/>
        </w:rPr>
      </w:pPr>
      <m:oMath>
        <m:r>
          <m:rPr>
            <m:sty m:val="p"/>
          </m:rPr>
          <w:rPr>
            <w:rFonts w:ascii="Cambria Math" w:hAnsi="Cambria Math"/>
            <w:szCs w:val="21"/>
          </w:rPr>
          <m:t>cs=2121.76exp⁡(</m:t>
        </m:r>
        <m:f>
          <m:fPr>
            <m:ctrlPr>
              <w:rPr>
                <w:rFonts w:ascii="Cambria Math" w:hAnsi="Cambria Math"/>
                <w:szCs w:val="21"/>
              </w:rPr>
            </m:ctrlPr>
          </m:fPr>
          <m:num>
            <m:r>
              <m:rPr/>
              <w:rPr>
                <w:rFonts w:ascii="Cambria Math" w:hAnsi="Cambria Math"/>
                <w:szCs w:val="21"/>
              </w:rPr>
              <m:t>−1 520.71</m:t>
            </m:r>
            <m:ctrlPr>
              <w:rPr>
                <w:rFonts w:ascii="Cambria Math" w:hAnsi="Cambria Math"/>
                <w:szCs w:val="21"/>
              </w:rPr>
            </m:ctrlPr>
          </m:num>
          <m:den>
            <m:r>
              <m:rPr/>
              <w:rPr>
                <w:rFonts w:ascii="Cambria Math" w:hAnsi="Cambria Math"/>
                <w:szCs w:val="21"/>
              </w:rPr>
              <m:t>θ+273</m:t>
            </m:r>
            <m:ctrlPr>
              <w:rPr>
                <w:rFonts w:ascii="Cambria Math" w:hAnsi="Cambria Math"/>
                <w:szCs w:val="21"/>
              </w:rPr>
            </m:ctrlPr>
          </m:den>
        </m:f>
        <m:r>
          <m:rPr>
            <m:sty m:val="p"/>
          </m:rPr>
          <w:rPr>
            <w:rFonts w:ascii="Cambria Math" w:hAnsi="Cambria Math"/>
            <w:szCs w:val="21"/>
          </w:rPr>
          <m:t>)</m:t>
        </m:r>
      </m:oMath>
      <w:r>
        <w:rPr>
          <w:szCs w:val="21"/>
        </w:rPr>
        <w:t xml:space="preserve">                 </w:t>
      </w:r>
      <w:r>
        <w:rPr>
          <w:rFonts w:hint="eastAsia"/>
          <w:szCs w:val="21"/>
        </w:rPr>
        <w:t xml:space="preserve">                  </w:t>
      </w:r>
      <w:r>
        <w:rPr>
          <w:szCs w:val="21"/>
        </w:rPr>
        <w:t xml:space="preserve">                      (59)</w:t>
      </w:r>
    </w:p>
    <w:p>
      <w:pPr>
        <w:pStyle w:val="113"/>
      </w:pPr>
      <w:r>
        <w:rPr>
          <w:rFonts w:hint="eastAsia"/>
        </w:rPr>
        <w:t>方差比在95%置信水平以上显著。为了说明拟合优度，可以计算压缩永久变形的回归值，并与实验值进行比较，如表34所示。</w:t>
      </w:r>
    </w:p>
    <w:p>
      <w:pPr>
        <w:pStyle w:val="127"/>
        <w:ind w:left="0"/>
      </w:pPr>
      <w:r>
        <w:rPr>
          <w:rFonts w:hint="eastAsia" w:hAnsi="黑体"/>
        </w:rPr>
        <w:t>压缩永久变形值的比较</w:t>
      </w:r>
    </w:p>
    <w:tbl>
      <w:tblPr>
        <w:tblStyle w:val="33"/>
        <w:tblW w:w="5000" w:type="pct"/>
        <w:tblInd w:w="0" w:type="dxa"/>
        <w:tblLayout w:type="autofit"/>
        <w:tblCellMar>
          <w:top w:w="0" w:type="dxa"/>
          <w:left w:w="108" w:type="dxa"/>
          <w:bottom w:w="0" w:type="dxa"/>
          <w:right w:w="108" w:type="dxa"/>
        </w:tblCellMar>
      </w:tblPr>
      <w:tblGrid>
        <w:gridCol w:w="3190"/>
        <w:gridCol w:w="3191"/>
        <w:gridCol w:w="3189"/>
      </w:tblGrid>
      <w:tr>
        <w:tblPrEx>
          <w:tblCellMar>
            <w:top w:w="0" w:type="dxa"/>
            <w:left w:w="108" w:type="dxa"/>
            <w:bottom w:w="0" w:type="dxa"/>
            <w:right w:w="108" w:type="dxa"/>
          </w:tblCellMar>
        </w:tblPrEx>
        <w:trPr>
          <w:trHeight w:val="270" w:hRule="atLeast"/>
        </w:trPr>
        <w:tc>
          <w:tcPr>
            <w:tcW w:w="1667" w:type="pct"/>
            <w:tcBorders>
              <w:top w:val="single" w:color="auto" w:sz="4" w:space="0"/>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温度</w:t>
            </w:r>
          </w:p>
        </w:tc>
        <w:tc>
          <w:tcPr>
            <w:tcW w:w="1667" w:type="pct"/>
            <w:tcBorders>
              <w:top w:val="single" w:color="auto" w:sz="4" w:space="0"/>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观测值</w:t>
            </w:r>
          </w:p>
        </w:tc>
        <w:tc>
          <w:tcPr>
            <w:tcW w:w="1666" w:type="pct"/>
            <w:tcBorders>
              <w:top w:val="single" w:color="auto" w:sz="4" w:space="0"/>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计算值</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667"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 </w:t>
            </w:r>
          </w:p>
        </w:tc>
        <w:tc>
          <w:tcPr>
            <w:tcW w:w="1666"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1667"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24.7</w:t>
            </w:r>
          </w:p>
        </w:tc>
        <w:tc>
          <w:tcPr>
            <w:tcW w:w="1666"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25.2</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85</w:t>
            </w:r>
          </w:p>
        </w:tc>
        <w:tc>
          <w:tcPr>
            <w:tcW w:w="1667"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30.7</w:t>
            </w:r>
          </w:p>
        </w:tc>
        <w:tc>
          <w:tcPr>
            <w:tcW w:w="1666"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30.4</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1667"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36.7</w:t>
            </w:r>
          </w:p>
        </w:tc>
        <w:tc>
          <w:tcPr>
            <w:tcW w:w="1666"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36.0</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125</w:t>
            </w:r>
          </w:p>
        </w:tc>
        <w:tc>
          <w:tcPr>
            <w:tcW w:w="1667"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46.6</w:t>
            </w:r>
          </w:p>
        </w:tc>
        <w:tc>
          <w:tcPr>
            <w:tcW w:w="1666"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46.5</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150</w:t>
            </w:r>
          </w:p>
        </w:tc>
        <w:tc>
          <w:tcPr>
            <w:tcW w:w="1667"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57.6</w:t>
            </w:r>
          </w:p>
        </w:tc>
        <w:tc>
          <w:tcPr>
            <w:tcW w:w="1666"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58.3</w:t>
            </w:r>
          </w:p>
        </w:tc>
      </w:tr>
    </w:tbl>
    <w:p>
      <w:pPr>
        <w:pStyle w:val="46"/>
        <w:spacing w:before="156" w:after="156"/>
      </w:pPr>
      <w:r>
        <w:rPr>
          <w:rFonts w:hint="eastAsia"/>
        </w:rPr>
        <w:t>老化对拉伸强度的影响</w:t>
      </w:r>
    </w:p>
    <w:p>
      <w:pPr>
        <w:pStyle w:val="113"/>
      </w:pPr>
      <w:r>
        <w:rPr>
          <w:rFonts w:hint="eastAsia"/>
        </w:rPr>
        <w:t>一种橡胶混炼胶在70℃下热老化1个月。每隔一周，将五个哑铃样样从烘箱中取出，冷却一晚，在23℃下进行测试，结果如表35所示。</w:t>
      </w:r>
    </w:p>
    <w:p>
      <w:pPr>
        <w:pStyle w:val="127"/>
        <w:ind w:left="0"/>
      </w:pPr>
      <w:r>
        <w:rPr>
          <w:rFonts w:hint="eastAsia"/>
        </w:rPr>
        <w:t>老化后拉伸强度</w:t>
      </w:r>
    </w:p>
    <w:tbl>
      <w:tblPr>
        <w:tblStyle w:val="33"/>
        <w:tblW w:w="5000" w:type="pct"/>
        <w:tblInd w:w="0" w:type="dxa"/>
        <w:tblLayout w:type="autofit"/>
        <w:tblCellMar>
          <w:top w:w="0" w:type="dxa"/>
          <w:left w:w="108" w:type="dxa"/>
          <w:bottom w:w="0" w:type="dxa"/>
          <w:right w:w="108" w:type="dxa"/>
        </w:tblCellMar>
      </w:tblPr>
      <w:tblGrid>
        <w:gridCol w:w="1517"/>
        <w:gridCol w:w="1339"/>
        <w:gridCol w:w="1342"/>
        <w:gridCol w:w="1342"/>
        <w:gridCol w:w="1342"/>
        <w:gridCol w:w="1346"/>
        <w:gridCol w:w="1342"/>
      </w:tblGrid>
      <w:tr>
        <w:tblPrEx>
          <w:tblCellMar>
            <w:top w:w="0" w:type="dxa"/>
            <w:left w:w="108" w:type="dxa"/>
            <w:bottom w:w="0" w:type="dxa"/>
            <w:right w:w="108" w:type="dxa"/>
          </w:tblCellMar>
        </w:tblPrEx>
        <w:trPr>
          <w:trHeight w:val="270" w:hRule="atLeast"/>
        </w:trPr>
        <w:tc>
          <w:tcPr>
            <w:tcW w:w="793"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老化时间/d</w:t>
            </w:r>
          </w:p>
        </w:tc>
        <w:tc>
          <w:tcPr>
            <w:tcW w:w="3506" w:type="pct"/>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拉伸强度/样品编号</w:t>
            </w:r>
          </w:p>
        </w:tc>
        <w:tc>
          <w:tcPr>
            <w:tcW w:w="701" w:type="pct"/>
            <w:vMerge w:val="restar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中位数　</w:t>
            </w:r>
          </w:p>
        </w:tc>
      </w:tr>
      <w:tr>
        <w:tblPrEx>
          <w:tblCellMar>
            <w:top w:w="0" w:type="dxa"/>
            <w:left w:w="108" w:type="dxa"/>
            <w:bottom w:w="0" w:type="dxa"/>
            <w:right w:w="108" w:type="dxa"/>
          </w:tblCellMar>
        </w:tblPrEx>
        <w:trPr>
          <w:trHeight w:val="27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7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0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0" w:type="auto"/>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70" w:hRule="atLeast"/>
        </w:trPr>
        <w:tc>
          <w:tcPr>
            <w:tcW w:w="79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7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13.0</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11.1</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11.6</w:t>
            </w:r>
          </w:p>
        </w:tc>
        <w:tc>
          <w:tcPr>
            <w:tcW w:w="70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13.4</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11.6</w:t>
            </w:r>
          </w:p>
        </w:tc>
      </w:tr>
      <w:tr>
        <w:tblPrEx>
          <w:tblCellMar>
            <w:top w:w="0" w:type="dxa"/>
            <w:left w:w="108" w:type="dxa"/>
            <w:bottom w:w="0" w:type="dxa"/>
            <w:right w:w="108" w:type="dxa"/>
          </w:tblCellMar>
        </w:tblPrEx>
        <w:trPr>
          <w:trHeight w:val="270" w:hRule="atLeast"/>
        </w:trPr>
        <w:tc>
          <w:tcPr>
            <w:tcW w:w="79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7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18.1</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17.3</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16.6</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16.8</w:t>
            </w:r>
          </w:p>
        </w:tc>
        <w:tc>
          <w:tcPr>
            <w:tcW w:w="70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18.7</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17.3</w:t>
            </w:r>
          </w:p>
        </w:tc>
      </w:tr>
      <w:tr>
        <w:tblPrEx>
          <w:tblCellMar>
            <w:top w:w="0" w:type="dxa"/>
            <w:left w:w="108" w:type="dxa"/>
            <w:bottom w:w="0" w:type="dxa"/>
            <w:right w:w="108" w:type="dxa"/>
          </w:tblCellMar>
        </w:tblPrEx>
        <w:trPr>
          <w:trHeight w:val="270" w:hRule="atLeast"/>
        </w:trPr>
        <w:tc>
          <w:tcPr>
            <w:tcW w:w="79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7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17.3</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17.6</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17.5</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18.9</w:t>
            </w:r>
          </w:p>
        </w:tc>
        <w:tc>
          <w:tcPr>
            <w:tcW w:w="70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16.7</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17.5</w:t>
            </w:r>
          </w:p>
        </w:tc>
      </w:tr>
      <w:tr>
        <w:tblPrEx>
          <w:tblCellMar>
            <w:top w:w="0" w:type="dxa"/>
            <w:left w:w="108" w:type="dxa"/>
            <w:bottom w:w="0" w:type="dxa"/>
            <w:right w:w="108" w:type="dxa"/>
          </w:tblCellMar>
        </w:tblPrEx>
        <w:trPr>
          <w:trHeight w:val="270" w:hRule="atLeast"/>
        </w:trPr>
        <w:tc>
          <w:tcPr>
            <w:tcW w:w="79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7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13.3</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13.7</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12.3</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14.3</w:t>
            </w:r>
          </w:p>
        </w:tc>
        <w:tc>
          <w:tcPr>
            <w:tcW w:w="70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13.7</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13.7</w:t>
            </w:r>
          </w:p>
        </w:tc>
      </w:tr>
      <w:tr>
        <w:tblPrEx>
          <w:tblCellMar>
            <w:top w:w="0" w:type="dxa"/>
            <w:left w:w="108" w:type="dxa"/>
            <w:bottom w:w="0" w:type="dxa"/>
            <w:right w:w="108" w:type="dxa"/>
          </w:tblCellMar>
        </w:tblPrEx>
        <w:trPr>
          <w:trHeight w:val="270" w:hRule="atLeast"/>
        </w:trPr>
        <w:tc>
          <w:tcPr>
            <w:tcW w:w="79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7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4.24</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4.09</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3.83</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3.87</w:t>
            </w:r>
          </w:p>
        </w:tc>
        <w:tc>
          <w:tcPr>
            <w:tcW w:w="70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3.86</w:t>
            </w:r>
          </w:p>
        </w:tc>
        <w:tc>
          <w:tcPr>
            <w:tcW w:w="70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3.87</w:t>
            </w:r>
          </w:p>
        </w:tc>
      </w:tr>
    </w:tbl>
    <w:p>
      <w:pPr>
        <w:pStyle w:val="113"/>
      </w:pPr>
      <w:r>
        <w:rPr>
          <w:rFonts w:hint="eastAsia"/>
        </w:rPr>
        <w:t>很明显，一开始强度增加，这可能是交联密度增加的结果。随后由于降解占主导而强度迅速下降。</w:t>
      </w:r>
    </w:p>
    <w:p>
      <w:pPr>
        <w:pStyle w:val="23"/>
      </w:pPr>
      <w:r>
        <w:rPr>
          <w:rFonts w:hint="eastAsia"/>
        </w:rPr>
        <w:t>拟合这些数据的最简单的函数是二次方程。继续计算附录H给出的各因子，得到由下述方程（60）定义形式的回归线:</w:t>
      </w:r>
    </w:p>
    <w:p>
      <w:pPr>
        <w:pStyle w:val="23"/>
        <w:rPr>
          <w:rFonts w:ascii="Times New Roman"/>
        </w:rPr>
      </w:pPr>
      <w:r>
        <w:rPr>
          <w:rFonts w:ascii="Times New Roman"/>
        </w:rPr>
        <w:t>TS = 11.6 + 1.16</w:t>
      </w:r>
      <w:r>
        <w:rPr>
          <w:rFonts w:ascii="Times New Roman"/>
          <w:i/>
          <w:iCs/>
        </w:rPr>
        <w:t xml:space="preserve">t </w:t>
      </w:r>
      <w:r>
        <w:rPr>
          <w:rFonts w:ascii="Times New Roman"/>
        </w:rPr>
        <w:t>− 0.0511</w:t>
      </w:r>
      <w:r>
        <w:rPr>
          <w:rFonts w:ascii="Times New Roman"/>
          <w:i/>
          <w:iCs/>
        </w:rPr>
        <w:t>t</w:t>
      </w:r>
      <w:r>
        <w:rPr>
          <w:rFonts w:ascii="Times New Roman"/>
          <w:vertAlign w:val="superscript"/>
        </w:rPr>
        <w:t>2</w:t>
      </w:r>
      <w:r>
        <w:rPr>
          <w:rFonts w:ascii="Times New Roman"/>
        </w:rPr>
        <w:t xml:space="preserve">        </w:t>
      </w:r>
      <w:r>
        <w:rPr>
          <w:rFonts w:hint="eastAsia" w:ascii="Times New Roman"/>
        </w:rPr>
        <w:t xml:space="preserve">                </w:t>
      </w:r>
      <w:r>
        <w:rPr>
          <w:rFonts w:ascii="Times New Roman"/>
        </w:rPr>
        <w:t xml:space="preserve">                               （60）</w:t>
      </w:r>
    </w:p>
    <w:p>
      <w:pPr>
        <w:tabs>
          <w:tab w:val="left" w:pos="284"/>
          <w:tab w:val="left" w:pos="567"/>
          <w:tab w:val="left" w:pos="993"/>
        </w:tabs>
        <w:jc w:val="left"/>
        <w:rPr>
          <w:kern w:val="0"/>
          <w:szCs w:val="21"/>
        </w:rPr>
      </w:pPr>
      <w:r>
        <w:rPr>
          <w:rFonts w:hint="eastAsia"/>
          <w:kern w:val="0"/>
          <w:szCs w:val="21"/>
        </w:rPr>
        <w:t>式中，</w:t>
      </w:r>
    </w:p>
    <w:p>
      <w:pPr>
        <w:tabs>
          <w:tab w:val="left" w:pos="284"/>
          <w:tab w:val="left" w:pos="567"/>
          <w:tab w:val="left" w:pos="993"/>
        </w:tabs>
        <w:ind w:firstLine="420" w:firstLineChars="200"/>
        <w:jc w:val="left"/>
        <w:rPr>
          <w:kern w:val="0"/>
          <w:szCs w:val="21"/>
        </w:rPr>
      </w:pPr>
      <w:r>
        <w:rPr>
          <w:kern w:val="0"/>
          <w:szCs w:val="21"/>
        </w:rPr>
        <w:t xml:space="preserve">TS </w:t>
      </w:r>
      <w:r>
        <w:rPr>
          <w:rFonts w:hint="eastAsia"/>
          <w:kern w:val="0"/>
          <w:szCs w:val="21"/>
        </w:rPr>
        <w:t>是拉伸强度，单位为兆帕；</w:t>
      </w:r>
    </w:p>
    <w:p>
      <w:pPr>
        <w:tabs>
          <w:tab w:val="left" w:pos="284"/>
          <w:tab w:val="left" w:pos="567"/>
          <w:tab w:val="left" w:pos="993"/>
        </w:tabs>
        <w:ind w:firstLine="420" w:firstLineChars="200"/>
        <w:jc w:val="left"/>
        <w:rPr>
          <w:kern w:val="0"/>
          <w:szCs w:val="21"/>
        </w:rPr>
      </w:pPr>
      <w:r>
        <w:rPr>
          <w:i/>
          <w:kern w:val="0"/>
          <w:szCs w:val="21"/>
        </w:rPr>
        <w:t>t</w:t>
      </w:r>
      <w:r>
        <w:rPr>
          <w:kern w:val="0"/>
          <w:szCs w:val="21"/>
        </w:rPr>
        <w:t xml:space="preserve"> </w:t>
      </w:r>
      <w:r>
        <w:rPr>
          <w:rFonts w:hint="eastAsia"/>
          <w:kern w:val="0"/>
          <w:szCs w:val="21"/>
        </w:rPr>
        <w:t>是时间，单位为天。</w:t>
      </w:r>
    </w:p>
    <w:p>
      <w:pPr>
        <w:pStyle w:val="113"/>
        <w:rPr>
          <w:rFonts w:ascii="Times New Roman"/>
        </w:rPr>
      </w:pPr>
      <w:r>
        <w:rPr>
          <w:rFonts w:ascii="Times New Roman"/>
        </w:rPr>
        <w:t>方差比为602，这高于</w:t>
      </w:r>
      <w:commentRangeStart w:id="6"/>
      <w:r>
        <w:rPr>
          <w:rFonts w:ascii="Times New Roman"/>
          <w:color w:val="FF0000"/>
        </w:rPr>
        <w:t>自由度2×2</w:t>
      </w:r>
      <w:commentRangeEnd w:id="6"/>
      <w:r>
        <w:rPr>
          <w:rStyle w:val="39"/>
          <w:rFonts w:ascii="Times New Roman"/>
          <w:kern w:val="2"/>
        </w:rPr>
        <w:commentReference w:id="6"/>
      </w:r>
      <w:r>
        <w:rPr>
          <w:rFonts w:ascii="Times New Roman"/>
        </w:rPr>
        <w:t>的95%置信水平。注意，这种回归不能用于外推至更长的老化时间。例如，在这种情况下，在35d的下一个一周间隔，回归预测的拉伸强度为- 10 MPa。</w:t>
      </w:r>
    </w:p>
    <w:p>
      <w:pPr>
        <w:pStyle w:val="23"/>
        <w:rPr>
          <w:rFonts w:ascii="Times New Roman"/>
        </w:rPr>
      </w:pPr>
      <w:r>
        <w:rPr>
          <w:rFonts w:ascii="Times New Roman"/>
        </w:rPr>
        <w:t>然而，它能够用于估算拉伸强度下降至其初始值50%所需要的时间。因此，对于5.8MPa的拉伸强度，能解二次方程而给出</w:t>
      </w:r>
      <w:r>
        <w:rPr>
          <w:rFonts w:ascii="Times New Roman"/>
          <w:i/>
        </w:rPr>
        <w:t>t</w:t>
      </w:r>
      <w:r>
        <w:rPr>
          <w:rFonts w:ascii="Times New Roman"/>
        </w:rPr>
        <w:t>值：</w:t>
      </w:r>
    </w:p>
    <w:p>
      <w:pPr>
        <w:tabs>
          <w:tab w:val="left" w:pos="284"/>
          <w:tab w:val="left" w:pos="567"/>
          <w:tab w:val="left" w:pos="993"/>
        </w:tabs>
        <w:ind w:left="420" w:leftChars="200"/>
        <w:rPr>
          <w:rFonts w:ascii="宋体" w:hAnsi="宋体"/>
        </w:rPr>
      </w:pPr>
      <m:oMath>
        <m:r>
          <m:rPr/>
          <w:rPr>
            <w:rFonts w:ascii="Cambria Math" w:hAnsi="Cambria Math"/>
          </w:rPr>
          <m:t>t</m:t>
        </m:r>
        <m:r>
          <m:rPr>
            <m:sty m:val="p"/>
          </m:rPr>
          <w:rPr>
            <w:rFonts w:ascii="Cambria Math" w:hAnsi="Cambria Math"/>
          </w:rPr>
          <m:t xml:space="preserve">= </m:t>
        </m:r>
        <m:f>
          <m:fPr>
            <m:ctrlPr>
              <w:rPr>
                <w:rFonts w:ascii="Cambria Math" w:hAnsi="Cambria Math"/>
                <w:szCs w:val="22"/>
              </w:rPr>
            </m:ctrlPr>
          </m:fPr>
          <m:num>
            <m:r>
              <m:rPr/>
              <w:rPr>
                <w:rFonts w:ascii="Cambria Math" w:hAnsi="Cambria Math"/>
              </w:rPr>
              <m:t>−1.16−</m:t>
            </m:r>
            <m:rad>
              <m:radPr>
                <m:degHide m:val="1"/>
                <m:ctrlPr>
                  <w:rPr>
                    <w:rFonts w:ascii="Cambria Math" w:hAnsi="Cambria Math"/>
                    <w:i/>
                    <w:szCs w:val="22"/>
                  </w:rPr>
                </m:ctrlPr>
              </m:radPr>
              <m:deg>
                <m:ctrlPr>
                  <w:rPr>
                    <w:rFonts w:ascii="Cambria Math" w:hAnsi="Cambria Math"/>
                    <w:i/>
                    <w:szCs w:val="22"/>
                  </w:rPr>
                </m:ctrlPr>
              </m:deg>
              <m:e>
                <m:sSup>
                  <m:sSupPr>
                    <m:ctrlPr>
                      <w:rPr>
                        <w:rFonts w:ascii="Cambria Math" w:hAnsi="Cambria Math"/>
                        <w:i/>
                        <w:szCs w:val="22"/>
                      </w:rPr>
                    </m:ctrlPr>
                  </m:sSupPr>
                  <m:e>
                    <m:r>
                      <m:rPr/>
                      <w:rPr>
                        <w:rFonts w:ascii="Cambria Math" w:hAnsi="Cambria Math"/>
                      </w:rPr>
                      <m:t>1.16</m:t>
                    </m:r>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−4</m:t>
                </m:r>
                <m:d>
                  <m:dPr>
                    <m:begChr m:val="["/>
                    <m:endChr m:val="]"/>
                    <m:ctrlPr>
                      <w:rPr>
                        <w:rFonts w:ascii="Cambria Math" w:hAnsi="Cambria Math"/>
                        <w:i/>
                        <w:szCs w:val="22"/>
                      </w:rPr>
                    </m:ctrlPr>
                  </m:dPr>
                  <m:e>
                    <m:r>
                      <m:rPr/>
                      <w:rPr>
                        <w:rFonts w:ascii="Cambria Math" w:hAnsi="Cambria Math"/>
                      </w:rPr>
                      <m:t>−0.0511×</m:t>
                    </m:r>
                    <m:d>
                      <m:dPr>
                        <m:ctrlPr>
                          <w:rPr>
                            <w:rFonts w:ascii="Cambria Math" w:hAnsi="Cambria Math"/>
                            <w:i/>
                            <w:szCs w:val="22"/>
                          </w:rPr>
                        </m:ctrlPr>
                      </m:dPr>
                      <m:e>
                        <m:r>
                          <m:rPr/>
                          <w:rPr>
                            <w:rFonts w:ascii="Cambria Math" w:hAnsi="Cambria Math"/>
                          </w:rPr>
                          <m:t>11.6−5.8</m:t>
                        </m:r>
                        <m:ctrlPr>
                          <w:rPr>
                            <w:rFonts w:ascii="Cambria Math" w:hAnsi="Cambria Math"/>
                            <w:i/>
                            <w:szCs w:val="22"/>
                          </w:rPr>
                        </m:ctrlPr>
                      </m:e>
                    </m:d>
                    <m:ctrlPr>
                      <w:rPr>
                        <w:rFonts w:ascii="Cambria Math" w:hAnsi="Cambria Math"/>
                        <w:i/>
                        <w:szCs w:val="22"/>
                      </w:rPr>
                    </m:ctrlPr>
                  </m:e>
                </m:d>
                <m:ctrlPr>
                  <w:rPr>
                    <w:rFonts w:ascii="Cambria Math" w:hAnsi="Cambria Math"/>
                    <w:i/>
                    <w:szCs w:val="22"/>
                  </w:rPr>
                </m:ctrlPr>
              </m:e>
            </m:rad>
            <m:ctrlPr>
              <w:rPr>
                <w:rFonts w:ascii="Cambria Math" w:hAnsi="Cambria Math"/>
                <w:szCs w:val="22"/>
              </w:rPr>
            </m:ctrlPr>
          </m:num>
          <m:den>
            <m:r>
              <m:rPr/>
              <w:rPr>
                <w:rFonts w:ascii="Cambria Math" w:hAnsi="Cambria Math"/>
              </w:rPr>
              <m:t>2×−0.0511</m:t>
            </m:r>
            <m:ctrlPr>
              <w:rPr>
                <w:rFonts w:ascii="Cambria Math" w:hAnsi="Cambria Math"/>
                <w:szCs w:val="22"/>
              </w:rPr>
            </m:ctrlPr>
          </m:den>
        </m:f>
      </m:oMath>
      <w:r>
        <w:rPr>
          <w:rFonts w:hint="eastAsia" w:ascii="宋体" w:hAnsi="宋体"/>
        </w:rPr>
        <w:t xml:space="preserve"> </w:t>
      </w:r>
    </w:p>
    <w:p>
      <w:pPr>
        <w:tabs>
          <w:tab w:val="left" w:pos="284"/>
          <w:tab w:val="left" w:pos="567"/>
          <w:tab w:val="left" w:pos="993"/>
        </w:tabs>
        <w:rPr>
          <w:rFonts w:ascii="宋体" w:hAnsi="宋体"/>
        </w:rPr>
      </w:pPr>
      <w:r>
        <w:rPr>
          <w:rFonts w:hint="eastAsia" w:ascii="宋体" w:hAnsi="宋体"/>
        </w:rPr>
        <w:t>时间不可能为负，则另外一个根不允许，所以：</w:t>
      </w:r>
    </w:p>
    <w:p>
      <w:pPr>
        <w:tabs>
          <w:tab w:val="left" w:pos="284"/>
          <w:tab w:val="left" w:pos="567"/>
          <w:tab w:val="left" w:pos="993"/>
        </w:tabs>
        <w:ind w:left="420" w:leftChars="200"/>
      </w:pPr>
      <w:r>
        <w:rPr>
          <w:i/>
        </w:rPr>
        <w:t>t</w:t>
      </w:r>
      <w:r>
        <w:t xml:space="preserve"> = 26.9 d</w:t>
      </w:r>
      <w:r>
        <w:rPr>
          <w:rFonts w:hint="eastAsia"/>
        </w:rPr>
        <w:t>。</w:t>
      </w:r>
    </w:p>
    <w:p>
      <w:pPr>
        <w:pStyle w:val="23"/>
      </w:pPr>
    </w:p>
    <w:p>
      <w:pPr>
        <w:pStyle w:val="46"/>
        <w:spacing w:before="156" w:after="156"/>
      </w:pPr>
      <w:r>
        <w:rPr>
          <w:rFonts w:hint="eastAsia"/>
        </w:rPr>
        <w:t>回缩试验的温度</w:t>
      </w:r>
    </w:p>
    <w:p>
      <w:pPr>
        <w:pStyle w:val="113"/>
        <w:rPr>
          <w:rFonts w:ascii="Times New Roman"/>
        </w:rPr>
      </w:pPr>
      <w:r>
        <w:rPr>
          <w:rFonts w:ascii="Times New Roman" w:hAnsi="宋体"/>
        </w:rPr>
        <w:t>在根据</w:t>
      </w:r>
      <w:r>
        <w:rPr>
          <w:rFonts w:ascii="Times New Roman"/>
        </w:rPr>
        <w:t>ISO 2921</w:t>
      </w:r>
      <w:r>
        <w:rPr>
          <w:rFonts w:ascii="Times New Roman" w:hAnsi="宋体"/>
        </w:rPr>
        <w:t>进行的回缩温度试验中，用三个试样，</w:t>
      </w:r>
      <w:r>
        <w:rPr>
          <w:rFonts w:hint="eastAsia" w:ascii="Times New Roman" w:hAnsi="宋体"/>
        </w:rPr>
        <w:t>使</w:t>
      </w:r>
      <w:r>
        <w:rPr>
          <w:rFonts w:ascii="Times New Roman" w:hAnsi="宋体"/>
        </w:rPr>
        <w:t>热交换槽中温度从</w:t>
      </w:r>
      <w:r>
        <w:rPr>
          <w:rFonts w:ascii="Times New Roman"/>
        </w:rPr>
        <w:t>- 70℃上升</w:t>
      </w:r>
      <w:r>
        <w:rPr>
          <w:rFonts w:ascii="Times New Roman" w:hAnsi="宋体"/>
        </w:rPr>
        <w:t>到</w:t>
      </w:r>
      <w:r>
        <w:rPr>
          <w:rFonts w:hint="eastAsia" w:ascii="Times New Roman" w:hAnsi="宋体"/>
        </w:rPr>
        <w:t>室温。</w:t>
      </w:r>
      <w:r>
        <w:rPr>
          <w:rFonts w:ascii="Times New Roman" w:hAnsi="宋体"/>
        </w:rPr>
        <w:t>这期间，每隔</w:t>
      </w:r>
      <w:r>
        <w:rPr>
          <w:rFonts w:ascii="Times New Roman"/>
        </w:rPr>
        <w:t>2min</w:t>
      </w:r>
      <w:r>
        <w:rPr>
          <w:rFonts w:ascii="Times New Roman" w:hAnsi="宋体"/>
        </w:rPr>
        <w:t>测量一次这三个试样的回缩百分比。试验的目的是估计恢复</w:t>
      </w:r>
      <w:r>
        <w:rPr>
          <w:rFonts w:ascii="Times New Roman"/>
        </w:rPr>
        <w:t>10% (TR10)</w:t>
      </w:r>
      <w:r>
        <w:rPr>
          <w:rFonts w:ascii="Times New Roman" w:hAnsi="宋体"/>
        </w:rPr>
        <w:t>、</w:t>
      </w:r>
      <w:r>
        <w:rPr>
          <w:rFonts w:ascii="Times New Roman"/>
        </w:rPr>
        <w:t>50% (TR50)</w:t>
      </w:r>
      <w:r>
        <w:rPr>
          <w:rFonts w:ascii="Times New Roman" w:hAnsi="宋体"/>
        </w:rPr>
        <w:t>和</w:t>
      </w:r>
      <w:r>
        <w:rPr>
          <w:rFonts w:ascii="Times New Roman"/>
        </w:rPr>
        <w:t>70% (TR70)</w:t>
      </w:r>
      <w:r>
        <w:rPr>
          <w:rFonts w:ascii="Times New Roman" w:hAnsi="宋体"/>
        </w:rPr>
        <w:t>时的温度。</w:t>
      </w:r>
      <w:r>
        <w:rPr>
          <w:rFonts w:hint="eastAsia" w:ascii="Times New Roman"/>
          <w:color w:val="000000"/>
        </w:rPr>
        <w:t>测得了每组三个试样的总计4</w:t>
      </w:r>
      <w:r>
        <w:rPr>
          <w:rFonts w:ascii="Times New Roman"/>
          <w:color w:val="000000"/>
        </w:rPr>
        <w:t>8</w:t>
      </w:r>
      <w:r>
        <w:rPr>
          <w:rFonts w:hint="eastAsia" w:ascii="Times New Roman"/>
          <w:color w:val="000000"/>
        </w:rPr>
        <w:t>个数据</w:t>
      </w:r>
      <w:r>
        <w:rPr>
          <w:rFonts w:ascii="Times New Roman" w:hAnsi="宋体"/>
        </w:rPr>
        <w:t>，表</w:t>
      </w:r>
      <w:r>
        <w:rPr>
          <w:rFonts w:ascii="Times New Roman"/>
        </w:rPr>
        <w:t>36</w:t>
      </w:r>
      <w:r>
        <w:rPr>
          <w:rFonts w:ascii="Times New Roman" w:hAnsi="宋体"/>
        </w:rPr>
        <w:t>中仅给出了平均值的简表。</w:t>
      </w:r>
    </w:p>
    <w:p>
      <w:pPr>
        <w:pStyle w:val="127"/>
        <w:ind w:left="0"/>
      </w:pPr>
      <w:r>
        <w:rPr>
          <w:rFonts w:hint="eastAsia"/>
        </w:rPr>
        <w:t>回缩温度的测量</w:t>
      </w:r>
    </w:p>
    <w:tbl>
      <w:tblPr>
        <w:tblStyle w:val="33"/>
        <w:tblW w:w="5000" w:type="pct"/>
        <w:tblInd w:w="0" w:type="dxa"/>
        <w:tblLayout w:type="autofit"/>
        <w:tblCellMar>
          <w:top w:w="0" w:type="dxa"/>
          <w:left w:w="108" w:type="dxa"/>
          <w:bottom w:w="0" w:type="dxa"/>
          <w:right w:w="108" w:type="dxa"/>
        </w:tblCellMar>
      </w:tblPr>
      <w:tblGrid>
        <w:gridCol w:w="1303"/>
        <w:gridCol w:w="1307"/>
        <w:gridCol w:w="819"/>
        <w:gridCol w:w="1474"/>
        <w:gridCol w:w="1307"/>
        <w:gridCol w:w="817"/>
        <w:gridCol w:w="1348"/>
        <w:gridCol w:w="1195"/>
      </w:tblGrid>
      <w:tr>
        <w:tblPrEx>
          <w:tblCellMar>
            <w:top w:w="0" w:type="dxa"/>
            <w:left w:w="108" w:type="dxa"/>
            <w:bottom w:w="0" w:type="dxa"/>
            <w:right w:w="108" w:type="dxa"/>
          </w:tblCellMar>
        </w:tblPrEx>
        <w:trPr>
          <w:trHeight w:val="270" w:hRule="atLeast"/>
        </w:trPr>
        <w:tc>
          <w:tcPr>
            <w:tcW w:w="681"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rFonts w:hint="eastAsia"/>
                <w:color w:val="000000"/>
                <w:kern w:val="0"/>
                <w:sz w:val="18"/>
                <w:szCs w:val="18"/>
              </w:rPr>
              <w:t>温度</w:t>
            </w:r>
          </w:p>
        </w:tc>
        <w:tc>
          <w:tcPr>
            <w:tcW w:w="683" w:type="pct"/>
            <w:tcBorders>
              <w:top w:val="single" w:color="auto" w:sz="4" w:space="0"/>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rFonts w:hint="eastAsia"/>
                <w:color w:val="000000"/>
                <w:kern w:val="0"/>
                <w:sz w:val="18"/>
                <w:szCs w:val="18"/>
              </w:rPr>
              <w:t>回缩</w:t>
            </w:r>
          </w:p>
        </w:tc>
        <w:tc>
          <w:tcPr>
            <w:tcW w:w="428" w:type="pct"/>
            <w:noWrap/>
            <w:vAlign w:val="center"/>
          </w:tcPr>
          <w:p>
            <w:pPr>
              <w:widowControl/>
              <w:jc w:val="left"/>
              <w:rPr>
                <w:rFonts w:ascii="Calibri" w:hAnsi="Calibri"/>
                <w:sz w:val="18"/>
                <w:szCs w:val="18"/>
              </w:rPr>
            </w:pPr>
          </w:p>
        </w:tc>
        <w:tc>
          <w:tcPr>
            <w:tcW w:w="770"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rFonts w:hint="eastAsia"/>
                <w:color w:val="000000"/>
                <w:kern w:val="0"/>
                <w:sz w:val="18"/>
                <w:szCs w:val="18"/>
              </w:rPr>
              <w:t>温度</w:t>
            </w:r>
          </w:p>
        </w:tc>
        <w:tc>
          <w:tcPr>
            <w:tcW w:w="683" w:type="pct"/>
            <w:tcBorders>
              <w:top w:val="single" w:color="auto" w:sz="4" w:space="0"/>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rFonts w:hint="eastAsia"/>
                <w:color w:val="000000"/>
                <w:kern w:val="0"/>
                <w:sz w:val="18"/>
                <w:szCs w:val="18"/>
              </w:rPr>
              <w:t>回缩</w:t>
            </w:r>
          </w:p>
        </w:tc>
        <w:tc>
          <w:tcPr>
            <w:tcW w:w="427" w:type="pct"/>
            <w:noWrap/>
            <w:vAlign w:val="center"/>
          </w:tcPr>
          <w:p>
            <w:pPr>
              <w:widowControl/>
              <w:jc w:val="left"/>
              <w:rPr>
                <w:rFonts w:ascii="Calibri" w:hAnsi="Calibri"/>
                <w:sz w:val="18"/>
                <w:szCs w:val="18"/>
              </w:rPr>
            </w:pPr>
          </w:p>
        </w:tc>
        <w:tc>
          <w:tcPr>
            <w:tcW w:w="704" w:type="pct"/>
            <w:tcBorders>
              <w:top w:val="single" w:color="auto" w:sz="4" w:space="0"/>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rFonts w:hint="eastAsia"/>
                <w:color w:val="000000"/>
                <w:kern w:val="0"/>
                <w:sz w:val="18"/>
                <w:szCs w:val="18"/>
              </w:rPr>
              <w:t>温度</w:t>
            </w:r>
          </w:p>
        </w:tc>
        <w:tc>
          <w:tcPr>
            <w:tcW w:w="625" w:type="pct"/>
            <w:tcBorders>
              <w:top w:val="single" w:color="auto" w:sz="4" w:space="0"/>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rFonts w:hint="eastAsia"/>
                <w:color w:val="000000"/>
                <w:kern w:val="0"/>
                <w:sz w:val="18"/>
                <w:szCs w:val="18"/>
              </w:rPr>
              <w:t>回缩</w:t>
            </w:r>
          </w:p>
        </w:tc>
      </w:tr>
      <w:tr>
        <w:tblPrEx>
          <w:tblCellMar>
            <w:top w:w="0" w:type="dxa"/>
            <w:left w:w="108" w:type="dxa"/>
            <w:bottom w:w="0" w:type="dxa"/>
            <w:right w:w="108" w:type="dxa"/>
          </w:tblCellMar>
        </w:tblPrEx>
        <w:trPr>
          <w:trHeight w:val="270" w:hRule="atLeast"/>
        </w:trPr>
        <w:tc>
          <w:tcPr>
            <w:tcW w:w="681"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 xml:space="preserve">% </w:t>
            </w:r>
          </w:p>
        </w:tc>
        <w:tc>
          <w:tcPr>
            <w:tcW w:w="428" w:type="pct"/>
            <w:noWrap/>
            <w:vAlign w:val="center"/>
          </w:tcPr>
          <w:p>
            <w:pPr>
              <w:widowControl/>
              <w:jc w:val="left"/>
              <w:rPr>
                <w:rFonts w:ascii="Calibri" w:hAnsi="Calibri"/>
                <w:sz w:val="18"/>
                <w:szCs w:val="18"/>
              </w:rPr>
            </w:pPr>
          </w:p>
        </w:tc>
        <w:tc>
          <w:tcPr>
            <w:tcW w:w="770"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 xml:space="preserve">% </w:t>
            </w:r>
          </w:p>
        </w:tc>
        <w:tc>
          <w:tcPr>
            <w:tcW w:w="427" w:type="pct"/>
            <w:noWrap/>
            <w:vAlign w:val="center"/>
          </w:tcPr>
          <w:p>
            <w:pPr>
              <w:widowControl/>
              <w:jc w:val="left"/>
              <w:rPr>
                <w:rFonts w:ascii="Calibri" w:hAnsi="Calibri"/>
                <w:sz w:val="18"/>
                <w:szCs w:val="18"/>
              </w:rPr>
            </w:pPr>
          </w:p>
        </w:tc>
        <w:tc>
          <w:tcPr>
            <w:tcW w:w="704"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w:t>
            </w:r>
          </w:p>
        </w:tc>
        <w:tc>
          <w:tcPr>
            <w:tcW w:w="625"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681"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-68.3</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0.0</w:t>
            </w:r>
          </w:p>
        </w:tc>
        <w:tc>
          <w:tcPr>
            <w:tcW w:w="428" w:type="pct"/>
            <w:noWrap/>
            <w:vAlign w:val="center"/>
          </w:tcPr>
          <w:p>
            <w:pPr>
              <w:widowControl/>
              <w:jc w:val="left"/>
              <w:rPr>
                <w:rFonts w:ascii="Calibri" w:hAnsi="Calibri"/>
                <w:sz w:val="18"/>
                <w:szCs w:val="18"/>
              </w:rPr>
            </w:pPr>
          </w:p>
        </w:tc>
        <w:tc>
          <w:tcPr>
            <w:tcW w:w="770"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-32.9</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17.0</w:t>
            </w:r>
          </w:p>
        </w:tc>
        <w:tc>
          <w:tcPr>
            <w:tcW w:w="427" w:type="pct"/>
            <w:noWrap/>
            <w:vAlign w:val="center"/>
          </w:tcPr>
          <w:p>
            <w:pPr>
              <w:widowControl/>
              <w:jc w:val="left"/>
              <w:rPr>
                <w:rFonts w:ascii="Calibri" w:hAnsi="Calibri"/>
                <w:sz w:val="18"/>
                <w:szCs w:val="18"/>
              </w:rPr>
            </w:pPr>
          </w:p>
        </w:tc>
        <w:tc>
          <w:tcPr>
            <w:tcW w:w="704"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3.8</w:t>
            </w:r>
          </w:p>
        </w:tc>
        <w:tc>
          <w:tcPr>
            <w:tcW w:w="625"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66.0</w:t>
            </w:r>
          </w:p>
        </w:tc>
      </w:tr>
      <w:tr>
        <w:tblPrEx>
          <w:tblCellMar>
            <w:top w:w="0" w:type="dxa"/>
            <w:left w:w="108" w:type="dxa"/>
            <w:bottom w:w="0" w:type="dxa"/>
            <w:right w:w="108" w:type="dxa"/>
          </w:tblCellMar>
        </w:tblPrEx>
        <w:trPr>
          <w:trHeight w:val="270" w:hRule="atLeast"/>
        </w:trPr>
        <w:tc>
          <w:tcPr>
            <w:tcW w:w="681"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-62.2</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0.0</w:t>
            </w:r>
          </w:p>
        </w:tc>
        <w:tc>
          <w:tcPr>
            <w:tcW w:w="428" w:type="pct"/>
            <w:noWrap/>
            <w:vAlign w:val="center"/>
          </w:tcPr>
          <w:p>
            <w:pPr>
              <w:widowControl/>
              <w:jc w:val="left"/>
              <w:rPr>
                <w:rFonts w:ascii="Calibri" w:hAnsi="Calibri"/>
                <w:sz w:val="18"/>
                <w:szCs w:val="18"/>
              </w:rPr>
            </w:pPr>
          </w:p>
        </w:tc>
        <w:tc>
          <w:tcPr>
            <w:tcW w:w="770"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-26.7</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23.3</w:t>
            </w:r>
          </w:p>
        </w:tc>
        <w:tc>
          <w:tcPr>
            <w:tcW w:w="427" w:type="pct"/>
            <w:noWrap/>
            <w:vAlign w:val="center"/>
          </w:tcPr>
          <w:p>
            <w:pPr>
              <w:widowControl/>
              <w:jc w:val="left"/>
              <w:rPr>
                <w:rFonts w:ascii="Calibri" w:hAnsi="Calibri"/>
                <w:sz w:val="18"/>
                <w:szCs w:val="18"/>
              </w:rPr>
            </w:pPr>
          </w:p>
        </w:tc>
        <w:tc>
          <w:tcPr>
            <w:tcW w:w="704"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9.2</w:t>
            </w:r>
          </w:p>
        </w:tc>
        <w:tc>
          <w:tcPr>
            <w:tcW w:w="625"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75.7</w:t>
            </w:r>
          </w:p>
        </w:tc>
      </w:tr>
      <w:tr>
        <w:tblPrEx>
          <w:tblCellMar>
            <w:top w:w="0" w:type="dxa"/>
            <w:left w:w="108" w:type="dxa"/>
            <w:bottom w:w="0" w:type="dxa"/>
            <w:right w:w="108" w:type="dxa"/>
          </w:tblCellMar>
        </w:tblPrEx>
        <w:trPr>
          <w:trHeight w:val="270" w:hRule="atLeast"/>
        </w:trPr>
        <w:tc>
          <w:tcPr>
            <w:tcW w:w="681"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-56.6</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0.7</w:t>
            </w:r>
          </w:p>
        </w:tc>
        <w:tc>
          <w:tcPr>
            <w:tcW w:w="428" w:type="pct"/>
            <w:noWrap/>
            <w:vAlign w:val="center"/>
          </w:tcPr>
          <w:p>
            <w:pPr>
              <w:widowControl/>
              <w:jc w:val="left"/>
              <w:rPr>
                <w:rFonts w:ascii="Calibri" w:hAnsi="Calibri"/>
                <w:sz w:val="18"/>
                <w:szCs w:val="18"/>
              </w:rPr>
            </w:pPr>
          </w:p>
        </w:tc>
        <w:tc>
          <w:tcPr>
            <w:tcW w:w="770"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-20.6</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29.0</w:t>
            </w:r>
          </w:p>
        </w:tc>
        <w:tc>
          <w:tcPr>
            <w:tcW w:w="427" w:type="pct"/>
            <w:noWrap/>
            <w:vAlign w:val="center"/>
          </w:tcPr>
          <w:p>
            <w:pPr>
              <w:widowControl/>
              <w:jc w:val="left"/>
              <w:rPr>
                <w:rFonts w:ascii="Calibri" w:hAnsi="Calibri"/>
                <w:sz w:val="18"/>
                <w:szCs w:val="18"/>
              </w:rPr>
            </w:pPr>
          </w:p>
        </w:tc>
        <w:tc>
          <w:tcPr>
            <w:tcW w:w="704"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15.3</w:t>
            </w:r>
          </w:p>
        </w:tc>
        <w:tc>
          <w:tcPr>
            <w:tcW w:w="625"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85.3</w:t>
            </w:r>
          </w:p>
        </w:tc>
      </w:tr>
      <w:tr>
        <w:tblPrEx>
          <w:tblCellMar>
            <w:top w:w="0" w:type="dxa"/>
            <w:left w:w="108" w:type="dxa"/>
            <w:bottom w:w="0" w:type="dxa"/>
            <w:right w:w="108" w:type="dxa"/>
          </w:tblCellMar>
        </w:tblPrEx>
        <w:trPr>
          <w:trHeight w:val="270" w:hRule="atLeast"/>
        </w:trPr>
        <w:tc>
          <w:tcPr>
            <w:tcW w:w="681"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-50.6</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2.7</w:t>
            </w:r>
          </w:p>
        </w:tc>
        <w:tc>
          <w:tcPr>
            <w:tcW w:w="428" w:type="pct"/>
            <w:noWrap/>
            <w:vAlign w:val="center"/>
          </w:tcPr>
          <w:p>
            <w:pPr>
              <w:widowControl/>
              <w:jc w:val="left"/>
              <w:rPr>
                <w:rFonts w:ascii="Calibri" w:hAnsi="Calibri"/>
                <w:sz w:val="18"/>
                <w:szCs w:val="18"/>
              </w:rPr>
            </w:pPr>
          </w:p>
        </w:tc>
        <w:tc>
          <w:tcPr>
            <w:tcW w:w="770"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-14.9</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36.0</w:t>
            </w:r>
          </w:p>
        </w:tc>
        <w:tc>
          <w:tcPr>
            <w:tcW w:w="427" w:type="pct"/>
            <w:noWrap/>
            <w:vAlign w:val="center"/>
          </w:tcPr>
          <w:p>
            <w:pPr>
              <w:widowControl/>
              <w:jc w:val="left"/>
              <w:rPr>
                <w:rFonts w:ascii="Calibri" w:hAnsi="Calibri"/>
                <w:sz w:val="18"/>
                <w:szCs w:val="18"/>
              </w:rPr>
            </w:pPr>
          </w:p>
        </w:tc>
        <w:tc>
          <w:tcPr>
            <w:tcW w:w="704"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22.2</w:t>
            </w:r>
          </w:p>
        </w:tc>
        <w:tc>
          <w:tcPr>
            <w:tcW w:w="625"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90.7</w:t>
            </w:r>
          </w:p>
        </w:tc>
      </w:tr>
      <w:tr>
        <w:tblPrEx>
          <w:tblCellMar>
            <w:top w:w="0" w:type="dxa"/>
            <w:left w:w="108" w:type="dxa"/>
            <w:bottom w:w="0" w:type="dxa"/>
            <w:right w:w="108" w:type="dxa"/>
          </w:tblCellMar>
        </w:tblPrEx>
        <w:trPr>
          <w:trHeight w:val="270" w:hRule="atLeast"/>
        </w:trPr>
        <w:tc>
          <w:tcPr>
            <w:tcW w:w="681"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-44.8</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7.0</w:t>
            </w:r>
          </w:p>
        </w:tc>
        <w:tc>
          <w:tcPr>
            <w:tcW w:w="428" w:type="pct"/>
            <w:noWrap/>
            <w:vAlign w:val="center"/>
          </w:tcPr>
          <w:p>
            <w:pPr>
              <w:widowControl/>
              <w:jc w:val="left"/>
              <w:rPr>
                <w:rFonts w:ascii="Calibri" w:hAnsi="Calibri"/>
                <w:sz w:val="18"/>
                <w:szCs w:val="18"/>
              </w:rPr>
            </w:pPr>
          </w:p>
        </w:tc>
        <w:tc>
          <w:tcPr>
            <w:tcW w:w="770"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-8.4</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41.3</w:t>
            </w:r>
          </w:p>
        </w:tc>
        <w:tc>
          <w:tcPr>
            <w:tcW w:w="427" w:type="pct"/>
            <w:noWrap/>
            <w:vAlign w:val="center"/>
          </w:tcPr>
          <w:p>
            <w:pPr>
              <w:widowControl/>
              <w:jc w:val="left"/>
              <w:rPr>
                <w:rFonts w:ascii="Calibri" w:hAnsi="Calibri"/>
                <w:sz w:val="18"/>
                <w:szCs w:val="18"/>
              </w:rPr>
            </w:pPr>
          </w:p>
        </w:tc>
        <w:tc>
          <w:tcPr>
            <w:tcW w:w="704" w:type="pct"/>
            <w:noWrap/>
            <w:vAlign w:val="center"/>
          </w:tcPr>
          <w:p>
            <w:pPr>
              <w:widowControl/>
              <w:spacing w:line="0" w:lineRule="atLeast"/>
              <w:jc w:val="center"/>
              <w:rPr>
                <w:color w:val="FF0000"/>
                <w:kern w:val="0"/>
                <w:sz w:val="18"/>
                <w:szCs w:val="18"/>
              </w:rPr>
            </w:pPr>
          </w:p>
        </w:tc>
        <w:tc>
          <w:tcPr>
            <w:tcW w:w="625" w:type="pct"/>
            <w:noWrap/>
            <w:vAlign w:val="center"/>
          </w:tcPr>
          <w:p>
            <w:pPr>
              <w:widowControl/>
              <w:jc w:val="left"/>
              <w:rPr>
                <w:rFonts w:ascii="Calibri" w:hAnsi="Calibri"/>
                <w:sz w:val="18"/>
                <w:szCs w:val="18"/>
              </w:rPr>
            </w:pPr>
          </w:p>
        </w:tc>
      </w:tr>
      <w:tr>
        <w:trPr>
          <w:trHeight w:val="270" w:hRule="atLeast"/>
        </w:trPr>
        <w:tc>
          <w:tcPr>
            <w:tcW w:w="681"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-38.7</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11.0</w:t>
            </w:r>
          </w:p>
        </w:tc>
        <w:tc>
          <w:tcPr>
            <w:tcW w:w="428" w:type="pct"/>
            <w:noWrap/>
            <w:vAlign w:val="center"/>
          </w:tcPr>
          <w:p>
            <w:pPr>
              <w:widowControl/>
              <w:jc w:val="left"/>
              <w:rPr>
                <w:rFonts w:ascii="Calibri" w:hAnsi="Calibri"/>
                <w:sz w:val="18"/>
                <w:szCs w:val="18"/>
              </w:rPr>
            </w:pPr>
          </w:p>
        </w:tc>
        <w:tc>
          <w:tcPr>
            <w:tcW w:w="770" w:type="pct"/>
            <w:tcBorders>
              <w:top w:val="nil"/>
              <w:left w:val="single" w:color="auto" w:sz="4" w:space="0"/>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-0.8</w:t>
            </w:r>
          </w:p>
        </w:tc>
        <w:tc>
          <w:tcPr>
            <w:tcW w:w="683" w:type="pct"/>
            <w:tcBorders>
              <w:top w:val="nil"/>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color w:val="000000"/>
                <w:kern w:val="0"/>
                <w:sz w:val="18"/>
                <w:szCs w:val="18"/>
              </w:rPr>
              <w:t>55.7</w:t>
            </w:r>
          </w:p>
        </w:tc>
        <w:tc>
          <w:tcPr>
            <w:tcW w:w="427" w:type="pct"/>
            <w:noWrap/>
            <w:vAlign w:val="center"/>
          </w:tcPr>
          <w:p>
            <w:pPr>
              <w:widowControl/>
              <w:jc w:val="left"/>
              <w:rPr>
                <w:rFonts w:ascii="Calibri" w:hAnsi="Calibri"/>
                <w:sz w:val="18"/>
                <w:szCs w:val="18"/>
              </w:rPr>
            </w:pPr>
          </w:p>
        </w:tc>
        <w:tc>
          <w:tcPr>
            <w:tcW w:w="704" w:type="pct"/>
            <w:noWrap/>
            <w:vAlign w:val="center"/>
          </w:tcPr>
          <w:p>
            <w:pPr>
              <w:widowControl/>
              <w:jc w:val="left"/>
              <w:rPr>
                <w:rFonts w:ascii="Calibri" w:hAnsi="Calibri"/>
                <w:sz w:val="18"/>
                <w:szCs w:val="18"/>
              </w:rPr>
            </w:pPr>
          </w:p>
        </w:tc>
        <w:tc>
          <w:tcPr>
            <w:tcW w:w="625" w:type="pct"/>
            <w:noWrap/>
            <w:vAlign w:val="center"/>
          </w:tcPr>
          <w:p>
            <w:pPr>
              <w:widowControl/>
              <w:jc w:val="left"/>
              <w:rPr>
                <w:rFonts w:ascii="Calibri" w:hAnsi="Calibri"/>
                <w:sz w:val="18"/>
                <w:szCs w:val="18"/>
              </w:rPr>
            </w:pPr>
          </w:p>
        </w:tc>
      </w:tr>
    </w:tbl>
    <w:p>
      <w:pPr>
        <w:pStyle w:val="113"/>
      </w:pPr>
      <w:r>
        <w:rPr>
          <w:rFonts w:hint="eastAsia"/>
        </w:rPr>
        <w:t>试验数学的考虑表明，当温度从低到高变化时，回缩会包含在0 %和100%的范围内，因此可以预期一个s形函数能产生准确的回归线。然而，由于只需要对数据进行插值，所以使用11.2.4中给出的更简单的三次回归是安全的。</w:t>
      </w:r>
    </w:p>
    <w:p>
      <w:pPr>
        <w:tabs>
          <w:tab w:val="left" w:pos="284"/>
          <w:tab w:val="left" w:pos="567"/>
          <w:tab w:val="left" w:pos="993"/>
        </w:tabs>
        <w:ind w:firstLine="420" w:firstLineChars="200"/>
        <w:rPr>
          <w:rFonts w:ascii="宋体" w:hAnsi="宋体"/>
        </w:rPr>
      </w:pPr>
      <w:r>
        <w:rPr>
          <w:rFonts w:hint="eastAsia" w:ascii="宋体" w:hAnsi="宋体"/>
        </w:rPr>
        <w:t>因此，确定附录H给出的因子就生成了式（61）回归方程：</w:t>
      </w:r>
    </w:p>
    <w:p>
      <w:pPr>
        <w:tabs>
          <w:tab w:val="left" w:pos="284"/>
          <w:tab w:val="left" w:pos="567"/>
          <w:tab w:val="left" w:pos="993"/>
        </w:tabs>
        <w:ind w:left="420" w:leftChars="200"/>
      </w:pPr>
      <m:oMath>
        <m:r>
          <m:rPr/>
          <w:rPr>
            <w:rFonts w:ascii="Cambria Math" w:hAnsi="Cambria Math"/>
            <w:color w:val="FF0000"/>
            <w:szCs w:val="21"/>
          </w:rPr>
          <m:t>R=58.2+1.53θ+0.004 991</m:t>
        </m:r>
        <m:sSup>
          <m:sSupPr>
            <m:ctrlPr>
              <w:rPr>
                <w:rFonts w:ascii="Cambria Math" w:hAnsi="Cambria Math"/>
                <w:i/>
                <w:iCs/>
                <w:color w:val="FF0000"/>
                <w:szCs w:val="21"/>
              </w:rPr>
            </m:ctrlPr>
          </m:sSupPr>
          <m:e>
            <m:r>
              <m:rPr/>
              <w:rPr>
                <w:rFonts w:ascii="Cambria Math" w:hAnsi="Cambria Math"/>
                <w:color w:val="FF0000"/>
                <w:szCs w:val="21"/>
              </w:rPr>
              <m:t>θ</m:t>
            </m:r>
            <m:ctrlPr>
              <w:rPr>
                <w:rFonts w:ascii="Cambria Math" w:hAnsi="Cambria Math"/>
                <w:i/>
                <w:iCs/>
                <w:color w:val="FF0000"/>
                <w:szCs w:val="21"/>
              </w:rPr>
            </m:ctrlPr>
          </m:e>
          <m:sup>
            <m:r>
              <m:rPr/>
              <w:rPr>
                <w:rFonts w:ascii="Cambria Math" w:hAnsi="Cambria Math"/>
                <w:color w:val="FF0000"/>
                <w:szCs w:val="21"/>
              </w:rPr>
              <m:t>2</m:t>
            </m:r>
            <m:ctrlPr>
              <w:rPr>
                <w:rFonts w:ascii="Cambria Math" w:hAnsi="Cambria Math"/>
                <w:i/>
                <w:iCs/>
                <w:color w:val="FF0000"/>
                <w:szCs w:val="21"/>
              </w:rPr>
            </m:ctrlPr>
          </m:sup>
        </m:sSup>
        <m:r>
          <m:rPr/>
          <w:rPr>
            <w:rFonts w:ascii="Cambria Math" w:hAnsi="Cambria Math"/>
            <w:color w:val="FF0000"/>
            <w:szCs w:val="21"/>
          </w:rPr>
          <m:t>−0.000 0733 4</m:t>
        </m:r>
        <m:sSup>
          <m:sSupPr>
            <m:ctrlPr>
              <w:rPr>
                <w:rFonts w:ascii="Cambria Math" w:hAnsi="Cambria Math"/>
                <w:i/>
                <w:iCs/>
                <w:color w:val="FF0000"/>
                <w:szCs w:val="21"/>
              </w:rPr>
            </m:ctrlPr>
          </m:sSupPr>
          <m:e>
            <m:r>
              <m:rPr/>
              <w:rPr>
                <w:rFonts w:ascii="Cambria Math" w:hAnsi="Cambria Math"/>
                <w:color w:val="FF0000"/>
                <w:szCs w:val="21"/>
              </w:rPr>
              <m:t>θ</m:t>
            </m:r>
            <m:ctrlPr>
              <w:rPr>
                <w:rFonts w:ascii="Cambria Math" w:hAnsi="Cambria Math"/>
                <w:i/>
                <w:iCs/>
                <w:color w:val="FF0000"/>
                <w:szCs w:val="21"/>
              </w:rPr>
            </m:ctrlPr>
          </m:e>
          <m:sup>
            <m:r>
              <m:rPr/>
              <w:rPr>
                <w:rFonts w:ascii="Cambria Math" w:hAnsi="Cambria Math"/>
                <w:color w:val="FF0000"/>
                <w:szCs w:val="21"/>
              </w:rPr>
              <m:t>3</m:t>
            </m:r>
            <m:ctrlPr>
              <w:rPr>
                <w:rFonts w:ascii="Cambria Math" w:hAnsi="Cambria Math"/>
                <w:i/>
                <w:iCs/>
                <w:color w:val="FF0000"/>
                <w:szCs w:val="21"/>
              </w:rPr>
            </m:ctrlPr>
          </m:sup>
        </m:sSup>
      </m:oMath>
      <w:r>
        <w:rPr>
          <w:rFonts w:hint="eastAsia"/>
          <w:iCs/>
          <w:color w:val="FF0000"/>
          <w:szCs w:val="21"/>
        </w:rPr>
        <w:t xml:space="preserve"> </w:t>
      </w:r>
      <w:r>
        <w:rPr>
          <w:kern w:val="0"/>
          <w:sz w:val="16"/>
          <w:szCs w:val="16"/>
        </w:rPr>
        <w:t xml:space="preserve">                                           </w:t>
      </w:r>
      <w:r>
        <w:rPr>
          <w:rFonts w:hint="eastAsia"/>
          <w:kern w:val="0"/>
          <w:sz w:val="16"/>
          <w:szCs w:val="16"/>
        </w:rPr>
        <w:t>（</w:t>
      </w:r>
      <w:r>
        <w:rPr>
          <w:kern w:val="0"/>
          <w:sz w:val="16"/>
          <w:szCs w:val="16"/>
        </w:rPr>
        <w:t>61</w:t>
      </w:r>
      <w:r>
        <w:rPr>
          <w:rFonts w:hint="eastAsia"/>
          <w:kern w:val="0"/>
          <w:sz w:val="16"/>
          <w:szCs w:val="16"/>
        </w:rPr>
        <w:t>）</w:t>
      </w:r>
    </w:p>
    <w:p>
      <w:pPr>
        <w:tabs>
          <w:tab w:val="left" w:pos="284"/>
          <w:tab w:val="left" w:pos="567"/>
          <w:tab w:val="left" w:pos="993"/>
        </w:tabs>
        <w:rPr>
          <w:rFonts w:ascii="宋体" w:hAnsi="宋体"/>
        </w:rPr>
      </w:pPr>
      <w:r>
        <w:rPr>
          <w:rFonts w:hint="eastAsia" w:ascii="宋体" w:hAnsi="宋体"/>
        </w:rPr>
        <w:t>式中，</w:t>
      </w:r>
    </w:p>
    <w:p>
      <w:pPr>
        <w:tabs>
          <w:tab w:val="left" w:pos="284"/>
          <w:tab w:val="left" w:pos="567"/>
          <w:tab w:val="left" w:pos="993"/>
        </w:tabs>
        <w:ind w:firstLine="420"/>
        <w:rPr>
          <w:rFonts w:ascii="宋体" w:hAnsi="宋体"/>
        </w:rPr>
      </w:pPr>
      <w:r>
        <w:rPr>
          <w:rFonts w:hint="eastAsia" w:ascii="宋体" w:hAnsi="宋体"/>
          <w:i/>
        </w:rPr>
        <w:t>R</w:t>
      </w:r>
      <w:r>
        <w:rPr>
          <w:rFonts w:hint="eastAsia" w:ascii="宋体" w:hAnsi="宋体"/>
        </w:rPr>
        <w:t>,回缩值，以百分数表示；</w:t>
      </w:r>
    </w:p>
    <w:p>
      <w:pPr>
        <w:tabs>
          <w:tab w:val="left" w:pos="284"/>
          <w:tab w:val="left" w:pos="567"/>
          <w:tab w:val="left" w:pos="993"/>
        </w:tabs>
        <w:ind w:firstLine="420"/>
        <w:rPr>
          <w:rFonts w:ascii="宋体" w:hAnsi="宋体"/>
        </w:rPr>
      </w:pPr>
      <w:r>
        <w:rPr>
          <w:i/>
          <w:kern w:val="0"/>
          <w:szCs w:val="21"/>
        </w:rPr>
        <w:t>θ</w:t>
      </w:r>
      <w:r>
        <w:rPr>
          <w:rFonts w:hint="eastAsia" w:ascii="宋体" w:hAnsi="宋体"/>
        </w:rPr>
        <w:t>，温度，以摄氏度表示。</w:t>
      </w:r>
    </w:p>
    <w:p>
      <w:pPr>
        <w:pStyle w:val="113"/>
      </w:pPr>
      <w:r>
        <w:rPr>
          <w:rFonts w:hint="eastAsia"/>
        </w:rPr>
        <w:t>发现</w:t>
      </w:r>
      <w:r>
        <w:rPr>
          <w:rFonts w:hint="eastAsia"/>
          <w:i/>
        </w:rPr>
        <w:t>F</w:t>
      </w:r>
      <w:r>
        <w:rPr>
          <w:rFonts w:hint="eastAsia"/>
          <w:vertAlign w:val="subscript"/>
        </w:rPr>
        <w:t>r</w:t>
      </w:r>
      <w:r>
        <w:rPr>
          <w:rFonts w:hint="eastAsia"/>
        </w:rPr>
        <w:t>值是</w:t>
      </w:r>
      <w:r>
        <w:t>1086.486</w:t>
      </w:r>
      <w:r>
        <w:rPr>
          <w:rFonts w:hint="eastAsia"/>
        </w:rPr>
        <w:t>，这是远远超过自由度</w:t>
      </w:r>
      <w:r>
        <w:rPr>
          <w:rFonts w:hint="eastAsia"/>
          <w:color w:val="FF0000"/>
        </w:rPr>
        <w:t>3×4</w:t>
      </w:r>
      <w:r>
        <w:rPr>
          <w:color w:val="FF0000"/>
        </w:rPr>
        <w:t>4</w:t>
      </w:r>
      <w:r>
        <w:rPr>
          <w:rFonts w:hint="eastAsia"/>
        </w:rPr>
        <w:t>的95%置信水平。</w:t>
      </w:r>
    </w:p>
    <w:p>
      <w:pPr>
        <w:pStyle w:val="113"/>
      </w:pPr>
      <w:r>
        <w:rPr>
          <w:rFonts w:hint="eastAsia"/>
        </w:rPr>
        <w:t>对于给定的回缩值(10%、50%和70%)，找到相应的温度是一个相对容易的尝试和误差计算，因为这并不需要很高的精度(最接近的程度就足够了)。试验结果与使用</w:t>
      </w:r>
      <w:commentRangeStart w:id="7"/>
      <w:r>
        <w:rPr>
          <w:rFonts w:hint="eastAsia"/>
        </w:rPr>
        <w:t>s形函数(累积正态分布函数)</w:t>
      </w:r>
      <w:commentRangeEnd w:id="7"/>
      <w:r>
        <w:rPr>
          <w:rStyle w:val="39"/>
          <w:rFonts w:ascii="Times New Roman"/>
          <w:kern w:val="2"/>
        </w:rPr>
        <w:commentReference w:id="7"/>
      </w:r>
      <w:r>
        <w:rPr>
          <w:rFonts w:hint="eastAsia"/>
        </w:rPr>
        <w:t>估计的TR值如表37所示。</w:t>
      </w:r>
    </w:p>
    <w:p>
      <w:pPr>
        <w:pStyle w:val="127"/>
        <w:ind w:left="0"/>
      </w:pPr>
      <w:r>
        <w:rPr>
          <w:rFonts w:hint="eastAsia" w:hAnsi="黑体"/>
        </w:rPr>
        <w:t>回缩值结果</w:t>
      </w:r>
    </w:p>
    <w:tbl>
      <w:tblPr>
        <w:tblStyle w:val="33"/>
        <w:tblW w:w="5000" w:type="pct"/>
        <w:tblInd w:w="0" w:type="dxa"/>
        <w:tblLayout w:type="autofit"/>
        <w:tblCellMar>
          <w:top w:w="0" w:type="dxa"/>
          <w:left w:w="108" w:type="dxa"/>
          <w:bottom w:w="0" w:type="dxa"/>
          <w:right w:w="108" w:type="dxa"/>
        </w:tblCellMar>
      </w:tblPr>
      <w:tblGrid>
        <w:gridCol w:w="3190"/>
        <w:gridCol w:w="3191"/>
        <w:gridCol w:w="3189"/>
      </w:tblGrid>
      <w:tr>
        <w:tblPrEx>
          <w:tblCellMar>
            <w:top w:w="0" w:type="dxa"/>
            <w:left w:w="108" w:type="dxa"/>
            <w:bottom w:w="0" w:type="dxa"/>
            <w:right w:w="108" w:type="dxa"/>
          </w:tblCellMar>
        </w:tblPrEx>
        <w:trPr>
          <w:trHeight w:val="270" w:hRule="atLeast"/>
        </w:trPr>
        <w:tc>
          <w:tcPr>
            <w:tcW w:w="1667" w:type="pct"/>
            <w:tcBorders>
              <w:top w:val="single" w:color="auto" w:sz="4" w:space="0"/>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回缩值</w:t>
            </w:r>
          </w:p>
        </w:tc>
        <w:tc>
          <w:tcPr>
            <w:tcW w:w="3333" w:type="pct"/>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温度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3333"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1667"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三次方</w:t>
            </w:r>
          </w:p>
        </w:tc>
        <w:tc>
          <w:tcPr>
            <w:tcW w:w="1666"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S形</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667"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1666"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50</w:t>
            </w:r>
          </w:p>
        </w:tc>
        <w:tc>
          <w:tcPr>
            <w:tcW w:w="1667"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666"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1667"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666"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r>
    </w:tbl>
    <w:p>
      <w:pPr>
        <w:pStyle w:val="23"/>
      </w:pPr>
    </w:p>
    <w:p>
      <w:pPr>
        <w:pStyle w:val="23"/>
      </w:pPr>
      <w:r>
        <w:rPr>
          <w:rFonts w:hint="eastAsia"/>
        </w:rPr>
        <w:t>因此，非常简单的三次回归给出了该试验的结果，与使用更复杂的s形函数得到的结果相比，是在这个特定试验能够预期的准确度范围内的。</w:t>
      </w:r>
    </w:p>
    <w:p>
      <w:pPr>
        <w:pStyle w:val="45"/>
      </w:pPr>
      <w:bookmarkStart w:id="241" w:name="_Toc124173951"/>
      <w:r>
        <w:rPr>
          <w:rFonts w:hint="eastAsia"/>
        </w:rPr>
        <w:t>不确定度的测量</w:t>
      </w:r>
      <w:bookmarkEnd w:id="241"/>
      <w:r>
        <w:rPr>
          <w:rFonts w:hint="eastAsia"/>
        </w:rPr>
        <w:t xml:space="preserve">  </w:t>
      </w:r>
    </w:p>
    <w:p>
      <w:pPr>
        <w:pStyle w:val="42"/>
      </w:pPr>
      <w:bookmarkStart w:id="242" w:name="_Toc124173952"/>
      <w:r>
        <w:rPr>
          <w:rFonts w:hint="eastAsia"/>
        </w:rPr>
        <w:t>原理</w:t>
      </w:r>
      <w:bookmarkEnd w:id="242"/>
    </w:p>
    <w:p>
      <w:pPr>
        <w:pStyle w:val="63"/>
      </w:pPr>
      <w:r>
        <w:rPr>
          <w:rFonts w:hint="eastAsia"/>
        </w:rPr>
        <w:t>人们认识到，如果不包括与测量有关的不确定度的陈述，任何测量结果的陈述都是不完整的。这种不确定度是一种陈述，给出了被认为是被测量真值的范围。为了完整，还宜有一个关于真值在规定的不确定性范围内的概率的置信水平。</w:t>
      </w:r>
    </w:p>
    <w:p>
      <w:pPr>
        <w:pStyle w:val="63"/>
      </w:pPr>
      <w:r>
        <w:rPr>
          <w:rFonts w:hint="eastAsia"/>
        </w:rPr>
        <w:t>在实践中，考虑100%的置信水平没有必要也不切实际，尽管乍一看这可能被认为是可取的，因为这将导致无限大的不确定性。通常接受的置信水平是95%，只要可能就最好采用这一标准。例如，当与经认可的校准相关联时，校准结果现在被引用到95 %的置信水平，并且声明这一点的条款被包括在他们的随行证书中。</w:t>
      </w:r>
    </w:p>
    <w:p>
      <w:pPr>
        <w:pStyle w:val="63"/>
      </w:pPr>
      <w:r>
        <w:rPr>
          <w:rFonts w:hint="eastAsia"/>
        </w:rPr>
        <w:t>不确定度和误差之间应该有区别，后者表达的是所指示的值或结果与真实值之间的差值。如果能从实验外部获得关于系统误差的大小和方向的额外信息，系统误差就能得到纠正。</w:t>
      </w:r>
    </w:p>
    <w:p>
      <w:pPr>
        <w:pStyle w:val="63"/>
      </w:pPr>
      <w:r>
        <w:rPr>
          <w:rFonts w:hint="eastAsia"/>
        </w:rPr>
        <w:t>各种因素可以影响所述结果的不确定性，为了生成单次不确定度值，这些因素都宜被考虑进去。因素的范围从一次测量值可以为所观测分布的任何值到与得到测量结果的测量温度相关的不确定度和得到结果所用仪器校准的不确定度。</w:t>
      </w:r>
    </w:p>
    <w:p>
      <w:pPr>
        <w:pStyle w:val="42"/>
      </w:pPr>
      <w:bookmarkStart w:id="243" w:name="_Toc124173953"/>
      <w:r>
        <w:rPr>
          <w:rFonts w:hint="eastAsia"/>
        </w:rPr>
        <w:t>方法</w:t>
      </w:r>
      <w:bookmarkEnd w:id="243"/>
    </w:p>
    <w:p>
      <w:pPr>
        <w:pStyle w:val="46"/>
        <w:spacing w:before="156" w:after="156"/>
      </w:pPr>
      <w:r>
        <w:rPr>
          <w:rFonts w:hint="eastAsia"/>
          <w:color w:val="FF0000"/>
        </w:rPr>
        <w:t>单个</w:t>
      </w:r>
      <w:r>
        <w:rPr>
          <w:rFonts w:hint="eastAsia"/>
        </w:rPr>
        <w:t>不确定度值的</w:t>
      </w:r>
      <w:r>
        <w:rPr>
          <w:rFonts w:hint="eastAsia"/>
          <w:highlight w:val="yellow"/>
        </w:rPr>
        <w:t>编制</w:t>
      </w:r>
      <w:r>
        <w:rPr>
          <w:rFonts w:hint="eastAsia"/>
          <w:color w:val="FF0000"/>
        </w:rPr>
        <w:t>/合集？</w:t>
      </w:r>
      <w:r>
        <w:rPr>
          <w:rFonts w:hint="eastAsia"/>
        </w:rPr>
        <w:t xml:space="preserve"> </w:t>
      </w:r>
    </w:p>
    <w:p>
      <w:pPr>
        <w:pStyle w:val="23"/>
      </w:pPr>
      <w:r>
        <w:rPr>
          <w:rFonts w:hint="eastAsia"/>
        </w:rPr>
        <w:t>为了计算一个测量的</w:t>
      </w:r>
      <w:r>
        <w:rPr>
          <w:rFonts w:hint="eastAsia"/>
          <w:highlight w:val="yellow"/>
        </w:rPr>
        <w:t>单个</w:t>
      </w:r>
      <w:r>
        <w:rPr>
          <w:rFonts w:hint="eastAsia"/>
        </w:rPr>
        <w:t>不确定度</w:t>
      </w:r>
      <w:r>
        <w:rPr>
          <w:rFonts w:hint="eastAsia"/>
          <w:highlight w:val="yellow"/>
        </w:rPr>
        <w:t>值，</w:t>
      </w:r>
      <w:r>
        <w:rPr>
          <w:rFonts w:hint="eastAsia"/>
        </w:rPr>
        <w:t>要</w:t>
      </w:r>
      <w:r>
        <w:rPr>
          <w:rFonts w:hint="eastAsia"/>
          <w:highlight w:val="yellow"/>
        </w:rPr>
        <w:t>重视</w:t>
      </w:r>
      <w:r>
        <w:rPr>
          <w:rFonts w:hint="eastAsia"/>
        </w:rPr>
        <w:t>构成这种不确定度的两个重要的部分，即随机不确定度和系统不确定度。</w:t>
      </w:r>
    </w:p>
    <w:p>
      <w:pPr>
        <w:pStyle w:val="46"/>
        <w:spacing w:before="156" w:after="156"/>
      </w:pPr>
      <w:r>
        <w:rPr>
          <w:rFonts w:hint="eastAsia"/>
        </w:rPr>
        <w:t>随机不确定度(</w:t>
      </w:r>
      <w:r>
        <w:rPr>
          <w:rFonts w:ascii="Times New Roman"/>
          <w:i/>
        </w:rPr>
        <w:t>U</w:t>
      </w:r>
      <w:r>
        <w:rPr>
          <w:rFonts w:hint="eastAsia"/>
          <w:vertAlign w:val="subscript"/>
        </w:rPr>
        <w:t>r</w:t>
      </w:r>
      <w:r>
        <w:rPr>
          <w:rFonts w:hint="eastAsia"/>
        </w:rPr>
        <w:t>)</w:t>
      </w:r>
    </w:p>
    <w:p>
      <w:pPr>
        <w:pStyle w:val="113"/>
      </w:pPr>
      <w:r>
        <w:rPr>
          <w:rFonts w:hint="eastAsia"/>
        </w:rPr>
        <w:t xml:space="preserve"> 如果在相同的条件下进行多次测量，实际上就可得到一系列实测的值。这些变化是独立随机影响的结果，从电器噪声引起的电表读数的变化，到由于难以读取橡胶和塑料测试设备上常见的印刷或雕刻刻度而导致的操作员读数误差。</w:t>
      </w:r>
    </w:p>
    <w:p>
      <w:pPr>
        <w:pStyle w:val="113"/>
        <w:rPr>
          <w:rFonts w:ascii="Times New Roman"/>
        </w:rPr>
      </w:pPr>
      <w:r>
        <w:rPr>
          <w:rFonts w:ascii="Times New Roman"/>
        </w:rPr>
        <w:t>对一个实验测量样本的分析通常会得到一个高斯分布或正态分布曲线。考查这种曲线表明,该分布总体中所有可能测量值的68.3%会落在限值±σ之间，其中σ被定义为标准偏差。此外,它还能够表明，95%位于±1 96σ之间,而±3σ的值将包括所有测量值的99.7%。</w:t>
      </w:r>
    </w:p>
    <w:p>
      <w:pPr>
        <w:pStyle w:val="23"/>
        <w:rPr>
          <w:rFonts w:ascii="Times New Roman"/>
        </w:rPr>
      </w:pPr>
      <w:r>
        <w:rPr>
          <w:rFonts w:ascii="Times New Roman"/>
        </w:rPr>
        <w:t>因此,当考虑整个总体的正态分布时，对于95%的置信水平</w:t>
      </w:r>
      <w:r>
        <w:rPr>
          <w:rFonts w:hint="eastAsia" w:ascii="Times New Roman"/>
        </w:rPr>
        <w:t>，</w:t>
      </w:r>
      <w:r>
        <w:rPr>
          <w:rFonts w:ascii="Times New Roman"/>
        </w:rPr>
        <w:t>不确定</w:t>
      </w:r>
      <w:r>
        <w:rPr>
          <w:rFonts w:hint="eastAsia" w:ascii="Times New Roman"/>
        </w:rPr>
        <w:t>度</w:t>
      </w:r>
      <w:r>
        <w:rPr>
          <w:rFonts w:ascii="Times New Roman"/>
        </w:rPr>
        <w:t>（±</w:t>
      </w:r>
      <w:r>
        <w:rPr>
          <w:rFonts w:ascii="Times New Roman"/>
          <w:i/>
        </w:rPr>
        <w:t>U</w:t>
      </w:r>
      <w:r>
        <w:rPr>
          <w:rFonts w:ascii="Times New Roman"/>
        </w:rPr>
        <w:t>）,可以视为等于±1,96σ。</w:t>
      </w:r>
      <w:r>
        <w:rPr>
          <w:rFonts w:hint="eastAsia" w:ascii="Times New Roman"/>
        </w:rPr>
        <w:t>事实上，</w:t>
      </w:r>
      <w:r>
        <w:rPr>
          <w:rFonts w:ascii="Times New Roman"/>
        </w:rPr>
        <w:t>这也能处理成±2σ。</w:t>
      </w:r>
    </w:p>
    <w:p>
      <w:pPr>
        <w:pStyle w:val="113"/>
        <w:rPr>
          <w:rFonts w:ascii="Times New Roman"/>
        </w:rPr>
      </w:pPr>
      <w:r>
        <w:rPr>
          <w:rFonts w:ascii="Times New Roman"/>
        </w:rPr>
        <w:t>当进行实验测量时，实际仅取有限数量的结果，这样就能给出如6.2.3.2所示计算出的估计的标准差。</w:t>
      </w:r>
    </w:p>
    <w:p>
      <w:pPr>
        <w:pStyle w:val="23"/>
        <w:rPr>
          <w:rFonts w:ascii="Times New Roman"/>
        </w:rPr>
      </w:pPr>
      <w:r>
        <w:rPr>
          <w:rFonts w:ascii="Times New Roman"/>
        </w:rPr>
        <w:t>然后，对于这样一个有限测量样本，还能使用学生</w:t>
      </w:r>
      <w:r>
        <w:rPr>
          <w:rFonts w:ascii="Times New Roman"/>
          <w:i/>
        </w:rPr>
        <w:t>t</w:t>
      </w:r>
      <w:r>
        <w:rPr>
          <w:rFonts w:ascii="Times New Roman"/>
        </w:rPr>
        <w:t>分布法计算任意给定置信水平的随机不确定度。</w:t>
      </w:r>
    </w:p>
    <w:p>
      <w:pPr>
        <w:pStyle w:val="23"/>
        <w:rPr>
          <w:rFonts w:ascii="Times New Roman"/>
        </w:rPr>
      </w:pPr>
      <w:r>
        <w:rPr>
          <w:rFonts w:ascii="Times New Roman"/>
        </w:rPr>
        <w:t>表11给出了在任意测量数</w:t>
      </w:r>
      <w:r>
        <w:rPr>
          <w:rFonts w:ascii="Times New Roman"/>
          <w:i/>
        </w:rPr>
        <w:t>n</w:t>
      </w:r>
      <w:r>
        <w:rPr>
          <w:rFonts w:hint="eastAsia" w:ascii="Times New Roman"/>
        </w:rPr>
        <w:t>在</w:t>
      </w:r>
      <w:r>
        <w:rPr>
          <w:rFonts w:ascii="Times New Roman"/>
        </w:rPr>
        <w:t>选定的置信水平上(大多数实际情况下为95%)的</w:t>
      </w:r>
      <w:r>
        <w:rPr>
          <w:rFonts w:ascii="Times New Roman"/>
          <w:i/>
        </w:rPr>
        <w:t>t</w:t>
      </w:r>
      <w:r>
        <w:rPr>
          <w:rFonts w:ascii="Times New Roman"/>
        </w:rPr>
        <w:t>值。</w:t>
      </w:r>
      <w:r>
        <w:rPr>
          <w:rFonts w:ascii="Times New Roman"/>
          <w:i/>
        </w:rPr>
        <w:t>t</w:t>
      </w:r>
      <w:r>
        <w:rPr>
          <w:rFonts w:ascii="Times New Roman"/>
        </w:rPr>
        <w:t>值是在</w:t>
      </w:r>
      <w:r>
        <w:rPr>
          <w:rFonts w:ascii="Times New Roman"/>
          <w:spacing w:val="10"/>
          <w:sz w:val="19"/>
          <w:szCs w:val="19"/>
        </w:rPr>
        <w:t>选定的置信水平下</w:t>
      </w:r>
      <w:r>
        <w:rPr>
          <w:rFonts w:ascii="Times New Roman"/>
        </w:rPr>
        <w:t>产生不确定时，一组有限的（</w:t>
      </w:r>
      <w:r>
        <w:rPr>
          <w:rFonts w:ascii="Times New Roman"/>
          <w:i/>
        </w:rPr>
        <w:t>n</w:t>
      </w:r>
      <w:r>
        <w:rPr>
          <w:rFonts w:ascii="Times New Roman"/>
        </w:rPr>
        <w:t>个）值的标准差应该乘以的值。</w:t>
      </w:r>
    </w:p>
    <w:p>
      <w:pPr>
        <w:pStyle w:val="23"/>
        <w:rPr>
          <w:rFonts w:ascii="Times New Roman"/>
        </w:rPr>
      </w:pPr>
      <w:r>
        <w:rPr>
          <w:rFonts w:ascii="Times New Roman"/>
          <w:i/>
        </w:rPr>
        <w:t>n</w:t>
      </w:r>
      <w:r>
        <w:rPr>
          <w:rFonts w:ascii="Times New Roman"/>
        </w:rPr>
        <w:t xml:space="preserve"> = ∞时的值称为</w:t>
      </w:r>
      <w:r>
        <w:rPr>
          <w:rFonts w:ascii="Times New Roman"/>
          <w:i/>
        </w:rPr>
        <w:t>k</w:t>
      </w:r>
      <w:r>
        <w:rPr>
          <w:rFonts w:ascii="Times New Roman"/>
        </w:rPr>
        <w:t>值；这些值随概率P不同而变，但清楚地显示，在实践中选择±2.00σ是非常合理的，因为这只会将置信水平从0.950改变到0.955。</w:t>
      </w:r>
    </w:p>
    <w:p>
      <w:pPr>
        <w:pStyle w:val="113"/>
        <w:rPr>
          <w:rFonts w:ascii="Times New Roman"/>
        </w:rPr>
      </w:pPr>
      <w:r>
        <w:rPr>
          <w:rFonts w:ascii="Times New Roman"/>
        </w:rPr>
        <w:t>那么，均值的不确定度</w:t>
      </w:r>
      <w:r>
        <w:rPr>
          <w:rFonts w:ascii="Times New Roman"/>
          <w:i/>
        </w:rPr>
        <w:t>U</w:t>
      </w:r>
      <w:r>
        <w:rPr>
          <w:rFonts w:ascii="Times New Roman"/>
        </w:rPr>
        <w:t>r用式</w:t>
      </w:r>
      <w:r>
        <w:rPr>
          <w:rFonts w:hint="eastAsia" w:ascii="Times New Roman"/>
        </w:rPr>
        <w:t>(62)</w:t>
      </w:r>
      <w:r>
        <w:rPr>
          <w:rFonts w:ascii="Times New Roman"/>
        </w:rPr>
        <w:t>得到：</w:t>
      </w:r>
    </w:p>
    <w:p>
      <w:pPr>
        <w:pStyle w:val="23"/>
      </w:pPr>
      <m:oMath>
        <m:sSub>
          <m:sSubPr>
            <m:ctrlPr>
              <w:rPr>
                <w:rFonts w:ascii="Cambria Math" w:hAnsi="Cambria Math"/>
                <w:szCs w:val="22"/>
              </w:rPr>
            </m:ctrlPr>
          </m:sSubPr>
          <m:e>
            <m:r>
              <m:rPr/>
              <w:rPr>
                <w:rFonts w:ascii="Cambria Math" w:hAnsi="Cambria Math"/>
              </w:rPr>
              <m:t>U</m:t>
            </m:r>
            <m:ctrlPr>
              <w:rPr>
                <w:rFonts w:ascii="Cambria Math" w:hAnsi="Cambria Math"/>
                <w:i/>
                <w:szCs w:val="22"/>
              </w:rPr>
            </m:ctrlPr>
          </m:e>
          <m:sub>
            <m:r>
              <m:rPr/>
              <w:rPr>
                <w:rFonts w:ascii="Cambria Math" w:hAnsi="Cambria Math"/>
              </w:rPr>
              <m:t>r</m:t>
            </m:r>
            <m:ctrlPr>
              <w:rPr>
                <w:rFonts w:ascii="Cambria Math" w:hAnsi="Cambria Math"/>
                <w:szCs w:val="22"/>
              </w:rPr>
            </m:ctrlPr>
          </m:sub>
        </m:sSub>
        <m:r>
          <m:rPr/>
          <w:rPr>
            <w:rFonts w:ascii="Cambria Math" w:hAnsi="Cambria Math"/>
          </w:rPr>
          <m:t>=</m:t>
        </m:r>
        <m:f>
          <m:fPr>
            <m:ctrlPr>
              <w:rPr>
                <w:rFonts w:ascii="Cambria Math" w:hAnsi="Cambria Math"/>
                <w:i/>
                <w:szCs w:val="22"/>
              </w:rPr>
            </m:ctrlPr>
          </m:fPr>
          <m:num>
            <m:r>
              <m:rPr/>
              <w:rPr>
                <w:rFonts w:ascii="Cambria Math" w:hAnsi="Cambria Math"/>
              </w:rPr>
              <m:t>σt</m:t>
            </m:r>
            <m:ctrlPr>
              <w:rPr>
                <w:rFonts w:ascii="Cambria Math" w:hAnsi="Cambria Math"/>
                <w:i/>
                <w:szCs w:val="22"/>
              </w:rPr>
            </m:ctrlPr>
          </m:num>
          <m:den>
            <m:rad>
              <m:radPr>
                <m:degHide m:val="1"/>
                <m:ctrlPr>
                  <w:rPr>
                    <w:rFonts w:ascii="Cambria Math" w:hAnsi="Cambria Math"/>
                    <w:i/>
                    <w:szCs w:val="22"/>
                  </w:rPr>
                </m:ctrlPr>
              </m:radPr>
              <m:deg>
                <m:ctrlPr>
                  <w:rPr>
                    <w:rFonts w:ascii="Cambria Math" w:hAnsi="Cambria Math"/>
                    <w:i/>
                    <w:szCs w:val="22"/>
                  </w:rPr>
                </m:ctrlPr>
              </m:deg>
              <m:e>
                <m:r>
                  <m:rPr/>
                  <w:rPr>
                    <w:rFonts w:ascii="Cambria Math" w:hAnsi="Cambria Math"/>
                  </w:rPr>
                  <m:t>n</m:t>
                </m:r>
                <m:ctrlPr>
                  <w:rPr>
                    <w:rFonts w:ascii="Cambria Math" w:hAnsi="Cambria Math"/>
                    <w:i/>
                    <w:szCs w:val="22"/>
                  </w:rPr>
                </m:ctrlPr>
              </m:e>
            </m:rad>
            <m:ctrlPr>
              <w:rPr>
                <w:rFonts w:ascii="Cambria Math" w:hAnsi="Cambria Math"/>
                <w:i/>
                <w:szCs w:val="22"/>
              </w:rPr>
            </m:ctrlPr>
          </m:den>
        </m:f>
      </m:oMath>
      <w:r>
        <w:rPr>
          <w:rFonts w:hint="eastAsia"/>
        </w:rPr>
        <w:t xml:space="preserve">                                                                        (62)</w:t>
      </w:r>
    </w:p>
    <w:p>
      <w:pPr>
        <w:pStyle w:val="23"/>
        <w:rPr>
          <w:rFonts w:ascii="Times New Roman"/>
        </w:rPr>
      </w:pPr>
      <w:r>
        <w:rPr>
          <w:rFonts w:hint="eastAsia" w:ascii="Times New Roman"/>
        </w:rPr>
        <w:t>当</w:t>
      </w:r>
      <w:r>
        <w:rPr>
          <w:rFonts w:ascii="Times New Roman"/>
          <w:i/>
        </w:rPr>
        <w:t>n</w:t>
      </w:r>
      <w:r>
        <w:rPr>
          <w:rFonts w:hint="eastAsia" w:ascii="Times New Roman"/>
        </w:rPr>
        <w:t>小的时候，如</w:t>
      </w:r>
      <w:r>
        <w:rPr>
          <w:rFonts w:ascii="Times New Roman"/>
        </w:rPr>
        <w:t>4</w:t>
      </w:r>
      <w:r>
        <w:rPr>
          <w:rFonts w:hint="eastAsia" w:ascii="Times New Roman"/>
        </w:rPr>
        <w:t>，使用式(62)。</w:t>
      </w:r>
    </w:p>
    <w:p>
      <w:pPr>
        <w:pStyle w:val="23"/>
        <w:rPr>
          <w:rFonts w:ascii="Times New Roman"/>
        </w:rPr>
      </w:pPr>
      <w:r>
        <w:rPr>
          <w:rFonts w:hint="eastAsia" w:ascii="Times New Roman"/>
        </w:rPr>
        <w:t>如果有大量的结果可用，例如</w:t>
      </w:r>
      <w:r>
        <w:rPr>
          <w:rFonts w:ascii="Times New Roman"/>
        </w:rPr>
        <w:t>10</w:t>
      </w:r>
      <w:r>
        <w:rPr>
          <w:rFonts w:hint="eastAsia" w:ascii="Times New Roman"/>
        </w:rPr>
        <w:t>或更多，在</w:t>
      </w:r>
      <w:r>
        <w:rPr>
          <w:rFonts w:ascii="Times New Roman"/>
        </w:rPr>
        <w:t>95%</w:t>
      </w:r>
      <w:r>
        <w:rPr>
          <w:rFonts w:hint="eastAsia" w:ascii="Times New Roman"/>
        </w:rPr>
        <w:t>的置信水平下，就能认为在大多数情况下</w:t>
      </w:r>
      <w:r>
        <w:rPr>
          <w:rFonts w:ascii="Times New Roman"/>
          <w:i/>
        </w:rPr>
        <w:t>t</w:t>
      </w:r>
      <w:r>
        <w:rPr>
          <w:rFonts w:hint="eastAsia" w:ascii="Times New Roman"/>
        </w:rPr>
        <w:t>等于</w:t>
      </w:r>
      <w:r>
        <w:rPr>
          <w:rFonts w:ascii="Times New Roman"/>
        </w:rPr>
        <w:t>1.96</w:t>
      </w:r>
      <w:r>
        <w:rPr>
          <w:rFonts w:hint="eastAsia" w:ascii="Times New Roman"/>
        </w:rPr>
        <w:t>，因此，式（62）则为式（63）的形式。</w:t>
      </w:r>
    </w:p>
    <w:p>
      <w:pPr>
        <w:pStyle w:val="23"/>
      </w:pPr>
      <m:oMath>
        <m:sSub>
          <m:sSubPr>
            <m:ctrlPr>
              <w:rPr>
                <w:rFonts w:ascii="Cambria Math" w:hAnsi="Cambria Math"/>
                <w:szCs w:val="22"/>
              </w:rPr>
            </m:ctrlPr>
          </m:sSubPr>
          <m:e>
            <m:r>
              <m:rPr/>
              <w:rPr>
                <w:rFonts w:ascii="Cambria Math" w:hAnsi="Cambria Math"/>
              </w:rPr>
              <m:t>U</m:t>
            </m:r>
            <m:ctrlPr>
              <w:rPr>
                <w:rFonts w:ascii="Cambria Math" w:hAnsi="Cambria Math"/>
                <w:i/>
                <w:szCs w:val="22"/>
              </w:rPr>
            </m:ctrlPr>
          </m:e>
          <m:sub>
            <m:r>
              <m:rPr/>
              <w:rPr>
                <w:rFonts w:ascii="Cambria Math" w:hAnsi="Cambria Math"/>
              </w:rPr>
              <m:t>r</m:t>
            </m:r>
            <m:ctrlPr>
              <w:rPr>
                <w:rFonts w:ascii="Cambria Math" w:hAnsi="Cambria Math"/>
                <w:szCs w:val="22"/>
              </w:rPr>
            </m:ctrlPr>
          </m:sub>
        </m:sSub>
        <m:r>
          <m:rPr/>
          <w:rPr>
            <w:rFonts w:ascii="Cambria Math" w:hAnsi="Cambria Math"/>
          </w:rPr>
          <m:t>=</m:t>
        </m:r>
        <m:f>
          <m:fPr>
            <m:ctrlPr>
              <w:rPr>
                <w:rFonts w:ascii="Cambria Math" w:hAnsi="Cambria Math"/>
                <w:i/>
                <w:szCs w:val="22"/>
              </w:rPr>
            </m:ctrlPr>
          </m:fPr>
          <m:num>
            <m:r>
              <m:rPr/>
              <w:rPr>
                <w:rFonts w:ascii="Cambria Math" w:hAnsi="Cambria Math"/>
              </w:rPr>
              <m:t>kσ</m:t>
            </m:r>
            <m:ctrlPr>
              <w:rPr>
                <w:rFonts w:ascii="Cambria Math" w:hAnsi="Cambria Math"/>
                <w:i/>
                <w:szCs w:val="22"/>
              </w:rPr>
            </m:ctrlPr>
          </m:num>
          <m:den>
            <m:rad>
              <m:radPr>
                <m:degHide m:val="1"/>
                <m:ctrlPr>
                  <w:rPr>
                    <w:rFonts w:ascii="Cambria Math" w:hAnsi="Cambria Math"/>
                    <w:i/>
                    <w:szCs w:val="22"/>
                  </w:rPr>
                </m:ctrlPr>
              </m:radPr>
              <m:deg>
                <m:ctrlPr>
                  <w:rPr>
                    <w:rFonts w:ascii="Cambria Math" w:hAnsi="Cambria Math"/>
                    <w:i/>
                    <w:szCs w:val="22"/>
                  </w:rPr>
                </m:ctrlPr>
              </m:deg>
              <m:e>
                <m:r>
                  <m:rPr/>
                  <w:rPr>
                    <w:rFonts w:ascii="Cambria Math" w:hAnsi="Cambria Math"/>
                  </w:rPr>
                  <m:t>n</m:t>
                </m:r>
                <m:ctrlPr>
                  <w:rPr>
                    <w:rFonts w:ascii="Cambria Math" w:hAnsi="Cambria Math"/>
                    <w:i/>
                    <w:szCs w:val="22"/>
                  </w:rPr>
                </m:ctrlPr>
              </m:e>
            </m:rad>
            <m:ctrlPr>
              <w:rPr>
                <w:rFonts w:ascii="Cambria Math" w:hAnsi="Cambria Math"/>
                <w:i/>
                <w:szCs w:val="22"/>
              </w:rPr>
            </m:ctrlPr>
          </m:den>
        </m:f>
      </m:oMath>
      <w:r>
        <w:rPr>
          <w:rFonts w:hint="eastAsia"/>
        </w:rPr>
        <w:t xml:space="preserve">                                                                         (63)</w:t>
      </w:r>
    </w:p>
    <w:p>
      <w:pPr>
        <w:pStyle w:val="46"/>
        <w:spacing w:before="156" w:after="156"/>
      </w:pPr>
      <w:r>
        <w:rPr>
          <w:rFonts w:hint="eastAsia"/>
        </w:rPr>
        <w:t>系统不确定度（</w:t>
      </w:r>
      <w:r>
        <w:rPr>
          <w:rFonts w:ascii="Times New Roman"/>
          <w:i/>
        </w:rPr>
        <w:t>U</w:t>
      </w:r>
      <w:r>
        <w:rPr>
          <w:rFonts w:hint="eastAsia"/>
        </w:rPr>
        <w:t>s）</w:t>
      </w:r>
    </w:p>
    <w:p>
      <w:pPr>
        <w:pStyle w:val="113"/>
      </w:pPr>
      <w:r>
        <w:rPr>
          <w:rFonts w:hint="eastAsia"/>
        </w:rPr>
        <w:t>在计算测量的随机不确定度并进行任何已知的修正后，宜考虑到其他能够影响结果的不确定度。</w:t>
      </w:r>
    </w:p>
    <w:p>
      <w:pPr>
        <w:pStyle w:val="113"/>
      </w:pPr>
      <w:r>
        <w:rPr>
          <w:rFonts w:hint="eastAsia"/>
        </w:rPr>
        <w:t>系统不确定度可能来自不同的因素，如使用了不正确的校正、温度影响和校准的不确定度。</w:t>
      </w:r>
    </w:p>
    <w:p>
      <w:pPr>
        <w:tabs>
          <w:tab w:val="left" w:pos="284"/>
          <w:tab w:val="left" w:pos="567"/>
          <w:tab w:val="left" w:pos="993"/>
        </w:tabs>
        <w:spacing w:before="156" w:beforeLines="50" w:after="156" w:afterLines="50"/>
        <w:ind w:firstLine="420" w:firstLineChars="200"/>
      </w:pPr>
      <w:r>
        <w:rPr>
          <w:rFonts w:hint="eastAsia"/>
        </w:rPr>
        <w:t>校准的不确定度很容易识别，可以从试验或测量仪器附带的校准证书中定量地获得。</w:t>
      </w:r>
    </w:p>
    <w:p>
      <w:pPr>
        <w:tabs>
          <w:tab w:val="left" w:pos="284"/>
          <w:tab w:val="left" w:pos="567"/>
          <w:tab w:val="left" w:pos="993"/>
        </w:tabs>
        <w:spacing w:before="156" w:beforeLines="50" w:after="156" w:afterLines="50"/>
        <w:ind w:firstLine="420" w:firstLineChars="200"/>
      </w:pPr>
      <w:r>
        <w:rPr>
          <w:rFonts w:hint="eastAsia"/>
        </w:rPr>
        <w:t>仔细检查系统错误的所有来源，有时可以消除问题，如使用不正确的校正、可能的抄写错误、有时出现的软件错误。</w:t>
      </w:r>
    </w:p>
    <w:p>
      <w:pPr>
        <w:pStyle w:val="113"/>
      </w:pPr>
      <w:r>
        <w:rPr>
          <w:rFonts w:hint="eastAsia"/>
        </w:rPr>
        <w:t>各个系统不确定度通常只能通过对实际限值（realistic limits）的了解来评估。换句话说，不确定度被假定为矩形分布(与前面考虑的高斯分布或正态分布相反)，或者测量值在极限值之间的任何地方出现的几率相等。</w:t>
      </w:r>
    </w:p>
    <w:p>
      <w:pPr>
        <w:pStyle w:val="23"/>
      </w:pPr>
      <w:r>
        <w:rPr>
          <w:rFonts w:hint="eastAsia"/>
        </w:rPr>
        <w:t>在单一矩形分布中，标准差可表示为式（64）：</w:t>
      </w:r>
    </w:p>
    <w:p>
      <w:pPr>
        <w:pStyle w:val="23"/>
      </w:pPr>
      <m:oMath>
        <m:r>
          <m:rPr>
            <m:sty m:val="p"/>
          </m:rPr>
          <w:rPr>
            <w:rFonts w:ascii="Cambria Math" w:hAnsi="Cambria Math"/>
          </w:rPr>
          <m:t>σ=</m:t>
        </m:r>
        <m:f>
          <m:fPr>
            <m:ctrlPr>
              <w:rPr>
                <w:rFonts w:ascii="Cambria Math" w:hAnsi="Cambria Math"/>
                <w:szCs w:val="22"/>
              </w:rPr>
            </m:ctrlPr>
          </m:fPr>
          <m:num>
            <m:r>
              <m:rPr/>
              <w:rPr>
                <w:rFonts w:ascii="Cambria Math" w:hAnsi="Cambria Math"/>
              </w:rPr>
              <m:t>a</m:t>
            </m:r>
            <m:ctrlPr>
              <w:rPr>
                <w:rFonts w:ascii="Cambria Math" w:hAnsi="Cambria Math"/>
                <w:szCs w:val="22"/>
              </w:rPr>
            </m:ctrlPr>
          </m:num>
          <m:den>
            <m:rad>
              <m:radPr>
                <m:degHide m:val="1"/>
                <m:ctrlPr>
                  <w:rPr>
                    <w:rFonts w:ascii="Cambria Math" w:hAnsi="Cambria Math"/>
                    <w:i/>
                    <w:szCs w:val="22"/>
                  </w:rPr>
                </m:ctrlPr>
              </m:radPr>
              <m:deg>
                <m:ctrlPr>
                  <w:rPr>
                    <w:rFonts w:ascii="Cambria Math" w:hAnsi="Cambria Math"/>
                    <w:i/>
                    <w:szCs w:val="22"/>
                  </w:rPr>
                </m:ctrlPr>
              </m:deg>
              <m:e>
                <m:r>
                  <m:rPr/>
                  <w:rPr>
                    <w:rFonts w:ascii="Cambria Math" w:hAnsi="Cambria Math"/>
                  </w:rPr>
                  <m:t>3</m:t>
                </m:r>
                <m:ctrlPr>
                  <w:rPr>
                    <w:rFonts w:ascii="Cambria Math" w:hAnsi="Cambria Math"/>
                    <w:i/>
                    <w:szCs w:val="22"/>
                  </w:rPr>
                </m:ctrlPr>
              </m:e>
            </m:rad>
            <m:ctrlPr>
              <w:rPr>
                <w:rFonts w:ascii="Cambria Math" w:hAnsi="Cambria Math"/>
                <w:szCs w:val="22"/>
              </w:rPr>
            </m:ctrlPr>
          </m:den>
        </m:f>
      </m:oMath>
      <w:r>
        <w:rPr>
          <w:rFonts w:hint="eastAsia"/>
        </w:rPr>
        <w:t xml:space="preserve">                                                                         (64)</w:t>
      </w:r>
    </w:p>
    <w:p>
      <w:pPr>
        <w:tabs>
          <w:tab w:val="left" w:pos="284"/>
          <w:tab w:val="left" w:pos="567"/>
          <w:tab w:val="left" w:pos="993"/>
        </w:tabs>
      </w:pPr>
      <w:r>
        <w:rPr>
          <w:rFonts w:hint="eastAsia"/>
        </w:rPr>
        <w:t>式中，</w:t>
      </w:r>
      <w:r>
        <w:rPr>
          <w:i/>
        </w:rPr>
        <w:t>a</w:t>
      </w:r>
      <w:r>
        <w:rPr>
          <w:rFonts w:hint="eastAsia"/>
        </w:rPr>
        <w:t>等于观测值的最大极差的一半</w:t>
      </w:r>
      <w:r>
        <w:t>(</w:t>
      </w:r>
      <w:r>
        <w:rPr>
          <w:rFonts w:hint="eastAsia"/>
        </w:rPr>
        <w:t>即</w:t>
      </w:r>
      <w:r>
        <w:rPr>
          <w:i/>
        </w:rPr>
        <w:t>a</w:t>
      </w:r>
      <w:r>
        <w:rPr>
          <w:rFonts w:hint="eastAsia"/>
        </w:rPr>
        <w:t>是半极差</w:t>
      </w:r>
      <w:r>
        <w:t>)</w:t>
      </w:r>
      <w:r>
        <w:rPr>
          <w:rFonts w:hint="eastAsia"/>
        </w:rPr>
        <w:t>。</w:t>
      </w:r>
    </w:p>
    <w:p>
      <w:pPr>
        <w:tabs>
          <w:tab w:val="left" w:pos="284"/>
          <w:tab w:val="left" w:pos="567"/>
          <w:tab w:val="left" w:pos="993"/>
        </w:tabs>
        <w:ind w:firstLine="420" w:firstLineChars="200"/>
      </w:pPr>
      <w:r>
        <w:rPr>
          <w:rFonts w:hint="eastAsia"/>
        </w:rPr>
        <w:t>如果有一些独立的分布，全都是矩形分布，半极差分别为</w:t>
      </w:r>
      <w:r>
        <w:rPr>
          <w:i/>
        </w:rPr>
        <w:t>a</w:t>
      </w:r>
      <w:r>
        <w:rPr>
          <w:vertAlign w:val="subscript"/>
        </w:rPr>
        <w:t>1</w:t>
      </w:r>
      <w:r>
        <w:rPr>
          <w:rFonts w:hint="eastAsia"/>
        </w:rPr>
        <w:t>、</w:t>
      </w:r>
      <w:r>
        <w:rPr>
          <w:i/>
        </w:rPr>
        <w:t>a</w:t>
      </w:r>
      <w:r>
        <w:rPr>
          <w:vertAlign w:val="subscript"/>
        </w:rPr>
        <w:t>2</w:t>
      </w:r>
      <w:r>
        <w:rPr>
          <w:rFonts w:hint="eastAsia"/>
        </w:rPr>
        <w:t>到</w:t>
      </w:r>
      <w:r>
        <w:rPr>
          <w:i/>
        </w:rPr>
        <w:t>a</w:t>
      </w:r>
      <w:r>
        <w:rPr>
          <w:vertAlign w:val="subscript"/>
        </w:rPr>
        <w:t>m</w:t>
      </w:r>
      <w:r>
        <w:rPr>
          <w:rFonts w:hint="eastAsia"/>
        </w:rPr>
        <w:t>，那么由此得到的标准偏差由式（65）给出：</w:t>
      </w:r>
    </w:p>
    <w:p>
      <w:pPr>
        <w:tabs>
          <w:tab w:val="left" w:pos="284"/>
          <w:tab w:val="left" w:pos="567"/>
          <w:tab w:val="left" w:pos="993"/>
        </w:tabs>
        <w:ind w:firstLine="420" w:firstLineChars="200"/>
        <w:rPr>
          <w:rFonts w:ascii="宋体" w:hAnsi="宋体"/>
        </w:rPr>
      </w:pPr>
      <m:oMath>
        <m:sSub>
          <m:sSubPr>
            <m:ctrlPr>
              <w:rPr>
                <w:rFonts w:ascii="Cambria Math" w:hAnsi="Cambria Math"/>
                <w:szCs w:val="22"/>
              </w:rPr>
            </m:ctrlPr>
          </m:sSubPr>
          <m:e>
            <m:r>
              <m:rPr/>
              <w:rPr>
                <w:rFonts w:ascii="Cambria Math" w:hAnsi="Cambria Math"/>
              </w:rPr>
              <m:t>σ</m:t>
            </m:r>
            <m:ctrlPr>
              <w:rPr>
                <w:rFonts w:ascii="Cambria Math" w:hAnsi="Cambria Math"/>
                <w:szCs w:val="22"/>
              </w:rPr>
            </m:ctrlPr>
          </m:e>
          <m:sub>
            <m:r>
              <m:rPr/>
              <w:rPr>
                <w:rFonts w:ascii="Cambria Math" w:hAnsi="Cambria Math"/>
              </w:rPr>
              <m:t>s</m:t>
            </m:r>
            <m:ctrlPr>
              <w:rPr>
                <w:rFonts w:ascii="Cambria Math" w:hAnsi="Cambria Math"/>
                <w:szCs w:val="22"/>
              </w:rPr>
            </m:ctrlPr>
          </m:sub>
        </m:sSub>
        <m:r>
          <m:rPr/>
          <w:rPr>
            <w:rFonts w:ascii="Cambria Math" w:hAnsi="Cambria Math"/>
          </w:rPr>
          <m:t>=</m:t>
        </m:r>
        <m:sSup>
          <m:sSupPr>
            <m:ctrlPr>
              <w:rPr>
                <w:rFonts w:ascii="Cambria Math" w:hAnsi="Cambria Math"/>
                <w:i/>
                <w:szCs w:val="22"/>
              </w:rPr>
            </m:ctrlPr>
          </m:sSupPr>
          <m:e>
            <m:r>
              <m:rPr/>
              <w:rPr>
                <w:rFonts w:ascii="Cambria Math" w:hAnsi="Cambria Math"/>
              </w:rPr>
              <m:t>(</m:t>
            </m:r>
            <m:f>
              <m:fPr>
                <m:ctrlPr>
                  <w:rPr>
                    <w:rFonts w:ascii="Cambria Math" w:hAnsi="Cambria Math"/>
                    <w:i/>
                    <w:szCs w:val="22"/>
                  </w:rPr>
                </m:ctrlPr>
              </m:fPr>
              <m:num>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a</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a</m:t>
                        </m:r>
                        <m:ctrlPr>
                          <w:rPr>
                            <w:rFonts w:ascii="Cambria Math" w:hAnsi="Cambria Math"/>
                            <w:i/>
                            <w:szCs w:val="22"/>
                          </w:rPr>
                        </m:ctrlPr>
                      </m:e>
                      <m:sub>
                        <m:r>
                          <m:rPr/>
                          <w:rPr>
                            <w:rFonts w:ascii="Cambria Math" w:hAnsi="Cambria Math"/>
                          </w:rPr>
                          <m:t>2</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 xml:space="preserve">+…  </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a</m:t>
                        </m:r>
                        <m:ctrlPr>
                          <w:rPr>
                            <w:rFonts w:ascii="Cambria Math" w:hAnsi="Cambria Math"/>
                            <w:i/>
                            <w:szCs w:val="22"/>
                          </w:rPr>
                        </m:ctrlPr>
                      </m:e>
                      <m:sub>
                        <m:r>
                          <m:rPr/>
                          <w:rPr>
                            <w:rFonts w:ascii="Cambria Math" w:hAnsi="Cambria Math"/>
                          </w:rPr>
                          <m:t>m</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num>
              <m:den>
                <m:r>
                  <m:rPr/>
                  <w:rPr>
                    <w:rFonts w:ascii="Cambria Math" w:hAnsi="Cambria Math"/>
                  </w:rPr>
                  <m:t>3</m:t>
                </m:r>
                <m:ctrlPr>
                  <w:rPr>
                    <w:rFonts w:ascii="Cambria Math" w:hAnsi="Cambria Math"/>
                    <w:i/>
                    <w:szCs w:val="22"/>
                  </w:rPr>
                </m:ctrlPr>
              </m:den>
            </m:f>
            <m:r>
              <m:rPr/>
              <w:rPr>
                <w:rFonts w:ascii="Cambria Math" w:hAnsi="Cambria Math"/>
              </w:rPr>
              <m:t>)</m:t>
            </m:r>
            <m:ctrlPr>
              <w:rPr>
                <w:rFonts w:ascii="Cambria Math" w:hAnsi="Cambria Math"/>
                <w:i/>
                <w:szCs w:val="22"/>
              </w:rPr>
            </m:ctrlPr>
          </m:e>
          <m:sup>
            <m:r>
              <m:rPr/>
              <w:rPr>
                <w:rFonts w:ascii="Cambria Math" w:hAnsi="Cambria Math"/>
              </w:rPr>
              <m:t>1/2</m:t>
            </m:r>
            <m:ctrlPr>
              <w:rPr>
                <w:rFonts w:ascii="Cambria Math" w:hAnsi="Cambria Math"/>
                <w:i/>
                <w:szCs w:val="22"/>
              </w:rPr>
            </m:ctrlPr>
          </m:sup>
        </m:sSup>
      </m:oMath>
      <w:r>
        <w:t xml:space="preserve">                             </w:t>
      </w:r>
      <w:r>
        <w:rPr>
          <w:rFonts w:hint="eastAsia"/>
        </w:rPr>
        <w:t xml:space="preserve">          </w:t>
      </w:r>
      <w:r>
        <w:t xml:space="preserve">                  </w:t>
      </w:r>
      <w:r>
        <w:rPr>
          <w:rFonts w:hint="eastAsia" w:ascii="宋体" w:hAnsi="宋体"/>
        </w:rPr>
        <w:t>(65)</w:t>
      </w:r>
    </w:p>
    <w:p>
      <w:pPr>
        <w:tabs>
          <w:tab w:val="left" w:pos="284"/>
          <w:tab w:val="left" w:pos="567"/>
          <w:tab w:val="left" w:pos="993"/>
        </w:tabs>
        <w:ind w:firstLine="420" w:firstLineChars="200"/>
      </w:pPr>
      <w:r>
        <w:rPr>
          <w:rFonts w:hint="eastAsia"/>
        </w:rPr>
        <w:t>如果现在引入置信水平的概念，则系统不确定度</w:t>
      </w:r>
      <w:r>
        <w:rPr>
          <w:i/>
        </w:rPr>
        <w:t>U</w:t>
      </w:r>
      <w:r>
        <w:rPr>
          <w:rFonts w:hint="eastAsia"/>
        </w:rPr>
        <w:t>可由式（66）得到：</w:t>
      </w:r>
    </w:p>
    <w:p>
      <w:pPr>
        <w:tabs>
          <w:tab w:val="left" w:pos="284"/>
          <w:tab w:val="left" w:pos="567"/>
          <w:tab w:val="left" w:pos="993"/>
        </w:tabs>
        <w:ind w:firstLine="420" w:firstLineChars="200"/>
        <w:rPr>
          <w:rFonts w:ascii="宋体" w:hAnsi="宋体"/>
        </w:rPr>
      </w:pPr>
      <w:r>
        <w:rPr>
          <w:i/>
        </w:rPr>
        <w:t>U</w:t>
      </w:r>
      <w:r>
        <w:rPr>
          <w:vertAlign w:val="subscript"/>
        </w:rPr>
        <w:t xml:space="preserve"> s</w:t>
      </w:r>
      <w:r>
        <w:t xml:space="preserve"> = </w:t>
      </w:r>
      <w:r>
        <w:rPr>
          <w:i/>
        </w:rPr>
        <w:t>kσ</w:t>
      </w:r>
      <w:r>
        <w:rPr>
          <w:vertAlign w:val="subscript"/>
        </w:rPr>
        <w:t xml:space="preserve">s                                                                  </w:t>
      </w:r>
      <w:r>
        <w:rPr>
          <w:rFonts w:hint="eastAsia"/>
          <w:vertAlign w:val="subscript"/>
        </w:rPr>
        <w:t xml:space="preserve">               </w:t>
      </w:r>
      <w:r>
        <w:rPr>
          <w:vertAlign w:val="subscript"/>
        </w:rPr>
        <w:t xml:space="preserve">                        </w:t>
      </w:r>
      <w:r>
        <w:rPr>
          <w:rFonts w:hint="eastAsia" w:ascii="宋体" w:hAnsi="宋体"/>
        </w:rPr>
        <w:t>(66)</w:t>
      </w:r>
    </w:p>
    <w:p>
      <w:pPr>
        <w:tabs>
          <w:tab w:val="left" w:pos="284"/>
          <w:tab w:val="left" w:pos="567"/>
          <w:tab w:val="left" w:pos="993"/>
        </w:tabs>
        <w:ind w:firstLine="420" w:firstLineChars="200"/>
      </w:pPr>
      <w:r>
        <w:rPr>
          <w:rFonts w:hint="eastAsia"/>
        </w:rPr>
        <w:t>如果有更多的结果分布信息可用，可用标准差</w:t>
      </w:r>
      <w:r>
        <w:t>σ</w:t>
      </w:r>
      <w:r>
        <w:rPr>
          <w:rFonts w:hint="eastAsia"/>
        </w:rPr>
        <w:t>代替半极差。因此，更普遍的是，如果存在一些不相关的因素对系统不确定度有贡献，其标准差分别为</w:t>
      </w:r>
      <w:r>
        <w:t>σ</w:t>
      </w:r>
      <w:r>
        <w:rPr>
          <w:vertAlign w:val="subscript"/>
        </w:rPr>
        <w:t>s1</w:t>
      </w:r>
      <w:r>
        <w:rPr>
          <w:rFonts w:hint="eastAsia"/>
        </w:rPr>
        <w:t>、</w:t>
      </w:r>
      <w:r>
        <w:t>σ</w:t>
      </w:r>
      <w:r>
        <w:rPr>
          <w:vertAlign w:val="subscript"/>
        </w:rPr>
        <w:t>s2</w:t>
      </w:r>
      <w:r>
        <w:rPr>
          <w:rFonts w:hint="eastAsia"/>
        </w:rPr>
        <w:t>等，则产生的系统不确定度由式</w:t>
      </w:r>
      <w:r>
        <w:t>(67)</w:t>
      </w:r>
      <w:r>
        <w:rPr>
          <w:rFonts w:hint="eastAsia"/>
        </w:rPr>
        <w:t>给出：</w:t>
      </w:r>
    </w:p>
    <w:p>
      <w:pPr>
        <w:tabs>
          <w:tab w:val="left" w:pos="284"/>
          <w:tab w:val="left" w:pos="567"/>
          <w:tab w:val="left" w:pos="993"/>
        </w:tabs>
        <w:ind w:firstLine="420" w:firstLineChars="200"/>
      </w:pPr>
      <m:oMath>
        <m:sSub>
          <m:sSubPr>
            <m:ctrlPr>
              <w:rPr>
                <w:rFonts w:ascii="Cambria Math" w:hAnsi="Cambria Math"/>
                <w:szCs w:val="22"/>
              </w:rPr>
            </m:ctrlPr>
          </m:sSubPr>
          <m:e>
            <m:r>
              <m:rPr/>
              <w:rPr>
                <w:rFonts w:ascii="Cambria Math" w:hAnsi="Cambria Math"/>
              </w:rPr>
              <m:t>U</m:t>
            </m:r>
            <m:ctrlPr>
              <w:rPr>
                <w:rFonts w:ascii="Cambria Math" w:hAnsi="Cambria Math"/>
                <w:szCs w:val="22"/>
              </w:rPr>
            </m:ctrlPr>
          </m:e>
          <m:sub>
            <m:r>
              <m:rPr/>
              <w:rPr>
                <w:rFonts w:ascii="Cambria Math" w:hAnsi="Cambria Math"/>
              </w:rPr>
              <m:t>s</m:t>
            </m:r>
            <m:ctrlPr>
              <w:rPr>
                <w:rFonts w:ascii="Cambria Math" w:hAnsi="Cambria Math"/>
                <w:szCs w:val="22"/>
              </w:rPr>
            </m:ctrlPr>
          </m:sub>
        </m:sSub>
        <m:r>
          <m:rPr/>
          <w:rPr>
            <w:rFonts w:ascii="Cambria Math" w:hAnsi="Cambria Math"/>
          </w:rPr>
          <m:t>=k</m:t>
        </m:r>
        <m:sSup>
          <m:sSupPr>
            <m:ctrlPr>
              <w:rPr>
                <w:rFonts w:ascii="Cambria Math" w:hAnsi="Cambria Math"/>
                <w:i/>
                <w:szCs w:val="22"/>
              </w:rPr>
            </m:ctrlPr>
          </m:sSupPr>
          <m:e>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σ</m:t>
                    </m:r>
                    <m:ctrlPr>
                      <w:rPr>
                        <w:rFonts w:ascii="Cambria Math" w:hAnsi="Cambria Math"/>
                        <w:i/>
                        <w:szCs w:val="22"/>
                      </w:rPr>
                    </m:ctrlPr>
                  </m:e>
                  <m:sub>
                    <m:r>
                      <m:rPr/>
                      <w:rPr>
                        <w:rFonts w:ascii="Cambria Math" w:hAnsi="Cambria Math"/>
                      </w:rPr>
                      <m:t>s1</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σ</m:t>
                    </m:r>
                    <m:ctrlPr>
                      <w:rPr>
                        <w:rFonts w:ascii="Cambria Math" w:hAnsi="Cambria Math"/>
                        <w:i/>
                        <w:szCs w:val="22"/>
                      </w:rPr>
                    </m:ctrlPr>
                  </m:e>
                  <m:sub>
                    <m:r>
                      <m:rPr/>
                      <w:rPr>
                        <w:rFonts w:ascii="Cambria Math" w:hAnsi="Cambria Math"/>
                      </w:rPr>
                      <m:t>s2</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σ</m:t>
                    </m:r>
                    <m:ctrlPr>
                      <w:rPr>
                        <w:rFonts w:ascii="Cambria Math" w:hAnsi="Cambria Math"/>
                        <w:i/>
                        <w:szCs w:val="22"/>
                      </w:rPr>
                    </m:ctrlPr>
                  </m:e>
                  <m:sub>
                    <m:r>
                      <m:rPr/>
                      <w:rPr>
                        <w:rFonts w:ascii="Cambria Math" w:hAnsi="Cambria Math"/>
                      </w:rPr>
                      <m:t>sm</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ctrlPr>
              <w:rPr>
                <w:rFonts w:ascii="Cambria Math" w:hAnsi="Cambria Math"/>
                <w:i/>
                <w:szCs w:val="22"/>
              </w:rPr>
            </m:ctrlPr>
          </m:e>
          <m:sup>
            <m:r>
              <m:rPr/>
              <w:rPr>
                <w:rFonts w:ascii="Cambria Math" w:hAnsi="Cambria Math"/>
              </w:rPr>
              <m:t>1/2</m:t>
            </m:r>
            <m:ctrlPr>
              <w:rPr>
                <w:rFonts w:ascii="Cambria Math" w:hAnsi="Cambria Math"/>
                <w:i/>
                <w:szCs w:val="22"/>
              </w:rPr>
            </m:ctrlPr>
          </m:sup>
        </m:sSup>
      </m:oMath>
      <w:r>
        <w:t xml:space="preserve">                </w:t>
      </w:r>
      <w:r>
        <w:rPr>
          <w:rFonts w:hint="eastAsia"/>
        </w:rPr>
        <w:t xml:space="preserve">         </w:t>
      </w:r>
      <w:r>
        <w:t xml:space="preserve">                      (67)</w:t>
      </w:r>
    </w:p>
    <w:p>
      <w:pPr>
        <w:tabs>
          <w:tab w:val="left" w:pos="284"/>
          <w:tab w:val="left" w:pos="567"/>
          <w:tab w:val="left" w:pos="993"/>
        </w:tabs>
        <w:ind w:firstLine="420" w:firstLineChars="200"/>
      </w:pPr>
      <w:r>
        <w:rPr>
          <w:rFonts w:hint="eastAsia"/>
        </w:rPr>
        <w:t>已发现，在某些情况下，各自的不确定度已存在，因此可用</w:t>
      </w:r>
      <w:r>
        <w:t>可以用式（</w:t>
      </w:r>
      <w:r>
        <w:rPr>
          <w:rFonts w:hint="eastAsia"/>
        </w:rPr>
        <w:t>68）</w:t>
      </w:r>
      <w:r>
        <w:t>来代替式（</w:t>
      </w:r>
      <w:r>
        <w:rPr>
          <w:rFonts w:hint="eastAsia"/>
        </w:rPr>
        <w:t>67）：</w:t>
      </w:r>
    </w:p>
    <w:p>
      <w:pPr>
        <w:tabs>
          <w:tab w:val="left" w:pos="284"/>
          <w:tab w:val="left" w:pos="567"/>
          <w:tab w:val="left" w:pos="993"/>
        </w:tabs>
        <w:ind w:firstLine="420" w:firstLineChars="200"/>
      </w:pPr>
      <m:oMath>
        <m:sSub>
          <m:sSubPr>
            <m:ctrlPr>
              <w:rPr>
                <w:rFonts w:ascii="Cambria Math" w:hAnsi="Cambria Math"/>
                <w:szCs w:val="22"/>
              </w:rPr>
            </m:ctrlPr>
          </m:sSubPr>
          <m:e>
            <m:r>
              <m:rPr/>
              <w:rPr>
                <w:rFonts w:ascii="Cambria Math" w:hAnsi="Cambria Math"/>
              </w:rPr>
              <m:t>U</m:t>
            </m:r>
            <m:ctrlPr>
              <w:rPr>
                <w:rFonts w:ascii="Cambria Math" w:hAnsi="Cambria Math"/>
                <w:szCs w:val="22"/>
              </w:rPr>
            </m:ctrlPr>
          </m:e>
          <m:sub>
            <m:r>
              <m:rPr/>
              <w:rPr>
                <w:rFonts w:ascii="Cambria Math" w:hAnsi="Cambria Math"/>
              </w:rPr>
              <m:t>s</m:t>
            </m:r>
            <m:ctrlPr>
              <w:rPr>
                <w:rFonts w:ascii="Cambria Math" w:hAnsi="Cambria Math"/>
                <w:szCs w:val="22"/>
              </w:rPr>
            </m:ctrlPr>
          </m:sub>
        </m:sSub>
        <m:r>
          <m:rPr/>
          <w:rPr>
            <w:rFonts w:ascii="Cambria Math" w:hAnsi="Cambria Math"/>
          </w:rPr>
          <m:t>=</m:t>
        </m:r>
        <m:sSup>
          <m:sSupPr>
            <m:ctrlPr>
              <w:rPr>
                <w:rFonts w:ascii="Cambria Math" w:hAnsi="Cambria Math"/>
                <w:i/>
                <w:szCs w:val="22"/>
              </w:rPr>
            </m:ctrlPr>
          </m:sSupPr>
          <m:e>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U</m:t>
                    </m:r>
                    <m:ctrlPr>
                      <w:rPr>
                        <w:rFonts w:ascii="Cambria Math" w:hAnsi="Cambria Math"/>
                        <w:i/>
                        <w:szCs w:val="22"/>
                      </w:rPr>
                    </m:ctrlPr>
                  </m:e>
                  <m:sub>
                    <m:r>
                      <m:rPr/>
                      <w:rPr>
                        <w:rFonts w:ascii="Cambria Math" w:hAnsi="Cambria Math"/>
                      </w:rPr>
                      <m:t>s1</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U</m:t>
                    </m:r>
                    <m:ctrlPr>
                      <w:rPr>
                        <w:rFonts w:ascii="Cambria Math" w:hAnsi="Cambria Math"/>
                        <w:i/>
                        <w:szCs w:val="22"/>
                      </w:rPr>
                    </m:ctrlPr>
                  </m:e>
                  <m:sub>
                    <m:r>
                      <m:rPr/>
                      <w:rPr>
                        <w:rFonts w:ascii="Cambria Math" w:hAnsi="Cambria Math"/>
                      </w:rPr>
                      <m:t>s2</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U</m:t>
                    </m:r>
                    <m:ctrlPr>
                      <w:rPr>
                        <w:rFonts w:ascii="Cambria Math" w:hAnsi="Cambria Math"/>
                        <w:i/>
                        <w:szCs w:val="22"/>
                      </w:rPr>
                    </m:ctrlPr>
                  </m:e>
                  <m:sub>
                    <m:r>
                      <m:rPr/>
                      <w:rPr>
                        <w:rFonts w:ascii="Cambria Math" w:hAnsi="Cambria Math"/>
                      </w:rPr>
                      <m:t>sm</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ctrlPr>
              <w:rPr>
                <w:rFonts w:ascii="Cambria Math" w:hAnsi="Cambria Math"/>
                <w:i/>
                <w:szCs w:val="22"/>
              </w:rPr>
            </m:ctrlPr>
          </m:e>
          <m:sup>
            <m:r>
              <m:rPr/>
              <w:rPr>
                <w:rFonts w:ascii="Cambria Math" w:hAnsi="Cambria Math"/>
              </w:rPr>
              <m:t>1/2</m:t>
            </m:r>
            <m:ctrlPr>
              <w:rPr>
                <w:rFonts w:ascii="Cambria Math" w:hAnsi="Cambria Math"/>
                <w:i/>
                <w:szCs w:val="22"/>
              </w:rPr>
            </m:ctrlPr>
          </m:sup>
        </m:sSup>
      </m:oMath>
      <w:r>
        <w:t xml:space="preserve">         </w:t>
      </w:r>
      <w:r>
        <w:rPr>
          <w:rFonts w:hint="eastAsia"/>
        </w:rPr>
        <w:t xml:space="preserve">             </w:t>
      </w:r>
      <w:r>
        <w:t xml:space="preserve">                          (68)</w:t>
      </w:r>
    </w:p>
    <w:p>
      <w:pPr>
        <w:pStyle w:val="113"/>
      </w:pPr>
      <w:r>
        <w:rPr>
          <w:rFonts w:hint="eastAsia"/>
        </w:rPr>
        <w:t>在实际应用中，校准不确定度可能是仅有的一个以真实不确定度(例如来自校准证书)的形式存在的不确定度，则式（69）适用：</w:t>
      </w:r>
    </w:p>
    <w:p>
      <w:pPr>
        <w:pStyle w:val="23"/>
      </w:pPr>
      <m:oMath>
        <m:sSub>
          <m:sSubPr>
            <m:ctrlPr>
              <w:rPr>
                <w:rFonts w:ascii="Cambria Math" w:hAnsi="Cambria Math"/>
                <w:szCs w:val="22"/>
              </w:rPr>
            </m:ctrlPr>
          </m:sSubPr>
          <m:e>
            <m:r>
              <m:rPr/>
              <w:rPr>
                <w:rFonts w:ascii="Cambria Math" w:hAnsi="Cambria Math"/>
              </w:rPr>
              <m:t>U</m:t>
            </m:r>
            <m:ctrlPr>
              <w:rPr>
                <w:rFonts w:ascii="Cambria Math" w:hAnsi="Cambria Math"/>
                <w:szCs w:val="22"/>
              </w:rPr>
            </m:ctrlPr>
          </m:e>
          <m:sub>
            <m:r>
              <m:rPr/>
              <w:rPr>
                <w:rFonts w:ascii="Cambria Math" w:hAnsi="Cambria Math"/>
              </w:rPr>
              <m:t>s</m:t>
            </m:r>
            <m:ctrlPr>
              <w:rPr>
                <w:rFonts w:ascii="Cambria Math" w:hAnsi="Cambria Math"/>
                <w:szCs w:val="22"/>
              </w:rPr>
            </m:ctrlPr>
          </m:sub>
        </m:sSub>
        <m:r>
          <m:rPr/>
          <w:rPr>
            <w:rFonts w:ascii="Cambria Math" w:hAnsi="Cambria Math"/>
          </w:rPr>
          <m:t>=</m:t>
        </m:r>
        <m:sSup>
          <m:sSupPr>
            <m:ctrlPr>
              <w:rPr>
                <w:rFonts w:ascii="Cambria Math" w:hAnsi="Cambria Math"/>
                <w:i/>
                <w:szCs w:val="22"/>
              </w:rPr>
            </m:ctrlPr>
          </m:sSupPr>
          <m:e>
            <m:d>
              <m:dPr>
                <m:begChr m:val="["/>
                <m:endChr m:val="]"/>
                <m:ctrlPr>
                  <w:rPr>
                    <w:rFonts w:ascii="Cambria Math" w:hAnsi="Cambria Math"/>
                    <w:i/>
                    <w:szCs w:val="22"/>
                  </w:rPr>
                </m:ctrlPr>
              </m:dPr>
              <m:e>
                <m:sSub>
                  <m:sSubPr>
                    <m:ctrlPr>
                      <w:rPr>
                        <w:rFonts w:ascii="Cambria Math" w:hAnsi="Cambria Math"/>
                        <w:i/>
                        <w:szCs w:val="22"/>
                      </w:rPr>
                    </m:ctrlPr>
                  </m:sSubPr>
                  <m:e>
                    <m:sSup>
                      <m:sSupPr>
                        <m:ctrlPr>
                          <w:rPr>
                            <w:rFonts w:ascii="Cambria Math" w:hAnsi="Cambria Math"/>
                            <w:i/>
                            <w:szCs w:val="22"/>
                          </w:rPr>
                        </m:ctrlPr>
                      </m:sSupPr>
                      <m:e>
                        <m:r>
                          <m:rPr/>
                          <w:rPr>
                            <w:rFonts w:ascii="Cambria Math" w:hAnsi="Cambria Math"/>
                          </w:rPr>
                          <m:t>U</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sub>
                    <m:r>
                      <m:rPr/>
                      <w:rPr>
                        <w:rFonts w:ascii="Cambria Math" w:hAnsi="Cambria Math"/>
                      </w:rPr>
                      <m:t>calibration</m:t>
                    </m:r>
                    <m:ctrlPr>
                      <w:rPr>
                        <w:rFonts w:ascii="Cambria Math" w:hAnsi="Cambria Math"/>
                        <w:i/>
                        <w:szCs w:val="22"/>
                      </w:rPr>
                    </m:ctrlPr>
                  </m:sub>
                </m:sSub>
                <m:r>
                  <m:rPr/>
                  <w:rPr>
                    <w:rFonts w:ascii="Cambria Math" w:hAnsi="Cambria Math"/>
                  </w:rPr>
                  <m:t>+</m:t>
                </m:r>
                <m:sSup>
                  <m:sSupPr>
                    <m:ctrlPr>
                      <w:rPr>
                        <w:rFonts w:ascii="Cambria Math" w:hAnsi="Cambria Math"/>
                        <w:i/>
                        <w:szCs w:val="22"/>
                      </w:rPr>
                    </m:ctrlPr>
                  </m:sSupPr>
                  <m:e>
                    <m:r>
                      <m:rPr/>
                      <w:rPr>
                        <w:rFonts w:ascii="Cambria Math" w:hAnsi="Cambria Math"/>
                      </w:rPr>
                      <m:t>k</m:t>
                    </m:r>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σ</m:t>
                        </m:r>
                        <m:ctrlPr>
                          <w:rPr>
                            <w:rFonts w:ascii="Cambria Math" w:hAnsi="Cambria Math"/>
                            <w:i/>
                            <w:szCs w:val="22"/>
                          </w:rPr>
                        </m:ctrlPr>
                      </m:e>
                      <m:sub>
                        <m:r>
                          <m:rPr/>
                          <w:rPr>
                            <w:rFonts w:ascii="Cambria Math" w:hAnsi="Cambria Math"/>
                          </w:rPr>
                          <m:t>s1</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σ</m:t>
                        </m:r>
                        <m:ctrlPr>
                          <w:rPr>
                            <w:rFonts w:ascii="Cambria Math" w:hAnsi="Cambria Math"/>
                            <w:i/>
                            <w:szCs w:val="22"/>
                          </w:rPr>
                        </m:ctrlPr>
                      </m:e>
                      <m:sub>
                        <m:r>
                          <m:rPr/>
                          <w:rPr>
                            <w:rFonts w:ascii="Cambria Math" w:hAnsi="Cambria Math"/>
                          </w:rPr>
                          <m:t>s2</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σ</m:t>
                        </m:r>
                        <m:ctrlPr>
                          <w:rPr>
                            <w:rFonts w:ascii="Cambria Math" w:hAnsi="Cambria Math"/>
                            <w:i/>
                            <w:szCs w:val="22"/>
                          </w:rPr>
                        </m:ctrlPr>
                      </m:e>
                      <m:sub>
                        <m:r>
                          <m:rPr/>
                          <w:rPr>
                            <w:rFonts w:ascii="Cambria Math" w:hAnsi="Cambria Math"/>
                          </w:rPr>
                          <m:t>sm</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ctrlPr>
                  <w:rPr>
                    <w:rFonts w:ascii="Cambria Math" w:hAnsi="Cambria Math"/>
                    <w:i/>
                    <w:szCs w:val="22"/>
                  </w:rPr>
                </m:ctrlPr>
              </m:e>
            </m:d>
            <m:ctrlPr>
              <w:rPr>
                <w:rFonts w:ascii="Cambria Math" w:hAnsi="Cambria Math"/>
                <w:i/>
                <w:szCs w:val="22"/>
              </w:rPr>
            </m:ctrlPr>
          </m:e>
          <m:sup>
            <m:r>
              <m:rPr/>
              <w:rPr>
                <w:rFonts w:ascii="Cambria Math" w:hAnsi="Cambria Math"/>
              </w:rPr>
              <m:t>1/2</m:t>
            </m:r>
            <m:ctrlPr>
              <w:rPr>
                <w:rFonts w:ascii="Cambria Math" w:hAnsi="Cambria Math"/>
                <w:i/>
                <w:szCs w:val="22"/>
              </w:rPr>
            </m:ctrlPr>
          </m:sup>
        </m:sSup>
      </m:oMath>
      <w:r>
        <w:t xml:space="preserve">           </w:t>
      </w:r>
      <w:r>
        <w:rPr>
          <w:rFonts w:hint="eastAsia"/>
        </w:rPr>
        <w:t xml:space="preserve">             </w:t>
      </w:r>
      <w:r>
        <w:t xml:space="preserve">            (69)</w:t>
      </w:r>
    </w:p>
    <w:p>
      <w:pPr>
        <w:pStyle w:val="23"/>
      </w:pPr>
      <w:r>
        <w:rPr>
          <w:i/>
        </w:rPr>
        <w:t>U</w:t>
      </w:r>
      <w:r>
        <w:rPr>
          <w:vertAlign w:val="subscript"/>
        </w:rPr>
        <w:t>calibration</w:t>
      </w:r>
      <w:r>
        <w:rPr>
          <w:rFonts w:hint="eastAsia"/>
        </w:rPr>
        <w:t>等效于</w:t>
      </w:r>
      <w:r>
        <w:rPr>
          <w:i/>
        </w:rPr>
        <w:t>kσ</w:t>
      </w:r>
      <w:r>
        <w:rPr>
          <w:vertAlign w:val="subscript"/>
        </w:rPr>
        <w:t>calibration</w:t>
      </w:r>
      <w:r>
        <w:rPr>
          <w:rFonts w:hint="eastAsia"/>
        </w:rPr>
        <w:t>，但与校准相关的标准差</w:t>
      </w:r>
      <w:r>
        <w:t>σ</w:t>
      </w:r>
      <w:r>
        <w:rPr>
          <w:vertAlign w:val="subscript"/>
        </w:rPr>
        <w:t>calibration</w:t>
      </w:r>
      <w:r>
        <w:rPr>
          <w:rFonts w:hint="eastAsia"/>
        </w:rPr>
        <w:t>不需要计算。</w:t>
      </w:r>
    </w:p>
    <w:p>
      <w:pPr>
        <w:pStyle w:val="113"/>
      </w:pPr>
      <w:r>
        <w:rPr>
          <w:rFonts w:hint="eastAsia"/>
        </w:rPr>
        <w:t>在某些估计不确定度的实际极限值的情况下，可能存在对系统不确定度的显性贡献（dominant contribution），这样如由式(67)计算出的不确定度的值大于贡献半极差的算术和。</w:t>
      </w:r>
    </w:p>
    <w:p>
      <w:pPr>
        <w:pStyle w:val="23"/>
      </w:pPr>
      <w:r>
        <w:rPr>
          <w:rFonts w:hint="eastAsia"/>
        </w:rPr>
        <w:t>如果这样，那么就宜将这个显性贡献从计算中分离出来，总的系统不确定度则由式（70）给出：</w:t>
      </w:r>
    </w:p>
    <w:p>
      <w:pPr>
        <w:pStyle w:val="23"/>
      </w:pPr>
      <m:oMath>
        <m:sSub>
          <m:sSubPr>
            <m:ctrlPr>
              <w:rPr>
                <w:rFonts w:ascii="Cambria Math" w:hAnsi="Cambria Math"/>
                <w:szCs w:val="22"/>
                <w:vertAlign w:val="subscript"/>
              </w:rPr>
            </m:ctrlPr>
          </m:sSubPr>
          <m:e>
            <m:r>
              <m:rPr/>
              <w:rPr>
                <w:rFonts w:ascii="Cambria Math" w:hAnsi="Cambria Math"/>
                <w:vertAlign w:val="subscript"/>
              </w:rPr>
              <m:t>U</m:t>
            </m:r>
            <m:ctrlPr>
              <w:rPr>
                <w:rFonts w:ascii="Cambria Math" w:hAnsi="Cambria Math"/>
                <w:szCs w:val="22"/>
                <w:vertAlign w:val="subscript"/>
              </w:rPr>
            </m:ctrlPr>
          </m:e>
          <m:sub>
            <m:r>
              <m:rPr/>
              <w:rPr>
                <w:rFonts w:ascii="Cambria Math" w:hAnsi="Cambria Math"/>
                <w:vertAlign w:val="subscript"/>
              </w:rPr>
              <m:t>s</m:t>
            </m:r>
            <m:ctrlPr>
              <w:rPr>
                <w:rFonts w:ascii="Cambria Math" w:hAnsi="Cambria Math"/>
                <w:szCs w:val="22"/>
                <w:vertAlign w:val="subscript"/>
              </w:rPr>
            </m:ctrlPr>
          </m:sub>
        </m:sSub>
        <m:r>
          <m:rPr>
            <m:sty m:val="p"/>
          </m:rPr>
          <w:rPr>
            <w:rFonts w:ascii="Cambria Math" w:hAnsi="Cambria Math"/>
          </w:rPr>
          <m:t>=</m:t>
        </m:r>
        <m:sSub>
          <m:sSubPr>
            <m:ctrlPr>
              <w:rPr>
                <w:rFonts w:ascii="Cambria Math" w:hAnsi="Cambria Math"/>
                <w:szCs w:val="22"/>
              </w:rPr>
            </m:ctrlPr>
          </m:sSubPr>
          <m:e>
            <m:r>
              <m:rPr/>
              <w:rPr>
                <w:rFonts w:ascii="Cambria Math" w:hAnsi="Cambria Math"/>
              </w:rPr>
              <m:t>a</m:t>
            </m:r>
            <m:ctrlPr>
              <w:rPr>
                <w:rFonts w:ascii="Cambria Math" w:hAnsi="Cambria Math"/>
                <w:szCs w:val="22"/>
              </w:rPr>
            </m:ctrlPr>
          </m:e>
          <m:sub>
            <m:r>
              <m:rPr/>
              <w:rPr>
                <w:rFonts w:ascii="Cambria Math" w:hAnsi="Cambria Math"/>
              </w:rPr>
              <m:t>d</m:t>
            </m:r>
            <m:ctrlPr>
              <w:rPr>
                <w:rFonts w:ascii="Cambria Math" w:hAnsi="Cambria Math"/>
                <w:szCs w:val="22"/>
              </w:rPr>
            </m:ctrlPr>
          </m:sub>
        </m:sSub>
        <m:r>
          <m:rPr/>
          <w:rPr>
            <w:rFonts w:ascii="Cambria Math" w:hAnsi="Cambria Math"/>
          </w:rPr>
          <m:t>+</m:t>
        </m:r>
        <m:sSubSup>
          <m:sSubSupPr>
            <m:ctrlPr>
              <w:rPr>
                <w:rFonts w:ascii="Cambria Math" w:hAnsi="Cambria Math"/>
                <w:i/>
                <w:szCs w:val="22"/>
              </w:rPr>
            </m:ctrlPr>
          </m:sSubSupPr>
          <m:e>
            <m:r>
              <m:rPr/>
              <w:rPr>
                <w:rFonts w:ascii="Cambria Math" w:hAnsi="Cambria Math"/>
              </w:rPr>
              <m:t>U</m:t>
            </m:r>
            <m:ctrlPr>
              <w:rPr>
                <w:rFonts w:ascii="Cambria Math" w:hAnsi="Cambria Math"/>
                <w:i/>
                <w:szCs w:val="22"/>
              </w:rPr>
            </m:ctrlPr>
          </m:e>
          <m:sub>
            <m:r>
              <m:rPr/>
              <w:rPr>
                <w:rFonts w:ascii="Cambria Math" w:hAnsi="Cambria Math"/>
              </w:rPr>
              <m:t>s</m:t>
            </m:r>
            <m:ctrlPr>
              <w:rPr>
                <w:rFonts w:ascii="Cambria Math" w:hAnsi="Cambria Math"/>
                <w:i/>
                <w:szCs w:val="22"/>
              </w:rPr>
            </m:ctrlPr>
          </m:sub>
          <m:sup>
            <m:r>
              <m:rPr/>
              <w:rPr>
                <w:rFonts w:ascii="Cambria Math" w:hAnsi="Cambria Math"/>
              </w:rPr>
              <m:t>'</m:t>
            </m:r>
            <m:ctrlPr>
              <w:rPr>
                <w:rFonts w:ascii="Cambria Math" w:hAnsi="Cambria Math"/>
                <w:i/>
                <w:szCs w:val="22"/>
              </w:rPr>
            </m:ctrlPr>
          </m:sup>
        </m:sSubSup>
      </m:oMath>
      <w:r>
        <w:t xml:space="preserve">                                                 </w:t>
      </w:r>
      <w:r>
        <w:rPr>
          <w:rFonts w:hint="eastAsia"/>
        </w:rPr>
        <w:t xml:space="preserve">            </w:t>
      </w:r>
      <w:r>
        <w:t xml:space="preserve">        (70)</w:t>
      </w:r>
    </w:p>
    <w:p>
      <w:pPr>
        <w:pStyle w:val="23"/>
        <w:ind w:firstLine="0" w:firstLineChars="0"/>
      </w:pPr>
      <w:r>
        <w:rPr>
          <w:rFonts w:hint="eastAsia"/>
        </w:rPr>
        <w:t>式中：</w:t>
      </w:r>
      <m:oMath>
        <m:sSubSup>
          <m:sSubSupPr>
            <m:ctrlPr>
              <w:rPr>
                <w:rFonts w:ascii="Cambria Math" w:hAnsi="Cambria Math"/>
                <w:szCs w:val="22"/>
              </w:rPr>
            </m:ctrlPr>
          </m:sSubSupPr>
          <m:e>
            <m:r>
              <m:rPr/>
              <w:rPr>
                <w:rFonts w:ascii="Cambria Math" w:hAnsi="Cambria Math"/>
              </w:rPr>
              <m:t>U</m:t>
            </m:r>
            <m:ctrlPr>
              <w:rPr>
                <w:rFonts w:ascii="Cambria Math" w:hAnsi="Cambria Math"/>
                <w:szCs w:val="22"/>
              </w:rPr>
            </m:ctrlPr>
          </m:e>
          <m:sub>
            <m:r>
              <m:rPr/>
              <w:rPr>
                <w:rFonts w:ascii="Cambria Math" w:hAnsi="Cambria Math"/>
              </w:rPr>
              <m:t>s</m:t>
            </m:r>
            <m:ctrlPr>
              <w:rPr>
                <w:rFonts w:ascii="Cambria Math" w:hAnsi="Cambria Math"/>
                <w:szCs w:val="22"/>
              </w:rPr>
            </m:ctrlPr>
          </m:sub>
          <m:sup>
            <m:r>
              <m:rPr/>
              <w:rPr>
                <w:rFonts w:ascii="Cambria Math" w:hAnsi="Cambria Math"/>
              </w:rPr>
              <m:t>'</m:t>
            </m:r>
            <m:ctrlPr>
              <w:rPr>
                <w:rFonts w:ascii="Cambria Math" w:hAnsi="Cambria Math"/>
                <w:szCs w:val="22"/>
              </w:rPr>
            </m:ctrlPr>
          </m:sup>
        </m:sSubSup>
      </m:oMath>
      <w:r>
        <w:t xml:space="preserve"> 是</w:t>
      </w:r>
      <w:r>
        <w:rPr>
          <w:rFonts w:hint="eastAsia"/>
        </w:rPr>
        <w:t>由排除</w:t>
      </w:r>
      <m:oMath>
        <m:sSub>
          <m:sSubPr>
            <m:ctrlPr>
              <w:rPr>
                <w:rFonts w:ascii="Cambria Math" w:hAnsi="Cambria Math"/>
                <w:szCs w:val="22"/>
              </w:rPr>
            </m:ctrlPr>
          </m:sSubPr>
          <m:e>
            <m:r>
              <m:rPr/>
              <w:rPr>
                <w:rFonts w:ascii="Cambria Math" w:hAnsi="Cambria Math"/>
              </w:rPr>
              <m:t>a</m:t>
            </m:r>
            <m:ctrlPr>
              <w:rPr>
                <w:rFonts w:ascii="Cambria Math" w:hAnsi="Cambria Math"/>
                <w:szCs w:val="22"/>
              </w:rPr>
            </m:ctrlPr>
          </m:e>
          <m:sub>
            <m:r>
              <m:rPr/>
              <w:rPr>
                <w:rFonts w:ascii="Cambria Math" w:hAnsi="Cambria Math"/>
              </w:rPr>
              <m:t>d</m:t>
            </m:r>
            <m:ctrlPr>
              <w:rPr>
                <w:rFonts w:ascii="Cambria Math" w:hAnsi="Cambria Math"/>
                <w:szCs w:val="22"/>
              </w:rPr>
            </m:ctrlPr>
          </m:sub>
        </m:sSub>
      </m:oMath>
      <w:r>
        <w:rPr>
          <w:rFonts w:hint="eastAsia"/>
        </w:rPr>
        <w:t>项后的剩余项计算的。</w:t>
      </w:r>
    </w:p>
    <w:p>
      <w:pPr>
        <w:pStyle w:val="23"/>
      </w:pPr>
      <w:r>
        <w:rPr>
          <w:rFonts w:hint="eastAsia"/>
        </w:rPr>
        <w:t>对于这种影响要更详细地描述，请参考</w:t>
      </w:r>
      <w:r>
        <w:t>UKAS</w:t>
      </w:r>
      <w:r>
        <w:rPr>
          <w:rFonts w:hint="eastAsia"/>
        </w:rPr>
        <w:t>文件</w:t>
      </w:r>
      <w:r>
        <w:t>NIS 3003</w:t>
      </w:r>
      <w:r>
        <w:rPr>
          <w:vertAlign w:val="superscript"/>
        </w:rPr>
        <w:t>[9]</w:t>
      </w:r>
      <w:r>
        <w:rPr>
          <w:rFonts w:hint="eastAsia"/>
        </w:rPr>
        <w:t>。</w:t>
      </w:r>
    </w:p>
    <w:p>
      <w:pPr>
        <w:pStyle w:val="46"/>
        <w:spacing w:before="156" w:after="156"/>
      </w:pPr>
      <w:r>
        <w:rPr>
          <w:rFonts w:hint="eastAsia"/>
        </w:rPr>
        <w:t>总不确定度</w:t>
      </w:r>
      <w:r>
        <w:rPr>
          <w:rFonts w:hint="eastAsia"/>
          <w:color w:val="FF0000"/>
        </w:rPr>
        <w:t>单值</w:t>
      </w:r>
      <w:r>
        <w:rPr>
          <w:rFonts w:hint="eastAsia"/>
        </w:rPr>
        <w:t>的偏差</w:t>
      </w:r>
    </w:p>
    <w:p>
      <w:pPr>
        <w:pStyle w:val="23"/>
      </w:pPr>
      <w:r>
        <w:rPr>
          <w:rFonts w:hint="eastAsia"/>
        </w:rPr>
        <w:t>一旦获得了整体随机不确定度和系统不确定度，并且所有对总不确定度</w:t>
      </w:r>
      <w:r>
        <w:rPr>
          <w:rFonts w:ascii="Times New Roman"/>
          <w:i/>
        </w:rPr>
        <w:t>U</w:t>
      </w:r>
      <w:r>
        <w:rPr>
          <w:rFonts w:hint="eastAsia"/>
        </w:rPr>
        <w:t>的贡献都被考虑在内，就可以用式（71）来计算总不确定度：</w:t>
      </w:r>
    </w:p>
    <w:p>
      <w:pPr>
        <w:pStyle w:val="23"/>
      </w:pPr>
      <m:oMath>
        <m:r>
          <m:rPr/>
          <w:rPr>
            <w:rFonts w:ascii="Cambria Math" w:hAnsi="Cambria Math"/>
          </w:rPr>
          <m:t>U</m:t>
        </m:r>
        <m:r>
          <m:rPr>
            <m:sty m:val="p"/>
          </m:rPr>
          <w:rPr>
            <w:rFonts w:ascii="Cambria Math" w:hAnsi="Cambria Math"/>
          </w:rPr>
          <m:t>=</m:t>
        </m:r>
        <m:sSubSup>
          <m:sSubSupPr>
            <m:ctrlPr>
              <w:rPr>
                <w:rFonts w:ascii="Cambria Math" w:hAnsi="Cambria Math"/>
                <w:szCs w:val="22"/>
              </w:rPr>
            </m:ctrlPr>
          </m:sSubSupPr>
          <m:e>
            <m:r>
              <m:rPr/>
              <w:rPr>
                <w:rFonts w:ascii="Cambria Math" w:hAnsi="Cambria Math"/>
              </w:rPr>
              <m:t>[U</m:t>
            </m:r>
            <m:ctrlPr>
              <w:rPr>
                <w:rFonts w:ascii="Cambria Math" w:hAnsi="Cambria Math"/>
                <w:szCs w:val="22"/>
              </w:rPr>
            </m:ctrlPr>
          </m:e>
          <m:sub>
            <m:r>
              <m:rPr/>
              <w:rPr>
                <w:rFonts w:ascii="Cambria Math" w:hAnsi="Cambria Math"/>
              </w:rPr>
              <m:t>r</m:t>
            </m:r>
            <m:ctrlPr>
              <w:rPr>
                <w:rFonts w:ascii="Cambria Math" w:hAnsi="Cambria Math"/>
                <w:szCs w:val="22"/>
              </w:rPr>
            </m:ctrlPr>
          </m:sub>
          <m:sup>
            <m:r>
              <m:rPr/>
              <w:rPr>
                <w:rFonts w:ascii="Cambria Math" w:hAnsi="Cambria Math"/>
              </w:rPr>
              <m:t>2</m:t>
            </m:r>
            <m:ctrlPr>
              <w:rPr>
                <w:rFonts w:ascii="Cambria Math" w:hAnsi="Cambria Math"/>
                <w:szCs w:val="22"/>
              </w:rPr>
            </m:ctrlPr>
          </m:sup>
        </m:sSubSup>
        <m:r>
          <m:rPr/>
          <w:rPr>
            <w:rFonts w:ascii="Cambria Math" w:hAnsi="Cambria Math"/>
          </w:rPr>
          <m:t>+</m:t>
        </m:r>
        <m:sSup>
          <m:sSupPr>
            <m:ctrlPr>
              <w:rPr>
                <w:rFonts w:ascii="Cambria Math" w:hAnsi="Cambria Math"/>
                <w:i/>
                <w:szCs w:val="22"/>
              </w:rPr>
            </m:ctrlPr>
          </m:sSupPr>
          <m:e>
            <m:r>
              <m:rPr/>
              <w:rPr>
                <w:rFonts w:ascii="Cambria Math" w:hAnsi="Cambria Math"/>
              </w:rPr>
              <m:t>(</m:t>
            </m:r>
            <m:sSubSup>
              <m:sSubSupPr>
                <m:ctrlPr>
                  <w:rPr>
                    <w:rFonts w:ascii="Cambria Math" w:hAnsi="Cambria Math"/>
                    <w:i/>
                    <w:szCs w:val="22"/>
                  </w:rPr>
                </m:ctrlPr>
              </m:sSubSupPr>
              <m:e>
                <m:r>
                  <m:rPr/>
                  <w:rPr>
                    <w:rFonts w:ascii="Cambria Math" w:hAnsi="Cambria Math"/>
                  </w:rPr>
                  <m:t>U</m:t>
                </m:r>
                <m:ctrlPr>
                  <w:rPr>
                    <w:rFonts w:ascii="Cambria Math" w:hAnsi="Cambria Math"/>
                    <w:i/>
                    <w:szCs w:val="22"/>
                  </w:rPr>
                </m:ctrlPr>
              </m:e>
              <m:sub>
                <m:r>
                  <m:rPr/>
                  <w:rPr>
                    <w:rFonts w:ascii="Cambria Math" w:hAnsi="Cambria Math"/>
                  </w:rPr>
                  <m:t>s</m:t>
                </m:r>
                <m:ctrlPr>
                  <w:rPr>
                    <w:rFonts w:ascii="Cambria Math" w:hAnsi="Cambria Math"/>
                    <w:i/>
                    <w:szCs w:val="22"/>
                  </w:rPr>
                </m:ctrlPr>
              </m:sub>
              <m:sup>
                <m:r>
                  <m:rPr/>
                  <w:rPr>
                    <w:rFonts w:ascii="Cambria Math" w:hAnsi="Cambria Math"/>
                  </w:rPr>
                  <m:t>2</m:t>
                </m:r>
                <m:ctrlPr>
                  <w:rPr>
                    <w:rFonts w:ascii="Cambria Math" w:hAnsi="Cambria Math"/>
                    <w:i/>
                    <w:szCs w:val="22"/>
                  </w:rPr>
                </m:ctrlPr>
              </m:sup>
            </m:sSubSup>
            <m:r>
              <m:rPr/>
              <w:rPr>
                <w:rFonts w:ascii="Cambria Math" w:hAnsi="Cambria Math"/>
              </w:rPr>
              <m:t>)]</m:t>
            </m:r>
            <m:ctrlPr>
              <w:rPr>
                <w:rFonts w:ascii="Cambria Math" w:hAnsi="Cambria Math"/>
                <w:i/>
                <w:szCs w:val="22"/>
              </w:rPr>
            </m:ctrlPr>
          </m:e>
          <m:sup>
            <m:r>
              <m:rPr/>
              <w:rPr>
                <w:rFonts w:ascii="Cambria Math" w:hAnsi="Cambria Math"/>
              </w:rPr>
              <m:t>1/2</m:t>
            </m:r>
            <m:ctrlPr>
              <w:rPr>
                <w:rFonts w:ascii="Cambria Math" w:hAnsi="Cambria Math"/>
                <w:i/>
                <w:szCs w:val="22"/>
              </w:rPr>
            </m:ctrlPr>
          </m:sup>
        </m:sSup>
      </m:oMath>
      <w:r>
        <w:t xml:space="preserve">                    </w:t>
      </w:r>
      <w:r>
        <w:rPr>
          <w:rFonts w:hint="eastAsia"/>
        </w:rPr>
        <w:t xml:space="preserve">          </w:t>
      </w:r>
      <w:r>
        <w:t xml:space="preserve">                                  (71)</w:t>
      </w:r>
    </w:p>
    <w:p>
      <w:pPr>
        <w:pStyle w:val="23"/>
      </w:pPr>
      <w:r>
        <w:rPr>
          <w:rFonts w:hint="eastAsia"/>
        </w:rPr>
        <w:t>如果符合</w:t>
      </w:r>
      <w:r>
        <w:t>12.2.3</w:t>
      </w:r>
      <w:r>
        <w:rPr>
          <w:rFonts w:hint="eastAsia"/>
        </w:rPr>
        <w:t>末所述的原则的系统不确定性的显性贡献存在，则宜对该公式进行修正。在这种情况下，总不确定度用式（72）计算：</w:t>
      </w:r>
    </w:p>
    <w:p>
      <w:pPr>
        <w:pStyle w:val="23"/>
      </w:pPr>
      <m:oMath>
        <m:r>
          <m:rPr/>
          <w:rPr>
            <w:rFonts w:ascii="Cambria Math" w:hAnsi="Cambria Math"/>
          </w:rPr>
          <m:t>U</m:t>
        </m:r>
        <m:r>
          <m:rPr>
            <m:sty m:val="p"/>
          </m:rPr>
          <w:rPr>
            <w:rFonts w:ascii="Cambria Math" w:hAnsi="Cambria Math"/>
          </w:rPr>
          <m:t>=</m:t>
        </m:r>
        <m:sSub>
          <m:sSubPr>
            <m:ctrlPr>
              <w:rPr>
                <w:rFonts w:ascii="Cambria Math" w:hAnsi="Cambria Math"/>
                <w:szCs w:val="22"/>
              </w:rPr>
            </m:ctrlPr>
          </m:sSubPr>
          <m:e>
            <m:r>
              <m:rPr/>
              <w:rPr>
                <w:rFonts w:ascii="Cambria Math" w:hAnsi="Cambria Math"/>
              </w:rPr>
              <m:t>a</m:t>
            </m:r>
            <m:ctrlPr>
              <w:rPr>
                <w:rFonts w:ascii="Cambria Math" w:hAnsi="Cambria Math"/>
                <w:szCs w:val="22"/>
              </w:rPr>
            </m:ctrlPr>
          </m:e>
          <m:sub>
            <m:r>
              <m:rPr/>
              <w:rPr>
                <w:rFonts w:ascii="Cambria Math" w:hAnsi="Cambria Math"/>
              </w:rPr>
              <m:t>d</m:t>
            </m:r>
            <m:ctrlPr>
              <w:rPr>
                <w:rFonts w:ascii="Cambria Math" w:hAnsi="Cambria Math"/>
                <w:szCs w:val="22"/>
              </w:rPr>
            </m:ctrlPr>
          </m:sub>
        </m:sSub>
        <m:r>
          <m:rPr/>
          <w:rPr>
            <w:rFonts w:ascii="Cambria Math" w:hAnsi="Cambria Math"/>
          </w:rPr>
          <m:t>+</m:t>
        </m:r>
        <m:sSup>
          <m:sSupPr>
            <m:ctrlPr>
              <w:rPr>
                <w:rFonts w:ascii="Cambria Math" w:hAnsi="Cambria Math"/>
                <w:i/>
                <w:szCs w:val="22"/>
              </w:rPr>
            </m:ctrlPr>
          </m:sSupPr>
          <m:e>
            <m:r>
              <m:rPr/>
              <w:rPr>
                <w:rFonts w:ascii="Cambria Math" w:hAnsi="Cambria Math"/>
              </w:rPr>
              <m:t>[</m:t>
            </m:r>
            <m:sSubSup>
              <m:sSubSupPr>
                <m:ctrlPr>
                  <w:rPr>
                    <w:rFonts w:ascii="Cambria Math" w:hAnsi="Cambria Math"/>
                    <w:i/>
                    <w:szCs w:val="22"/>
                  </w:rPr>
                </m:ctrlPr>
              </m:sSubSupPr>
              <m:e>
                <m:r>
                  <m:rPr/>
                  <w:rPr>
                    <w:rFonts w:ascii="Cambria Math" w:hAnsi="Cambria Math"/>
                  </w:rPr>
                  <m:t>U</m:t>
                </m:r>
                <m:ctrlPr>
                  <w:rPr>
                    <w:rFonts w:ascii="Cambria Math" w:hAnsi="Cambria Math"/>
                    <w:i/>
                    <w:szCs w:val="22"/>
                  </w:rPr>
                </m:ctrlPr>
              </m:e>
              <m:sub>
                <m:r>
                  <m:rPr/>
                  <w:rPr>
                    <w:rFonts w:ascii="Cambria Math" w:hAnsi="Cambria Math"/>
                  </w:rPr>
                  <m:t>r</m:t>
                </m:r>
                <m:ctrlPr>
                  <w:rPr>
                    <w:rFonts w:ascii="Cambria Math" w:hAnsi="Cambria Math"/>
                    <w:i/>
                    <w:szCs w:val="22"/>
                  </w:rPr>
                </m:ctrlPr>
              </m:sub>
              <m:sup>
                <m:r>
                  <m:rPr/>
                  <w:rPr>
                    <w:rFonts w:ascii="Cambria Math" w:hAnsi="Cambria Math"/>
                  </w:rPr>
                  <m:t>2</m:t>
                </m:r>
                <m:ctrlPr>
                  <w:rPr>
                    <w:rFonts w:ascii="Cambria Math" w:hAnsi="Cambria Math"/>
                    <w:i/>
                    <w:szCs w:val="22"/>
                  </w:rPr>
                </m:ctrlPr>
              </m:sup>
            </m:sSubSup>
            <m:r>
              <m:rPr/>
              <w:rPr>
                <w:rFonts w:ascii="Cambria Math" w:hAnsi="Cambria Math"/>
              </w:rPr>
              <m:t>+</m:t>
            </m:r>
            <m:sSup>
              <m:sSupPr>
                <m:ctrlPr>
                  <w:rPr>
                    <w:rFonts w:ascii="Cambria Math" w:hAnsi="Cambria Math"/>
                    <w:i/>
                    <w:szCs w:val="22"/>
                  </w:rPr>
                </m:ctrlPr>
              </m:sSupPr>
              <m:e>
                <m:r>
                  <m:rPr/>
                  <w:rPr>
                    <w:rFonts w:ascii="Cambria Math" w:hAnsi="Cambria Math"/>
                  </w:rPr>
                  <m:t>(</m:t>
                </m:r>
                <m:sSubSup>
                  <m:sSubSupPr>
                    <m:ctrlPr>
                      <w:rPr>
                        <w:rFonts w:ascii="Cambria Math" w:hAnsi="Cambria Math"/>
                        <w:i/>
                        <w:szCs w:val="22"/>
                      </w:rPr>
                    </m:ctrlPr>
                  </m:sSubSupPr>
                  <m:e>
                    <m:r>
                      <m:rPr/>
                      <w:rPr>
                        <w:rFonts w:ascii="Cambria Math" w:hAnsi="Cambria Math"/>
                      </w:rPr>
                      <m:t>U</m:t>
                    </m:r>
                    <m:ctrlPr>
                      <w:rPr>
                        <w:rFonts w:ascii="Cambria Math" w:hAnsi="Cambria Math"/>
                        <w:i/>
                        <w:szCs w:val="22"/>
                      </w:rPr>
                    </m:ctrlPr>
                  </m:e>
                  <m:sub>
                    <m:r>
                      <m:rPr/>
                      <w:rPr>
                        <w:rFonts w:ascii="Cambria Math" w:hAnsi="Cambria Math"/>
                      </w:rPr>
                      <m:t>s</m:t>
                    </m:r>
                    <m:ctrlPr>
                      <w:rPr>
                        <w:rFonts w:ascii="Cambria Math" w:hAnsi="Cambria Math"/>
                        <w:i/>
                        <w:szCs w:val="22"/>
                      </w:rPr>
                    </m:ctrlPr>
                  </m:sub>
                  <m:sup>
                    <m:r>
                      <m:rPr/>
                      <w:rPr>
                        <w:rFonts w:ascii="Cambria Math" w:hAnsi="Cambria Math"/>
                      </w:rPr>
                      <m:t>'</m:t>
                    </m:r>
                    <m:ctrlPr>
                      <w:rPr>
                        <w:rFonts w:ascii="Cambria Math" w:hAnsi="Cambria Math"/>
                        <w:i/>
                        <w:szCs w:val="22"/>
                      </w:rPr>
                    </m:ctrlPr>
                  </m:sup>
                </m:sSubSup>
                <m:r>
                  <m:rPr/>
                  <w:rPr>
                    <w:rFonts w:ascii="Cambria Math" w:hAnsi="Cambria Math"/>
                  </w:rPr>
                  <m:t>)</m:t>
                </m:r>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ctrlPr>
              <w:rPr>
                <w:rFonts w:ascii="Cambria Math" w:hAnsi="Cambria Math"/>
                <w:i/>
                <w:szCs w:val="22"/>
              </w:rPr>
            </m:ctrlPr>
          </m:e>
          <m:sup>
            <m:r>
              <m:rPr/>
              <w:rPr>
                <w:rFonts w:ascii="Cambria Math" w:hAnsi="Cambria Math"/>
              </w:rPr>
              <m:t>1/2</m:t>
            </m:r>
            <m:ctrlPr>
              <w:rPr>
                <w:rFonts w:ascii="Cambria Math" w:hAnsi="Cambria Math"/>
                <w:i/>
                <w:szCs w:val="22"/>
              </w:rPr>
            </m:ctrlPr>
          </m:sup>
        </m:sSup>
      </m:oMath>
      <w:r>
        <w:t xml:space="preserve">                        </w:t>
      </w:r>
      <w:r>
        <w:rPr>
          <w:rFonts w:hint="eastAsia"/>
        </w:rPr>
        <w:t xml:space="preserve">          </w:t>
      </w:r>
      <w:r>
        <w:t xml:space="preserve">                       (72)</w:t>
      </w:r>
    </w:p>
    <w:p>
      <w:pPr>
        <w:pStyle w:val="23"/>
        <w:ind w:firstLine="0" w:firstLineChars="0"/>
      </w:pPr>
      <w:r>
        <w:rPr>
          <w:rFonts w:hint="eastAsia"/>
        </w:rPr>
        <w:t>式中，</w:t>
      </w:r>
      <m:oMath>
        <m:sSubSup>
          <m:sSubSupPr>
            <m:ctrlPr>
              <w:rPr>
                <w:rFonts w:ascii="Cambria Math" w:hAnsi="Cambria Math"/>
                <w:szCs w:val="22"/>
              </w:rPr>
            </m:ctrlPr>
          </m:sSubSupPr>
          <m:e>
            <m:r>
              <m:rPr/>
              <w:rPr>
                <w:rFonts w:ascii="Cambria Math" w:hAnsi="Cambria Math"/>
              </w:rPr>
              <m:t>U</m:t>
            </m:r>
            <m:ctrlPr>
              <w:rPr>
                <w:rFonts w:ascii="Cambria Math" w:hAnsi="Cambria Math"/>
                <w:szCs w:val="22"/>
              </w:rPr>
            </m:ctrlPr>
          </m:e>
          <m:sub>
            <m:r>
              <m:rPr/>
              <w:rPr>
                <w:rFonts w:ascii="Cambria Math" w:hAnsi="Cambria Math"/>
              </w:rPr>
              <m:t>s</m:t>
            </m:r>
            <m:ctrlPr>
              <w:rPr>
                <w:rFonts w:ascii="Cambria Math" w:hAnsi="Cambria Math"/>
                <w:szCs w:val="22"/>
              </w:rPr>
            </m:ctrlPr>
          </m:sub>
          <m:sup>
            <m:r>
              <m:rPr/>
              <w:rPr>
                <w:rFonts w:ascii="Cambria Math" w:hAnsi="Cambria Math"/>
              </w:rPr>
              <m:t>'</m:t>
            </m:r>
            <m:ctrlPr>
              <w:rPr>
                <w:rFonts w:ascii="Cambria Math" w:hAnsi="Cambria Math"/>
                <w:szCs w:val="22"/>
              </w:rPr>
            </m:ctrlPr>
          </m:sup>
        </m:sSubSup>
      </m:oMath>
      <w:r>
        <w:rPr>
          <w:rFonts w:hint="eastAsia"/>
        </w:rPr>
        <w:t>由式（73）计算：</w:t>
      </w:r>
    </w:p>
    <w:p>
      <w:pPr>
        <w:pStyle w:val="23"/>
      </w:pPr>
      <m:oMath>
        <m:sSubSup>
          <m:sSubSupPr>
            <m:ctrlPr>
              <w:rPr>
                <w:rFonts w:ascii="Cambria Math" w:hAnsi="Cambria Math"/>
                <w:szCs w:val="22"/>
              </w:rPr>
            </m:ctrlPr>
          </m:sSubSupPr>
          <m:e>
            <m:r>
              <m:rPr/>
              <w:rPr>
                <w:rFonts w:ascii="Cambria Math" w:hAnsi="Cambria Math"/>
              </w:rPr>
              <m:t>U</m:t>
            </m:r>
            <m:ctrlPr>
              <w:rPr>
                <w:rFonts w:ascii="Cambria Math" w:hAnsi="Cambria Math"/>
                <w:szCs w:val="22"/>
              </w:rPr>
            </m:ctrlPr>
          </m:e>
          <m:sub>
            <m:r>
              <m:rPr/>
              <w:rPr>
                <w:rFonts w:ascii="Cambria Math" w:hAnsi="Cambria Math"/>
              </w:rPr>
              <m:t>s</m:t>
            </m:r>
            <m:ctrlPr>
              <w:rPr>
                <w:rFonts w:ascii="Cambria Math" w:hAnsi="Cambria Math"/>
                <w:szCs w:val="22"/>
              </w:rPr>
            </m:ctrlPr>
          </m:sub>
          <m:sup>
            <m:r>
              <m:rPr/>
              <w:rPr>
                <w:rFonts w:ascii="Cambria Math" w:hAnsi="Cambria Math"/>
              </w:rPr>
              <m:t>'</m:t>
            </m:r>
            <m:ctrlPr>
              <w:rPr>
                <w:rFonts w:ascii="Cambria Math" w:hAnsi="Cambria Math"/>
                <w:szCs w:val="22"/>
              </w:rPr>
            </m:ctrlPr>
          </m:sup>
        </m:sSubSup>
        <m:r>
          <m:rPr/>
          <w:rPr>
            <w:rFonts w:ascii="Cambria Math" w:hAnsi="Cambria Math"/>
          </w:rPr>
          <m:t>=k</m:t>
        </m:r>
        <m:sSubSup>
          <m:sSubSupPr>
            <m:ctrlPr>
              <w:rPr>
                <w:rFonts w:ascii="Cambria Math" w:hAnsi="Cambria Math"/>
                <w:i/>
                <w:szCs w:val="22"/>
              </w:rPr>
            </m:ctrlPr>
          </m:sSubSupPr>
          <m:e>
            <m:r>
              <m:rPr/>
              <w:rPr>
                <w:rFonts w:ascii="Cambria Math" w:hAnsi="Cambria Math"/>
              </w:rPr>
              <m:t>σ</m:t>
            </m:r>
            <m:ctrlPr>
              <w:rPr>
                <w:rFonts w:ascii="Cambria Math" w:hAnsi="Cambria Math"/>
                <w:i/>
                <w:szCs w:val="22"/>
              </w:rPr>
            </m:ctrlPr>
          </m:e>
          <m:sub>
            <m:r>
              <m:rPr/>
              <w:rPr>
                <w:rFonts w:ascii="Cambria Math" w:hAnsi="Cambria Math"/>
              </w:rPr>
              <m:t>s</m:t>
            </m:r>
            <m:ctrlPr>
              <w:rPr>
                <w:rFonts w:ascii="Cambria Math" w:hAnsi="Cambria Math"/>
                <w:i/>
                <w:szCs w:val="22"/>
              </w:rPr>
            </m:ctrlPr>
          </m:sub>
          <m:sup>
            <m:r>
              <m:rPr/>
              <w:rPr>
                <w:rFonts w:ascii="Cambria Math" w:hAnsi="Cambria Math"/>
              </w:rPr>
              <m:t>'</m:t>
            </m:r>
            <m:ctrlPr>
              <w:rPr>
                <w:rFonts w:ascii="Cambria Math" w:hAnsi="Cambria Math"/>
                <w:i/>
                <w:szCs w:val="22"/>
              </w:rPr>
            </m:ctrlPr>
          </m:sup>
        </m:sSubSup>
      </m:oMath>
      <w:r>
        <w:t xml:space="preserve">                                        </w:t>
      </w:r>
      <w:r>
        <w:rPr>
          <w:rFonts w:hint="eastAsia"/>
        </w:rPr>
        <w:t xml:space="preserve">          </w:t>
      </w:r>
      <w:r>
        <w:t xml:space="preserve">                     (73)</w:t>
      </w:r>
    </w:p>
    <w:p>
      <w:pPr>
        <w:pStyle w:val="23"/>
        <w:ind w:firstLine="0" w:firstLineChars="0"/>
      </w:pPr>
      <w:r>
        <w:rPr>
          <w:rFonts w:hint="eastAsia"/>
        </w:rPr>
        <w:t>式中，</w:t>
      </w:r>
      <m:oMath>
        <m:sSubSup>
          <m:sSubSupPr>
            <m:ctrlPr>
              <w:rPr>
                <w:rFonts w:ascii="Cambria Math" w:hAnsi="Cambria Math"/>
                <w:szCs w:val="22"/>
              </w:rPr>
            </m:ctrlPr>
          </m:sSubSupPr>
          <m:e>
            <m:r>
              <m:rPr/>
              <w:rPr>
                <w:rFonts w:ascii="Cambria Math" w:hAnsi="Cambria Math"/>
              </w:rPr>
              <m:t>σ</m:t>
            </m:r>
            <m:ctrlPr>
              <w:rPr>
                <w:rFonts w:ascii="Cambria Math" w:hAnsi="Cambria Math"/>
                <w:szCs w:val="22"/>
              </w:rPr>
            </m:ctrlPr>
          </m:e>
          <m:sub>
            <m:r>
              <m:rPr/>
              <w:rPr>
                <w:rFonts w:ascii="Cambria Math" w:hAnsi="Cambria Math"/>
              </w:rPr>
              <m:t>s</m:t>
            </m:r>
            <m:ctrlPr>
              <w:rPr>
                <w:rFonts w:ascii="Cambria Math" w:hAnsi="Cambria Math"/>
                <w:szCs w:val="22"/>
              </w:rPr>
            </m:ctrlPr>
          </m:sub>
          <m:sup>
            <m:r>
              <m:rPr/>
              <w:rPr>
                <w:rFonts w:ascii="Cambria Math" w:hAnsi="Cambria Math"/>
              </w:rPr>
              <m:t>'</m:t>
            </m:r>
            <m:ctrlPr>
              <w:rPr>
                <w:rFonts w:ascii="Cambria Math" w:hAnsi="Cambria Math"/>
                <w:szCs w:val="22"/>
              </w:rPr>
            </m:ctrlPr>
          </m:sup>
        </m:sSubSup>
      </m:oMath>
      <w:r>
        <w:t xml:space="preserve"> </w:t>
      </w:r>
      <w:r>
        <w:rPr>
          <w:rFonts w:hint="eastAsia"/>
        </w:rPr>
        <w:t>忽略</w:t>
      </w:r>
      <m:oMath>
        <m:sSub>
          <m:sSubPr>
            <m:ctrlPr>
              <w:rPr>
                <w:rFonts w:ascii="Cambria Math" w:hAnsi="Cambria Math"/>
                <w:szCs w:val="22"/>
              </w:rPr>
            </m:ctrlPr>
          </m:sSubPr>
          <m:e>
            <m:r>
              <m:rPr/>
              <w:rPr>
                <w:rFonts w:ascii="Cambria Math" w:hAnsi="Cambria Math"/>
              </w:rPr>
              <m:t>a</m:t>
            </m:r>
            <m:ctrlPr>
              <w:rPr>
                <w:rFonts w:ascii="Cambria Math" w:hAnsi="Cambria Math"/>
                <w:szCs w:val="22"/>
              </w:rPr>
            </m:ctrlPr>
          </m:e>
          <m:sub>
            <m:r>
              <m:rPr/>
              <w:rPr>
                <w:rFonts w:ascii="Cambria Math" w:hAnsi="Cambria Math"/>
              </w:rPr>
              <m:t>d</m:t>
            </m:r>
            <m:ctrlPr>
              <w:rPr>
                <w:rFonts w:ascii="Cambria Math" w:hAnsi="Cambria Math"/>
                <w:szCs w:val="22"/>
              </w:rPr>
            </m:ctrlPr>
          </m:sub>
        </m:sSub>
      </m:oMath>
      <w:r>
        <w:rPr>
          <w:rFonts w:hint="eastAsia"/>
        </w:rPr>
        <w:t>后的标准偏差。</w:t>
      </w:r>
    </w:p>
    <w:p>
      <w:pPr>
        <w:pStyle w:val="23"/>
      </w:pPr>
      <w:r>
        <w:rPr>
          <w:rFonts w:hint="eastAsia"/>
        </w:rPr>
        <w:t>当然，必要的是所有贡献都已计算到相同的置信水平，在大多数情况下，这将是</w:t>
      </w:r>
      <w:r>
        <w:t>95%</w:t>
      </w:r>
      <w:r>
        <w:rPr>
          <w:rFonts w:hint="eastAsia"/>
        </w:rPr>
        <w:t>。</w:t>
      </w:r>
    </w:p>
    <w:p>
      <w:pPr>
        <w:pStyle w:val="46"/>
        <w:spacing w:before="156" w:after="156"/>
      </w:pPr>
      <w:r>
        <w:rPr>
          <w:rFonts w:hint="eastAsia"/>
        </w:rPr>
        <w:t>结果报告</w:t>
      </w:r>
    </w:p>
    <w:p>
      <w:pPr>
        <w:pStyle w:val="113"/>
      </w:pPr>
      <w:r>
        <w:rPr>
          <w:rFonts w:hint="eastAsia"/>
        </w:rPr>
        <w:t>一旦计算出总体不确定度，就可以将正在考虑的测量结果的最终修正值(表示为均值</w:t>
      </w:r>
      <w:r>
        <w:rPr/>
        <w:sym w:font="Symbol" w:char="0060"/>
      </w:r>
      <w:r>
        <w:rPr>
          <w:i/>
        </w:rPr>
        <w:t>x</w:t>
      </w:r>
      <w:r>
        <w:rPr>
          <w:rFonts w:hint="eastAsia"/>
        </w:rPr>
        <w:t>)与总体不确定度一起报告，见式（74）：</w:t>
      </w:r>
    </w:p>
    <w:p>
      <w:pPr>
        <w:pStyle w:val="23"/>
        <w:rPr>
          <w:rFonts w:ascii="Times New Roman"/>
        </w:rPr>
      </w:pPr>
      <m:oMath>
        <m:r>
          <m:rPr>
            <m:sty m:val="p"/>
          </m:rPr>
          <w:rPr>
            <w:rFonts w:ascii="Cambria Math" w:hAnsi="Cambria Math"/>
          </w:rPr>
          <w:sym w:font="Symbol" w:char="0060"/>
        </m:r>
        <m:r>
          <m:rPr/>
          <w:rPr>
            <w:rFonts w:ascii="Cambria Math" w:hAnsi="Cambria Math"/>
          </w:rPr>
          <m:t>x</m:t>
        </m:r>
        <m:r>
          <m:rPr>
            <m:sty m:val="p"/>
          </m:rPr>
          <w:rPr>
            <w:rFonts w:ascii="Cambria Math" w:hAnsi="Cambria Math"/>
          </w:rPr>
          <m:t xml:space="preserve"> ±</m:t>
        </m:r>
        <m:r>
          <m:rPr/>
          <w:rPr>
            <w:rFonts w:ascii="Cambria Math" w:hAnsi="Cambria Math"/>
          </w:rPr>
          <m:t>U</m:t>
        </m:r>
      </m:oMath>
      <w:r>
        <w:rPr>
          <w:rFonts w:ascii="Times New Roman"/>
        </w:rPr>
        <w:t xml:space="preserve">                                                                    （</w:t>
      </w:r>
      <w:r>
        <w:rPr>
          <w:rFonts w:hint="eastAsia" w:ascii="Times New Roman"/>
        </w:rPr>
        <w:t>74）</w:t>
      </w:r>
    </w:p>
    <w:p>
      <w:pPr>
        <w:pStyle w:val="23"/>
        <w:rPr>
          <w:rFonts w:ascii="Times New Roman"/>
        </w:rPr>
      </w:pPr>
      <w:r>
        <w:rPr>
          <w:rFonts w:hint="eastAsia" w:ascii="Times New Roman"/>
        </w:rPr>
        <w:t>除非在随附的条款中说明置信水平，如“本不确定度的估计置信概率不低于</w:t>
      </w:r>
      <w:r>
        <w:rPr>
          <w:rFonts w:ascii="Times New Roman"/>
        </w:rPr>
        <w:t>95%</w:t>
      </w:r>
      <w:r>
        <w:rPr>
          <w:rFonts w:hint="eastAsia" w:ascii="Times New Roman"/>
        </w:rPr>
        <w:t>”，否则这样的陈述的价值是有限的。</w:t>
      </w:r>
    </w:p>
    <w:p>
      <w:pPr>
        <w:pStyle w:val="113"/>
      </w:pPr>
      <w:r>
        <w:rPr>
          <w:rFonts w:hint="eastAsia"/>
        </w:rPr>
        <w:t>在实践中，不确定度最好有一个</w:t>
      </w:r>
      <w:r>
        <w:rPr>
          <w:rFonts w:hint="eastAsia"/>
          <w:color w:val="FF0000"/>
        </w:rPr>
        <w:t>分辨率resolution</w:t>
      </w:r>
      <w:r>
        <w:rPr>
          <w:rFonts w:hint="eastAsia"/>
        </w:rPr>
        <w:t>，这在正进行的试验情况下是用意义的。将不确定度引用到两位以上有效数字通常是合理的。</w:t>
      </w:r>
    </w:p>
    <w:p>
      <w:pPr>
        <w:pStyle w:val="23"/>
      </w:pPr>
      <w:r>
        <w:rPr>
          <w:rFonts w:hint="eastAsia"/>
        </w:rPr>
        <w:t>不确定度的设定值中有效数字的位数宜反映出对特定试验测量所能观察到的最小分辨率。</w:t>
      </w:r>
    </w:p>
    <w:p>
      <w:pPr>
        <w:pStyle w:val="42"/>
      </w:pPr>
      <w:bookmarkStart w:id="244" w:name="_Toc124173954"/>
      <w:r>
        <w:rPr>
          <w:rFonts w:hint="eastAsia"/>
        </w:rPr>
        <w:t>在橡胶试验中的应用</w:t>
      </w:r>
      <w:bookmarkEnd w:id="244"/>
    </w:p>
    <w:p>
      <w:pPr>
        <w:pStyle w:val="23"/>
      </w:pPr>
      <w:r>
        <w:rPr>
          <w:rFonts w:hint="eastAsia"/>
        </w:rPr>
        <w:t>实践中，遵循以下步骤应有助于获得测量不确定度</w:t>
      </w:r>
      <w:r>
        <w:t>:</w:t>
      </w:r>
    </w:p>
    <w:p>
      <w:pPr>
        <w:pStyle w:val="59"/>
        <w:numPr>
          <w:ilvl w:val="0"/>
          <w:numId w:val="32"/>
        </w:numPr>
      </w:pPr>
      <w:r>
        <w:rPr>
          <w:rFonts w:hint="eastAsia"/>
        </w:rPr>
        <w:t>在报告结果之前，宜做好结果的全部修正。</w:t>
      </w:r>
    </w:p>
    <w:p>
      <w:pPr>
        <w:pStyle w:val="59"/>
        <w:numPr>
          <w:ilvl w:val="0"/>
          <w:numId w:val="32"/>
        </w:numPr>
      </w:pPr>
      <w:r>
        <w:rPr>
          <w:rFonts w:hint="eastAsia"/>
        </w:rPr>
        <w:t>随机不确定度</w:t>
      </w:r>
      <w:r>
        <w:rPr>
          <w:rFonts w:ascii="Times New Roman"/>
          <w:i/>
        </w:rPr>
        <w:t>U</w:t>
      </w:r>
      <w:r>
        <w:rPr>
          <w:vertAlign w:val="subscript"/>
        </w:rPr>
        <w:t>r</w:t>
      </w:r>
      <w:r>
        <w:rPr>
          <w:rFonts w:hint="eastAsia"/>
        </w:rPr>
        <w:t>宜通过使用结果的标准差得到。这能够从以前的工作中获得，但最好进行至少</w:t>
      </w:r>
      <w:r>
        <w:t>4</w:t>
      </w:r>
      <w:r>
        <w:rPr>
          <w:rFonts w:hint="eastAsia"/>
        </w:rPr>
        <w:t>次测量，然后使用公式</w:t>
      </w:r>
      <w:r>
        <w:t>(62)</w:t>
      </w:r>
      <w:r>
        <w:rPr>
          <w:rFonts w:hint="eastAsia"/>
        </w:rPr>
        <w:t>。</w:t>
      </w:r>
    </w:p>
    <w:p>
      <w:pPr>
        <w:pStyle w:val="64"/>
      </w:pPr>
      <w:r>
        <w:rPr>
          <w:rFonts w:hint="eastAsia"/>
        </w:rPr>
        <w:t>如果有</w:t>
      </w:r>
      <w:r>
        <w:t>10</w:t>
      </w:r>
      <w:r>
        <w:rPr>
          <w:rFonts w:hint="eastAsia"/>
        </w:rPr>
        <w:t>个测量结果，则由式</w:t>
      </w:r>
      <w:r>
        <w:t>(63)</w:t>
      </w:r>
      <w:r>
        <w:rPr>
          <w:rFonts w:hint="eastAsia"/>
        </w:rPr>
        <w:t>计算</w:t>
      </w:r>
      <w:r>
        <w:rPr>
          <w:i/>
        </w:rPr>
        <w:t>U</w:t>
      </w:r>
      <w:r>
        <w:rPr>
          <w:vertAlign w:val="subscript"/>
        </w:rPr>
        <w:t>r</w:t>
      </w:r>
      <w:r>
        <w:rPr>
          <w:rFonts w:hint="eastAsia"/>
        </w:rPr>
        <w:t>更为合适。</w:t>
      </w:r>
    </w:p>
    <w:p>
      <w:pPr>
        <w:pStyle w:val="59"/>
        <w:rPr>
          <w:szCs w:val="22"/>
        </w:rPr>
      </w:pPr>
      <w:r>
        <w:rPr>
          <w:rFonts w:hint="eastAsia"/>
        </w:rPr>
        <w:t>宜获得并考虑所有的系统不确定度。</w:t>
      </w:r>
    </w:p>
    <w:p>
      <w:pPr>
        <w:pStyle w:val="64"/>
      </w:pPr>
      <w:r>
        <w:t>某些不确定度，譬如校准不确定度，可从试验仪器的随行证书中查到。</w:t>
      </w:r>
    </w:p>
    <w:p>
      <w:pPr>
        <w:pStyle w:val="59"/>
      </w:pPr>
      <w:r>
        <w:rPr>
          <w:rFonts w:hint="eastAsia"/>
        </w:rPr>
        <w:t>调查以前的实验工作是否能够提供与某些系统贡献相关的信息，例如标准差。</w:t>
      </w:r>
    </w:p>
    <w:p>
      <w:pPr>
        <w:pStyle w:val="59"/>
      </w:pPr>
      <w:r>
        <w:rPr>
          <w:rFonts w:hint="eastAsia"/>
        </w:rPr>
        <w:t>如果对于某些系统不确定度</w:t>
      </w:r>
      <w:r>
        <w:t>(</w:t>
      </w:r>
      <w:r>
        <w:rPr>
          <w:rFonts w:hint="eastAsia"/>
        </w:rPr>
        <w:t>即矩形分布，与之相对的随机不确定度的是高斯分布或正态分布</w:t>
      </w:r>
      <w:r>
        <w:t>)</w:t>
      </w:r>
      <w:r>
        <w:rPr>
          <w:rFonts w:hint="eastAsia"/>
        </w:rPr>
        <w:t>，只有实际极限值可用，则使用式</w:t>
      </w:r>
      <w:r>
        <w:t>(65)</w:t>
      </w:r>
      <w:r>
        <w:rPr>
          <w:rFonts w:hint="eastAsia"/>
        </w:rPr>
        <w:t>计算标准差。</w:t>
      </w:r>
    </w:p>
    <w:p>
      <w:pPr>
        <w:pStyle w:val="59"/>
      </w:pPr>
      <w:r>
        <w:rPr>
          <w:rFonts w:hint="eastAsia"/>
        </w:rPr>
        <w:t>整体系统不确定度</w:t>
      </w:r>
      <w:r>
        <w:rPr>
          <w:rFonts w:ascii="Times New Roman"/>
          <w:i/>
        </w:rPr>
        <w:t>U</w:t>
      </w:r>
      <w:r>
        <w:rPr>
          <w:rFonts w:ascii="Times New Roman"/>
          <w:vertAlign w:val="subscript"/>
        </w:rPr>
        <w:t>s</w:t>
      </w:r>
      <w:r>
        <w:rPr>
          <w:rFonts w:hint="eastAsia"/>
        </w:rPr>
        <w:t>由式</w:t>
      </w:r>
      <w:r>
        <w:t>(68)</w:t>
      </w:r>
      <w:r>
        <w:rPr>
          <w:rFonts w:hint="eastAsia"/>
        </w:rPr>
        <w:t>或</w:t>
      </w:r>
      <w:r>
        <w:t>(69)</w:t>
      </w:r>
      <w:r>
        <w:rPr>
          <w:rFonts w:hint="eastAsia"/>
        </w:rPr>
        <w:t>计算。</w:t>
      </w:r>
    </w:p>
    <w:p>
      <w:pPr>
        <w:pStyle w:val="64"/>
      </w:pPr>
      <w:r>
        <w:rPr>
          <w:rFonts w:hint="eastAsia"/>
        </w:rPr>
        <w:t>如果在估计实际极限值时存在显性贡献，则用公式</w:t>
      </w:r>
      <w:r>
        <w:t>(70)</w:t>
      </w:r>
      <w:r>
        <w:rPr>
          <w:rFonts w:hint="eastAsia"/>
        </w:rPr>
        <w:t>计算</w:t>
      </w:r>
      <w:r>
        <w:rPr>
          <w:rFonts w:ascii="Times New Roman"/>
          <w:i/>
        </w:rPr>
        <w:t>U</w:t>
      </w:r>
      <w:r>
        <w:rPr>
          <w:vertAlign w:val="subscript"/>
        </w:rPr>
        <w:t>s</w:t>
      </w:r>
      <w:r>
        <w:t>(</w:t>
      </w:r>
      <w:r>
        <w:rPr>
          <w:rFonts w:hint="eastAsia"/>
        </w:rPr>
        <w:t>考虑到</w:t>
      </w:r>
      <w:r>
        <w:t>12.2.3</w:t>
      </w:r>
      <w:r>
        <w:rPr>
          <w:rFonts w:hint="eastAsia"/>
        </w:rPr>
        <w:t>末的要求时</w:t>
      </w:r>
      <w:r>
        <w:t>)</w:t>
      </w:r>
      <w:r>
        <w:rPr>
          <w:rFonts w:hint="eastAsia"/>
        </w:rPr>
        <w:t>。</w:t>
      </w:r>
    </w:p>
    <w:p>
      <w:pPr>
        <w:pStyle w:val="59"/>
        <w:rPr>
          <w:szCs w:val="22"/>
        </w:rPr>
      </w:pPr>
      <w:r>
        <w:rPr>
          <w:rFonts w:hint="eastAsia"/>
        </w:rPr>
        <w:t>总不确定度由式</w:t>
      </w:r>
      <w:r>
        <w:t>(71)</w:t>
      </w:r>
      <w:r>
        <w:rPr>
          <w:rFonts w:hint="eastAsia"/>
        </w:rPr>
        <w:t>或</w:t>
      </w:r>
      <w:r>
        <w:t>(72)</w:t>
      </w:r>
      <w:r>
        <w:rPr>
          <w:rFonts w:hint="eastAsia"/>
        </w:rPr>
        <w:t>计算，结果以式</w:t>
      </w:r>
      <w:r>
        <w:t>(74)</w:t>
      </w:r>
      <w:r>
        <w:rPr>
          <w:rFonts w:hint="eastAsia"/>
        </w:rPr>
        <w:t>表示。</w:t>
      </w:r>
    </w:p>
    <w:p>
      <w:pPr>
        <w:pStyle w:val="45"/>
      </w:pPr>
      <w:bookmarkStart w:id="245" w:name="_Toc124173955"/>
      <w:r>
        <w:rPr>
          <w:rFonts w:hint="eastAsia"/>
        </w:rPr>
        <w:t>抽样</w:t>
      </w:r>
      <w:bookmarkEnd w:id="245"/>
    </w:p>
    <w:p>
      <w:pPr>
        <w:pStyle w:val="42"/>
      </w:pPr>
      <w:bookmarkStart w:id="246" w:name="_Toc124173956"/>
      <w:r>
        <w:rPr>
          <w:rFonts w:hint="eastAsia"/>
        </w:rPr>
        <w:t>原理</w:t>
      </w:r>
      <w:bookmarkEnd w:id="246"/>
    </w:p>
    <w:p>
      <w:pPr>
        <w:pStyle w:val="63"/>
      </w:pPr>
      <w:r>
        <w:rPr>
          <w:rFonts w:hint="eastAsia"/>
        </w:rPr>
        <w:t>当大量的某一个产品从生产商交付到客户时，期望每个产品的每个</w:t>
      </w:r>
      <w:r>
        <w:rPr>
          <w:rFonts w:hint="eastAsia"/>
          <w:b/>
        </w:rPr>
        <w:t>检验项</w:t>
      </w:r>
      <w:r>
        <w:rPr>
          <w:rFonts w:hint="eastAsia"/>
        </w:rPr>
        <w:t>每次都100%无误是不现实的。因此，需要对输出(或输入)的质量进行某种形式的检查。然而，几乎不可能，甚至也不可取，为了确定是否符合生产该产品所依据的规范，而对每一件都进行全项检查。在许多情况下，检查会导致产品的损坏，即使不是这样，检查的费用也得有人来承担。最终，这将是用户。</w:t>
      </w:r>
    </w:p>
    <w:p>
      <w:pPr>
        <w:pStyle w:val="63"/>
      </w:pPr>
      <w:r>
        <w:rPr>
          <w:rFonts w:hint="eastAsia"/>
        </w:rPr>
        <w:t>因此，有必要从正在供应的一批产品中选取一个有代表性的样本，并对该样本进行检验。如果样本符合检验程序，该批次将被接收;如果样本不符合检验程序，该批次将被拒收。</w:t>
      </w:r>
    </w:p>
    <w:p>
      <w:pPr>
        <w:pStyle w:val="23"/>
      </w:pPr>
      <w:r>
        <w:rPr>
          <w:rFonts w:hint="eastAsia"/>
        </w:rPr>
        <w:t>即使样本真正代表了抽样批，其性能仍然只是该批次本身性能的一个估计值，而且罕见等同。因此，将不可避免地存在这样一种风险，即许多本应被拒收的可能被接收，反之亦然。用户能够容忍的不合格品的数量和与错误抽样检验结果相关的风险程度宜由生产者和用户商定。用统计检验不能客观地确定这些因素。</w:t>
      </w:r>
    </w:p>
    <w:p>
      <w:pPr>
        <w:pStyle w:val="63"/>
      </w:pPr>
      <w:r>
        <w:rPr>
          <w:rFonts w:hint="eastAsia"/>
        </w:rPr>
        <w:t>但是，根据13.1.2中描述的原则，可以客观地确定抽取样本的大小与批量的关系，以及在样本中发现的将导致该批被接收或被拒收的不合格品的数量，这就是抽样理论的主题。</w:t>
      </w:r>
    </w:p>
    <w:p>
      <w:pPr>
        <w:pStyle w:val="42"/>
      </w:pPr>
      <w:bookmarkStart w:id="247" w:name="_Toc124173957"/>
      <w:r>
        <w:rPr>
          <w:rFonts w:hint="eastAsia"/>
        </w:rPr>
        <w:t>方法</w:t>
      </w:r>
      <w:bookmarkEnd w:id="247"/>
    </w:p>
    <w:p>
      <w:pPr>
        <w:pStyle w:val="46"/>
        <w:spacing w:before="156" w:after="156"/>
      </w:pPr>
      <w:r>
        <w:rPr>
          <w:rFonts w:hint="eastAsia"/>
        </w:rPr>
        <w:t>原理</w:t>
      </w:r>
    </w:p>
    <w:p>
      <w:pPr>
        <w:pStyle w:val="113"/>
      </w:pPr>
      <w:r>
        <w:rPr>
          <w:rFonts w:hint="eastAsia"/>
        </w:rPr>
        <w:t>抽样是一个大命题，其他国际标准也很好地讨论了这个题目。这里只给出了一个大纲，有关详细信息，感兴趣的用户请参考计数抽样标准ISO 2859的各个部分和计量抽样标准ISO 3951的各个部分。</w:t>
      </w:r>
    </w:p>
    <w:p>
      <w:pPr>
        <w:pStyle w:val="113"/>
      </w:pPr>
      <w:r>
        <w:rPr>
          <w:rFonts w:hint="eastAsia"/>
        </w:rPr>
        <w:t>在计数抽样中，(在试验或一系列试验中定义的)不符合项的数量决定批的可接收与否。</w:t>
      </w:r>
    </w:p>
    <w:p>
      <w:pPr>
        <w:pStyle w:val="113"/>
      </w:pPr>
      <w:r>
        <w:rPr>
          <w:rFonts w:hint="eastAsia"/>
        </w:rPr>
        <w:t>在计量抽样中，是一个批次与产品指标相关的分布测量位置和变异性的估计值决定批次的可接收性。</w:t>
      </w:r>
    </w:p>
    <w:p>
      <w:pPr>
        <w:pStyle w:val="113"/>
        <w:numPr>
          <w:ilvl w:val="0"/>
          <w:numId w:val="0"/>
        </w:numPr>
      </w:pPr>
    </w:p>
    <w:p>
      <w:pPr>
        <w:pStyle w:val="46"/>
        <w:spacing w:before="156" w:after="156"/>
      </w:pPr>
      <w:r>
        <w:rPr>
          <w:rFonts w:hint="eastAsia"/>
        </w:rPr>
        <w:t>接收质量限和极限质量</w:t>
      </w:r>
    </w:p>
    <w:p>
      <w:pPr>
        <w:pStyle w:val="113"/>
      </w:pPr>
      <w:r>
        <w:rPr>
          <w:rFonts w:hint="eastAsia"/>
        </w:rPr>
        <w:t>对于生产者和用户来说，最有意义的统计数据是接收质量限，即AQL(参见ISO 2859-1)。这是一种指标化的方法，用于设定样本中不合格品的限值。达到此</w:t>
      </w:r>
      <w:r>
        <w:t>限值</w:t>
      </w:r>
      <w:r>
        <w:rPr>
          <w:rFonts w:hint="eastAsia"/>
        </w:rPr>
        <w:t>，批次被接收或被拒收。但是，不宜由此推断出期望不合格品占多少比例。毫无疑问，人们总是希望不合格品的数量为零。而在实践中，一定比例的次品是可以容忍的。宜现实地设置AQL，以反映用户过程需求的要求和生产者过程能够达到的质量。(关于设置AQL的指南请参见ISO/TR 8550。)</w:t>
      </w:r>
    </w:p>
    <w:p>
      <w:pPr>
        <w:pStyle w:val="113"/>
      </w:pPr>
      <w:r>
        <w:rPr>
          <w:rFonts w:hint="eastAsia"/>
        </w:rPr>
        <w:t>AQL适用于多批次供货的情况。当一个批次产品单独考虑时，极限质量(即LQ)是需要协商一致的统计量(见ISO 2859-2)。LQ是以不合格品百分数或每百件产品的不合格</w:t>
      </w:r>
      <w:r>
        <w:rPr>
          <w:rFonts w:hint="eastAsia"/>
          <w:highlight w:val="yellow"/>
        </w:rPr>
        <w:t>项</w:t>
      </w:r>
      <w:r>
        <w:rPr>
          <w:rFonts w:hint="eastAsia"/>
        </w:rPr>
        <w:t>数表示的质量水平。LQ的值实际上就是不可接收的限值。在实践中，如果批不想被经常拒收，样本中不合格项的实际数量最好要比LQ少得多(一般少于四分之一)。</w:t>
      </w:r>
    </w:p>
    <w:p>
      <w:pPr>
        <w:pStyle w:val="46"/>
        <w:spacing w:before="156" w:after="156"/>
      </w:pPr>
      <w:r>
        <w:rPr>
          <w:rFonts w:hint="eastAsia"/>
        </w:rPr>
        <w:t>不合格的判定</w:t>
      </w:r>
    </w:p>
    <w:p>
      <w:pPr>
        <w:pStyle w:val="113"/>
      </w:pPr>
      <w:r>
        <w:rPr>
          <w:rFonts w:hint="eastAsia"/>
        </w:rPr>
        <w:t>当在检验过程中仅进行一次试验时，每百个产品的不合格百分数和不合格</w:t>
      </w:r>
      <w:r>
        <w:rPr>
          <w:rFonts w:hint="eastAsia"/>
          <w:highlight w:val="yellow"/>
        </w:rPr>
        <w:t>项</w:t>
      </w:r>
      <w:r>
        <w:rPr>
          <w:rFonts w:hint="eastAsia"/>
        </w:rPr>
        <w:t>数在数字上是相同的。但当涉及到多个试验时，必须决定使用哪一个做判据。</w:t>
      </w:r>
    </w:p>
    <w:p>
      <w:pPr>
        <w:pStyle w:val="113"/>
      </w:pPr>
      <w:r>
        <w:rPr>
          <w:rFonts w:hint="eastAsia"/>
        </w:rPr>
        <w:t>例如，考虑按ISO 4633制造的50个管道密封圈的样本，这些密封圈需要进行的检验：</w:t>
      </w:r>
    </w:p>
    <w:p>
      <w:pPr>
        <w:pStyle w:val="59"/>
        <w:numPr>
          <w:ilvl w:val="0"/>
          <w:numId w:val="33"/>
        </w:numPr>
        <w:rPr>
          <w:rFonts w:ascii="Times New Roman"/>
        </w:rPr>
      </w:pPr>
      <w:r>
        <w:rPr>
          <w:rFonts w:ascii="Times New Roman"/>
        </w:rPr>
        <w:t>外径（</w:t>
      </w:r>
      <w:r>
        <w:rPr>
          <w:rFonts w:ascii="Times New Roman"/>
          <w:i/>
        </w:rPr>
        <w:t>d</w:t>
      </w:r>
      <w:r>
        <w:rPr>
          <w:rFonts w:ascii="Times New Roman"/>
          <w:vertAlign w:val="subscript"/>
        </w:rPr>
        <w:t>0</w:t>
      </w:r>
      <w:r>
        <w:rPr>
          <w:rFonts w:ascii="Times New Roman"/>
        </w:rPr>
        <w:t xml:space="preserve">）； </w:t>
      </w:r>
    </w:p>
    <w:p>
      <w:pPr>
        <w:pStyle w:val="59"/>
        <w:numPr>
          <w:ilvl w:val="0"/>
          <w:numId w:val="33"/>
        </w:numPr>
        <w:rPr>
          <w:rFonts w:ascii="Times New Roman"/>
        </w:rPr>
      </w:pPr>
      <w:r>
        <w:rPr>
          <w:rFonts w:ascii="Times New Roman"/>
        </w:rPr>
        <w:t>芯线直径(</w:t>
      </w:r>
      <w:r>
        <w:rPr>
          <w:rFonts w:ascii="Times New Roman"/>
          <w:i/>
        </w:rPr>
        <w:t>d</w:t>
      </w:r>
      <w:r>
        <w:rPr>
          <w:rFonts w:ascii="Times New Roman"/>
          <w:vertAlign w:val="subscript"/>
        </w:rPr>
        <w:t>c</w:t>
      </w:r>
      <w:r>
        <w:rPr>
          <w:rFonts w:ascii="Times New Roman"/>
        </w:rPr>
        <w:t>)；</w:t>
      </w:r>
    </w:p>
    <w:p>
      <w:pPr>
        <w:pStyle w:val="59"/>
        <w:numPr>
          <w:ilvl w:val="0"/>
          <w:numId w:val="33"/>
        </w:numPr>
        <w:rPr>
          <w:rFonts w:ascii="Times New Roman"/>
        </w:rPr>
      </w:pPr>
      <w:r>
        <w:rPr>
          <w:rFonts w:ascii="Times New Roman"/>
        </w:rPr>
        <w:t>硬度（</w:t>
      </w:r>
      <w:r>
        <w:rPr>
          <w:rFonts w:ascii="Times New Roman"/>
          <w:i/>
        </w:rPr>
        <w:t>H</w:t>
      </w:r>
      <w:r>
        <w:rPr>
          <w:rFonts w:ascii="Times New Roman"/>
        </w:rPr>
        <w:t>）；</w:t>
      </w:r>
    </w:p>
    <w:p>
      <w:pPr>
        <w:pStyle w:val="59"/>
        <w:numPr>
          <w:ilvl w:val="0"/>
          <w:numId w:val="33"/>
        </w:numPr>
        <w:rPr>
          <w:rFonts w:ascii="Times New Roman"/>
        </w:rPr>
      </w:pPr>
      <w:r>
        <w:rPr>
          <w:rFonts w:ascii="Times New Roman"/>
        </w:rPr>
        <w:t>拉伸强度（TS）；</w:t>
      </w:r>
    </w:p>
    <w:p>
      <w:pPr>
        <w:pStyle w:val="59"/>
        <w:numPr>
          <w:ilvl w:val="0"/>
          <w:numId w:val="33"/>
        </w:numPr>
        <w:rPr>
          <w:rFonts w:ascii="Times New Roman"/>
        </w:rPr>
      </w:pPr>
      <w:r>
        <w:rPr>
          <w:rFonts w:ascii="Times New Roman"/>
        </w:rPr>
        <w:t>拉断伸长率（</w:t>
      </w:r>
      <w:r>
        <w:rPr>
          <w:rFonts w:ascii="Times New Roman"/>
          <w:i/>
        </w:rPr>
        <w:t>E</w:t>
      </w:r>
      <w:r>
        <w:rPr>
          <w:rFonts w:ascii="Times New Roman"/>
          <w:vertAlign w:val="subscript"/>
        </w:rPr>
        <w:t>b</w:t>
      </w:r>
      <w:r>
        <w:rPr>
          <w:rFonts w:ascii="Times New Roman"/>
        </w:rPr>
        <w:t>）。</w:t>
      </w:r>
    </w:p>
    <w:p>
      <w:pPr>
        <w:pStyle w:val="59"/>
        <w:numPr>
          <w:ilvl w:val="0"/>
          <w:numId w:val="0"/>
        </w:numPr>
        <w:ind w:left="839"/>
      </w:pPr>
    </w:p>
    <w:p>
      <w:pPr>
        <w:pStyle w:val="113"/>
      </w:pPr>
      <w:r>
        <w:rPr>
          <w:rFonts w:hint="eastAsia"/>
        </w:rPr>
        <w:t>检验结果：</w:t>
      </w:r>
    </w:p>
    <w:p>
      <w:pPr>
        <w:pStyle w:val="59"/>
        <w:numPr>
          <w:ilvl w:val="0"/>
          <w:numId w:val="34"/>
        </w:numPr>
        <w:rPr>
          <w:rFonts w:ascii="Times New Roman"/>
        </w:rPr>
      </w:pPr>
      <w:r>
        <w:rPr>
          <w:rFonts w:ascii="Times New Roman"/>
        </w:rPr>
        <w:t>45个管道密封圈符合所有这些要求；</w:t>
      </w:r>
    </w:p>
    <w:p>
      <w:pPr>
        <w:pStyle w:val="59"/>
        <w:rPr>
          <w:rFonts w:ascii="Times New Roman"/>
        </w:rPr>
      </w:pPr>
      <w:r>
        <w:rPr>
          <w:rFonts w:ascii="Times New Roman"/>
        </w:rPr>
        <w:t>三个</w:t>
      </w:r>
      <w:r>
        <w:rPr>
          <w:rFonts w:ascii="Times New Roman"/>
          <w:i/>
        </w:rPr>
        <w:t>d</w:t>
      </w:r>
      <w:r>
        <w:rPr>
          <w:rFonts w:ascii="Times New Roman"/>
          <w:vertAlign w:val="subscript"/>
        </w:rPr>
        <w:t>0</w:t>
      </w:r>
      <w:r>
        <w:rPr>
          <w:rFonts w:ascii="Times New Roman"/>
        </w:rPr>
        <w:t>不符合；</w:t>
      </w:r>
    </w:p>
    <w:p>
      <w:pPr>
        <w:pStyle w:val="59"/>
        <w:rPr>
          <w:rFonts w:ascii="Times New Roman"/>
        </w:rPr>
      </w:pPr>
      <w:r>
        <w:rPr>
          <w:rFonts w:ascii="Times New Roman"/>
        </w:rPr>
        <w:t>一个</w:t>
      </w:r>
      <w:r>
        <w:rPr>
          <w:rFonts w:ascii="Times New Roman"/>
          <w:i/>
        </w:rPr>
        <w:t>d</w:t>
      </w:r>
      <w:r>
        <w:rPr>
          <w:rFonts w:ascii="Times New Roman"/>
          <w:vertAlign w:val="subscript"/>
        </w:rPr>
        <w:t>0</w:t>
      </w:r>
      <w:r>
        <w:rPr>
          <w:rFonts w:ascii="Times New Roman"/>
        </w:rPr>
        <w:t>和</w:t>
      </w:r>
      <w:r>
        <w:rPr>
          <w:rFonts w:ascii="Times New Roman"/>
          <w:i/>
        </w:rPr>
        <w:t>H</w:t>
      </w:r>
      <w:r>
        <w:rPr>
          <w:rFonts w:ascii="Times New Roman"/>
        </w:rPr>
        <w:t>不符合；</w:t>
      </w:r>
    </w:p>
    <w:p>
      <w:pPr>
        <w:pStyle w:val="59"/>
        <w:rPr>
          <w:rFonts w:ascii="Times New Roman"/>
        </w:rPr>
      </w:pPr>
      <w:r>
        <w:rPr>
          <w:rFonts w:ascii="Times New Roman"/>
        </w:rPr>
        <w:t>一个</w:t>
      </w:r>
      <w:r>
        <w:rPr>
          <w:rFonts w:ascii="Times New Roman"/>
          <w:i/>
        </w:rPr>
        <w:t>d</w:t>
      </w:r>
      <w:r>
        <w:rPr>
          <w:rFonts w:ascii="Times New Roman"/>
          <w:vertAlign w:val="subscript"/>
        </w:rPr>
        <w:t>0</w:t>
      </w:r>
      <w:r>
        <w:rPr>
          <w:rFonts w:ascii="Times New Roman"/>
        </w:rPr>
        <w:t>、</w:t>
      </w:r>
      <w:r>
        <w:rPr>
          <w:rFonts w:ascii="Times New Roman"/>
          <w:i/>
        </w:rPr>
        <w:t>H</w:t>
      </w:r>
      <w:r>
        <w:rPr>
          <w:rFonts w:ascii="Times New Roman"/>
        </w:rPr>
        <w:t>、TS和</w:t>
      </w:r>
      <w:r>
        <w:rPr>
          <w:rFonts w:ascii="Times New Roman"/>
          <w:i/>
        </w:rPr>
        <w:t>E</w:t>
      </w:r>
      <w:r>
        <w:rPr>
          <w:rFonts w:ascii="Times New Roman"/>
          <w:vertAlign w:val="subscript"/>
        </w:rPr>
        <w:t>b</w:t>
      </w:r>
      <w:r>
        <w:rPr>
          <w:rFonts w:ascii="Times New Roman"/>
        </w:rPr>
        <w:t>不符合。</w:t>
      </w:r>
    </w:p>
    <w:p>
      <w:pPr>
        <w:pStyle w:val="23"/>
      </w:pPr>
      <w:r>
        <w:rPr>
          <w:rFonts w:hint="eastAsia"/>
        </w:rPr>
        <w:t>因此，不合格密封圈数是50中有5个，即10%不合格。</w:t>
      </w:r>
    </w:p>
    <w:p>
      <w:pPr>
        <w:pStyle w:val="113"/>
      </w:pPr>
      <w:r>
        <w:rPr>
          <w:rFonts w:hint="eastAsia"/>
        </w:rPr>
        <w:t>从13.2.3.3给出的结果，</w:t>
      </w:r>
    </w:p>
    <w:p>
      <w:pPr>
        <w:pStyle w:val="23"/>
      </w:pPr>
      <w:r>
        <w:rPr>
          <w:rFonts w:ascii="Times New Roman"/>
          <w:i/>
        </w:rPr>
        <w:t>N</w:t>
      </w:r>
      <w:r>
        <w:rPr>
          <w:rFonts w:ascii="Times New Roman"/>
          <w:vertAlign w:val="subscript"/>
        </w:rPr>
        <w:t>c</w:t>
      </w:r>
      <w:r>
        <w:rPr>
          <w:rFonts w:hint="eastAsia"/>
        </w:rPr>
        <w:t>=(3×1)+（1×2）+(1×4)=9</w:t>
      </w:r>
    </w:p>
    <w:p>
      <w:pPr>
        <w:pStyle w:val="23"/>
        <w:ind w:firstLine="0" w:firstLineChars="0"/>
        <w:rPr>
          <w:rFonts w:ascii="Times New Roman"/>
        </w:rPr>
      </w:pPr>
      <w:r>
        <w:rPr>
          <w:rFonts w:ascii="Times New Roman"/>
        </w:rPr>
        <w:t>其中，</w:t>
      </w:r>
      <w:r>
        <w:rPr>
          <w:rFonts w:ascii="Times New Roman"/>
          <w:i/>
        </w:rPr>
        <w:t>N</w:t>
      </w:r>
      <w:r>
        <w:rPr>
          <w:rFonts w:ascii="Times New Roman"/>
          <w:vertAlign w:val="subscript"/>
        </w:rPr>
        <w:t>c</w:t>
      </w:r>
      <w:r>
        <w:rPr>
          <w:rFonts w:ascii="Times New Roman"/>
        </w:rPr>
        <w:t>是50个产品的样本中不符合项的总数。</w:t>
      </w:r>
    </w:p>
    <w:p>
      <w:pPr>
        <w:pStyle w:val="23"/>
      </w:pPr>
      <w:r>
        <w:rPr>
          <w:rFonts w:hint="eastAsia"/>
        </w:rPr>
        <w:t>因此，每100个产品有18个不符合项。</w:t>
      </w:r>
    </w:p>
    <w:p>
      <w:pPr>
        <w:pStyle w:val="113"/>
      </w:pPr>
      <w:r>
        <w:rPr>
          <w:rFonts w:hint="eastAsia"/>
        </w:rPr>
        <w:t>在某些过程中，任何一个不符合项都可能导致产品不适合。然后，同一产品中的其他不符合项就变得无关紧要了。在其他情况下，更合适的做法是统计遇到的不符合规范的总次数，而不考虑在哪个产品上发现的。</w:t>
      </w:r>
    </w:p>
    <w:p>
      <w:pPr>
        <w:pStyle w:val="113"/>
      </w:pPr>
      <w:r>
        <w:rPr>
          <w:rFonts w:hint="eastAsia"/>
        </w:rPr>
        <w:t>到目前为止，关于抽样的讨论中都隐含着每个不符合都是同等重要的，然而在实践中，有些不符合可能比其他的更严重。关于这种情况的讨论超出了本文件的范围，请参阅ISO 2859。因此，再次强调，在检验之前，生产者和消费者就他们的判据达成一致是很重要的。</w:t>
      </w:r>
    </w:p>
    <w:p>
      <w:pPr>
        <w:pStyle w:val="46"/>
        <w:spacing w:before="156" w:after="156"/>
      </w:pPr>
      <w:r>
        <w:rPr>
          <w:rFonts w:hint="eastAsia"/>
        </w:rPr>
        <w:t>检验水平</w:t>
      </w:r>
    </w:p>
    <w:p>
      <w:pPr>
        <w:pStyle w:val="23"/>
      </w:pPr>
      <w:r>
        <w:rPr>
          <w:rFonts w:hint="eastAsia"/>
        </w:rPr>
        <w:t>理想情况下，一旦就AQL达成一致，就可以保证质量高于此值的批总是被接收，而质量低于此值的批总是被拒收。但是，这一理想是无法实现的，宜通过所适用的检验水平来设定一种折衷。已有三个标准化的这种水平：</w:t>
      </w:r>
    </w:p>
    <w:p>
      <w:pPr>
        <w:pStyle w:val="59"/>
        <w:numPr>
          <w:ilvl w:val="0"/>
          <w:numId w:val="35"/>
        </w:numPr>
      </w:pPr>
      <w:r>
        <w:rPr>
          <w:rFonts w:hint="eastAsia"/>
        </w:rPr>
        <w:t>正常检验，旨在给生产者提供高度的保护，以免被拒收事实上质量高于AQL的批次产品。</w:t>
      </w:r>
    </w:p>
    <w:p>
      <w:pPr>
        <w:pStyle w:val="59"/>
        <w:numPr>
          <w:ilvl w:val="0"/>
          <w:numId w:val="35"/>
        </w:numPr>
      </w:pPr>
      <w:r>
        <w:rPr>
          <w:rFonts w:hint="eastAsia"/>
        </w:rPr>
        <w:t>加严检验，旨在给用户提供高度的保护，以免接收事实上质量低于AQL的批次产品。</w:t>
      </w:r>
    </w:p>
    <w:p>
      <w:pPr>
        <w:pStyle w:val="59"/>
        <w:numPr>
          <w:ilvl w:val="0"/>
          <w:numId w:val="35"/>
        </w:numPr>
      </w:pPr>
      <w:r>
        <w:rPr>
          <w:rFonts w:hint="eastAsia"/>
        </w:rPr>
        <w:t>放宽检验，旨在当产品质量持续高于AQL时降低检验成本，以惠及生产者和用户。</w:t>
      </w:r>
    </w:p>
    <w:p>
      <w:pPr>
        <w:pStyle w:val="23"/>
      </w:pPr>
      <w:r>
        <w:rPr>
          <w:rFonts w:hint="eastAsia"/>
        </w:rPr>
        <w:t>从一种检验水平转换到另一种检验水平的规则可在有关具体抽样程序的标准中找到(见ISO 2859和ISO 3951)。</w:t>
      </w:r>
    </w:p>
    <w:p>
      <w:pPr>
        <w:pStyle w:val="46"/>
        <w:spacing w:before="156" w:after="156"/>
      </w:pPr>
      <w:r>
        <w:rPr>
          <w:rFonts w:hint="eastAsia"/>
        </w:rPr>
        <w:t>计数抽样计划</w:t>
      </w:r>
    </w:p>
    <w:p>
      <w:pPr>
        <w:pStyle w:val="113"/>
      </w:pPr>
      <w:r>
        <w:rPr>
          <w:rFonts w:hint="eastAsia"/>
        </w:rPr>
        <w:t>在本文件中，只考虑计数抽样，因为这通常是橡胶工业中最常用的抽样方法。检验也可以通过计量的方式进行，但这种技术往往更昂贵、更繁琐，并可能导致拒收许多本身没有缺陷的产品。这种拒收很难向其他雇员、用户、供应商等解释清楚，因为他们不懂统计学。有关此技术的详细信息，请参考ISO 3951。</w:t>
      </w:r>
    </w:p>
    <w:p>
      <w:pPr>
        <w:pStyle w:val="113"/>
      </w:pPr>
      <w:r>
        <w:rPr>
          <w:rFonts w:hint="eastAsia"/>
        </w:rPr>
        <w:t>在给定AQL的特定检验水平内，有若干种方法能用于从批次中抽取样本。</w:t>
      </w:r>
    </w:p>
    <w:p>
      <w:pPr>
        <w:pStyle w:val="59"/>
        <w:numPr>
          <w:ilvl w:val="0"/>
          <w:numId w:val="36"/>
        </w:numPr>
      </w:pPr>
      <w:r>
        <w:rPr>
          <w:rFonts w:hint="eastAsia"/>
        </w:rPr>
        <w:t>一次抽样方案是最简单的，即从批中随机选择适当数量的产品并进行检验。根据记录的不符合项数，该批将被拒收或接收，因为拒收数总是一个大于可接收数的数。</w:t>
      </w:r>
    </w:p>
    <w:p>
      <w:pPr>
        <w:pStyle w:val="65"/>
        <w:numPr>
          <w:ilvl w:val="0"/>
          <w:numId w:val="37"/>
        </w:numPr>
      </w:pPr>
      <w:r>
        <w:rPr>
          <w:rFonts w:hint="eastAsia"/>
        </w:rPr>
        <w:t>接收数是导致一个批次被接收的样本中允许的最大不符合项数。</w:t>
      </w:r>
    </w:p>
    <w:p>
      <w:pPr>
        <w:pStyle w:val="65"/>
        <w:rPr>
          <w:sz w:val="21"/>
          <w:szCs w:val="22"/>
        </w:rPr>
      </w:pPr>
      <w:r>
        <w:rPr>
          <w:rFonts w:hint="eastAsia"/>
        </w:rPr>
        <w:t>拒收数是导致一个批次被拒收的样品中出现的最小不符合项数。</w:t>
      </w:r>
    </w:p>
    <w:p>
      <w:pPr>
        <w:pStyle w:val="59"/>
      </w:pPr>
      <w:r>
        <w:rPr>
          <w:rFonts w:hint="eastAsia"/>
        </w:rPr>
        <w:t>二次抽样方案是第二简单的，即(对于相同的批量)选取较小的产品数作为样本进行检验。</w:t>
      </w:r>
    </w:p>
    <w:p>
      <w:pPr>
        <w:pStyle w:val="54"/>
      </w:pPr>
      <w:r>
        <w:rPr>
          <w:rFonts w:hint="eastAsia"/>
        </w:rPr>
        <w:t>如果不符合项数小于或等于可接收数，则该批次被接收。</w:t>
      </w:r>
    </w:p>
    <w:p>
      <w:pPr>
        <w:pStyle w:val="54"/>
      </w:pPr>
      <w:r>
        <w:rPr>
          <w:rFonts w:hint="eastAsia"/>
        </w:rPr>
        <w:t>如果不符合项数大于或等于拒收数（拒收数比可接收数大于1），那么该批次拒收。</w:t>
      </w:r>
    </w:p>
    <w:p>
      <w:pPr>
        <w:pStyle w:val="54"/>
      </w:pPr>
      <w:r>
        <w:rPr>
          <w:rFonts w:hint="eastAsia"/>
        </w:rPr>
        <w:t>如果是一个位于可接收数和拒收数之间的数，则随机抽取（与第一个样本相同大小的）第二个样本，做相同的检验。然后，用两个这样本的不符合项总数与总样本的可接收数和拒收数比较以判定该批次的状态。</w:t>
      </w:r>
    </w:p>
    <w:p>
      <w:pPr>
        <w:pStyle w:val="65"/>
      </w:pPr>
      <w:r>
        <w:rPr>
          <w:rFonts w:hint="eastAsia"/>
        </w:rPr>
        <w:t>这个过程可以扩展到多次抽样计划，一个批次中最多可以抽取七组样本。</w:t>
      </w:r>
    </w:p>
    <w:p>
      <w:pPr>
        <w:pStyle w:val="113"/>
      </w:pPr>
      <w:r>
        <w:rPr>
          <w:rFonts w:hint="eastAsia"/>
        </w:rPr>
        <w:t>这些更</w:t>
      </w:r>
      <w:r>
        <w:t>多涉及</w:t>
      </w:r>
      <w:r>
        <w:rPr>
          <w:rFonts w:hint="eastAsia"/>
        </w:rPr>
        <w:t>管理性的抽样计划的目的是减少最终需要的检查总量。然而, 除额外的管理复杂性外，它还能够导致增加检验量。因此，只有在节约费用的可能性更大时，即当有证据表明该批次与所选择AQL的关系特别好或者特别坏时，才宜使用这种的计划。影响抽样计划选择的因素包括:</w:t>
      </w:r>
    </w:p>
    <w:p>
      <w:pPr>
        <w:pStyle w:val="59"/>
        <w:numPr>
          <w:ilvl w:val="0"/>
          <w:numId w:val="38"/>
        </w:numPr>
      </w:pPr>
      <w:r>
        <w:rPr>
          <w:rFonts w:hint="eastAsia"/>
        </w:rPr>
        <w:t>从批次中选择产品的难易程度;</w:t>
      </w:r>
    </w:p>
    <w:p>
      <w:pPr>
        <w:pStyle w:val="59"/>
        <w:numPr>
          <w:ilvl w:val="0"/>
          <w:numId w:val="38"/>
        </w:numPr>
      </w:pPr>
      <w:r>
        <w:rPr>
          <w:rFonts w:hint="eastAsia"/>
        </w:rPr>
        <w:t>可用于进行检查的资源;</w:t>
      </w:r>
    </w:p>
    <w:p>
      <w:pPr>
        <w:pStyle w:val="59"/>
        <w:numPr>
          <w:ilvl w:val="0"/>
          <w:numId w:val="38"/>
        </w:numPr>
      </w:pPr>
      <w:r>
        <w:rPr>
          <w:rFonts w:hint="eastAsia"/>
        </w:rPr>
        <w:t>完成一个样本检测所需的时间;</w:t>
      </w:r>
    </w:p>
    <w:p>
      <w:pPr>
        <w:pStyle w:val="59"/>
        <w:numPr>
          <w:ilvl w:val="0"/>
          <w:numId w:val="38"/>
        </w:numPr>
      </w:pPr>
      <w:r>
        <w:rPr>
          <w:rFonts w:hint="eastAsia"/>
        </w:rPr>
        <w:t>被监视的潜在不符合项的数量。</w:t>
      </w:r>
    </w:p>
    <w:p>
      <w:pPr>
        <w:pStyle w:val="113"/>
      </w:pPr>
      <w:r>
        <w:rPr>
          <w:rFonts w:hint="eastAsia"/>
        </w:rPr>
        <w:t>除了通过预先选择的产品数量进行抽样外，还可以选择顺序抽样计划，在该计划中先选择产品，然后每次检查一个。对被检产品的数量和记录的不符合项的数量进行累积计数。</w:t>
      </w:r>
    </w:p>
    <w:p>
      <w:pPr>
        <w:pStyle w:val="23"/>
      </w:pPr>
      <w:r>
        <w:rPr>
          <w:rFonts w:hint="eastAsia"/>
        </w:rPr>
        <w:t>随着证据的累积，为确立该批次的状态提供了判定规则。原则上，质量与选择的AQL相似的批次可能不得不连续进行检测，直到整批都经过检测。因此，在实践中，规定一个上限，在此点，拒收数被设定为比可接收数多1，这样就能确保一个明确的结果。</w:t>
      </w:r>
    </w:p>
    <w:p>
      <w:pPr>
        <w:pStyle w:val="113"/>
      </w:pPr>
      <w:r>
        <w:rPr>
          <w:rFonts w:hint="eastAsia"/>
        </w:rPr>
        <w:t>如果正在接收一个连续系列批次，并且之前批次的质量持续保持与该AQL相关的高标准，那么，如果满足适当的判据，则可以引入跳批抽样。详情请参阅ISO 2859-3。</w:t>
      </w:r>
    </w:p>
    <w:p>
      <w:pPr>
        <w:pStyle w:val="46"/>
        <w:spacing w:before="156" w:after="156"/>
      </w:pPr>
      <w:r>
        <w:rPr>
          <w:rFonts w:hint="eastAsia"/>
        </w:rPr>
        <w:t>随机抽样</w:t>
      </w:r>
    </w:p>
    <w:p>
      <w:pPr>
        <w:pStyle w:val="113"/>
      </w:pPr>
      <w:r>
        <w:rPr>
          <w:rFonts w:hint="eastAsia"/>
        </w:rPr>
        <w:t>前面的章条已经暗示，从一个批中抽取的样本是完全代表该批的。只有构成样本的产品是随机抽取的才能做到这一点。不幸的是，人们随机选择的能力很差。在潜意识层面上，人们对寻找和使用目标有强烈的偏离。因此，强烈建议在选择随机产品时使用随机数字表。随机数字表可以在ISO 2859-10中找到，在许多统计教科书中也可以找到，通常作为电子表格和编程语言等计算机程序的函数。</w:t>
      </w:r>
    </w:p>
    <w:p>
      <w:pPr>
        <w:pStyle w:val="113"/>
      </w:pPr>
      <w:r>
        <w:rPr>
          <w:rFonts w:hint="eastAsia"/>
        </w:rPr>
        <w:t>在可能的情况下，宜对批次中的产品进行排序或编号，然后根据覆盖兴趣范围的随机数字表选取个体产品(忽略表中任何超出该范围的数字)。</w:t>
      </w:r>
    </w:p>
    <w:p>
      <w:pPr>
        <w:pStyle w:val="23"/>
      </w:pPr>
      <w:r>
        <w:rPr>
          <w:rFonts w:hint="eastAsia"/>
        </w:rPr>
        <w:t>如果使用已发布的表格，表格中的起始点和方向也宜随机选取，这样连续的批次检查就不会使用相同的数字序列。</w:t>
      </w:r>
    </w:p>
    <w:p>
      <w:pPr>
        <w:pStyle w:val="23"/>
      </w:pPr>
      <w:r>
        <w:rPr>
          <w:rFonts w:hint="eastAsia"/>
        </w:rPr>
        <w:t>在小件产品的情况下，不可能给每个产品编号，因此有必要采用直觉选择方法或大宗</w:t>
      </w:r>
      <w:r>
        <w:rPr>
          <w:rFonts w:hint="eastAsia"/>
          <w:highlight w:val="yellow"/>
        </w:rPr>
        <w:t>（散装）</w:t>
      </w:r>
      <w:r>
        <w:rPr>
          <w:rFonts w:hint="eastAsia"/>
        </w:rPr>
        <w:t>抽样技术。</w:t>
      </w:r>
    </w:p>
    <w:p>
      <w:pPr>
        <w:pStyle w:val="113"/>
      </w:pPr>
      <w:r>
        <w:rPr>
          <w:rFonts w:hint="eastAsia"/>
        </w:rPr>
        <w:t>如果一个给定的批可以在逻辑上划分为多个子批，那么最好是按照子批相对于该批的大小比例，从子批中随机选择产品。</w:t>
      </w:r>
    </w:p>
    <w:p>
      <w:pPr>
        <w:pStyle w:val="23"/>
      </w:pPr>
      <w:r>
        <w:rPr>
          <w:rFonts w:hint="eastAsia"/>
        </w:rPr>
        <w:t>例如，收到一个有4500个</w:t>
      </w:r>
      <w:r>
        <w:rPr>
          <w:rFonts w:ascii="Times New Roman"/>
        </w:rPr>
        <w:t>O</w:t>
      </w:r>
      <w:r>
        <w:rPr>
          <w:rFonts w:hint="eastAsia"/>
        </w:rPr>
        <w:t>形圈的批，分为4个1000和1个500的包装，并准备抽取的检验样本量为200个，则最适当的行动是选择：</w:t>
      </w:r>
    </w:p>
    <w:p>
      <w:pPr>
        <w:pStyle w:val="59"/>
        <w:numPr>
          <w:ilvl w:val="0"/>
          <w:numId w:val="39"/>
        </w:numPr>
      </w:pPr>
      <w:r>
        <w:rPr>
          <w:rFonts w:hint="eastAsia"/>
        </w:rPr>
        <w:t>从包装有1000个的四个大包装中的二个包装中随机各抽取44个；</w:t>
      </w:r>
    </w:p>
    <w:p>
      <w:pPr>
        <w:pStyle w:val="59"/>
        <w:numPr>
          <w:ilvl w:val="0"/>
          <w:numId w:val="39"/>
        </w:numPr>
      </w:pPr>
      <w:r>
        <w:rPr>
          <w:rFonts w:hint="eastAsia"/>
        </w:rPr>
        <w:t>从另外二个大包装各取45个；</w:t>
      </w:r>
    </w:p>
    <w:p>
      <w:pPr>
        <w:pStyle w:val="59"/>
        <w:numPr>
          <w:ilvl w:val="0"/>
          <w:numId w:val="39"/>
        </w:numPr>
      </w:pPr>
      <w:r>
        <w:rPr>
          <w:rFonts w:hint="eastAsia"/>
        </w:rPr>
        <w:t>从包装有500个的小包装中抽取22个。</w:t>
      </w:r>
    </w:p>
    <w:p>
      <w:pPr>
        <w:pStyle w:val="42"/>
      </w:pPr>
      <w:bookmarkStart w:id="248" w:name="_Toc124173958"/>
      <w:r>
        <w:rPr>
          <w:rFonts w:hint="eastAsia"/>
        </w:rPr>
        <w:t>在橡胶试验中的应用</w:t>
      </w:r>
      <w:bookmarkEnd w:id="248"/>
    </w:p>
    <w:p>
      <w:pPr>
        <w:pStyle w:val="23"/>
      </w:pPr>
      <w:r>
        <w:rPr>
          <w:rFonts w:hint="eastAsia"/>
        </w:rPr>
        <w:t>抽样计划允许少量有代表性的产品来表明整个运送货物的质量水平。</w:t>
      </w:r>
    </w:p>
    <w:p>
      <w:pPr>
        <w:pStyle w:val="23"/>
      </w:pPr>
      <w:r>
        <w:rPr>
          <w:rFonts w:hint="eastAsia"/>
        </w:rPr>
        <w:t>例如，一批5000支的婴儿奶嘴按常规交付用户，这些奶嘴已按相应的规范成功地完成了全项型式检验。与用户达成一致，每批产品都要进行盐酸萃取物和耐咬穿试验。由于这两项中的任何一项不通过都会是不可接受的，因此使用不符合百分数指标。在正常检查水平下，使用的AQL为0.10。</w:t>
      </w:r>
    </w:p>
    <w:p>
      <w:pPr>
        <w:pStyle w:val="23"/>
      </w:pPr>
      <w:r>
        <w:rPr>
          <w:rFonts w:hint="eastAsia"/>
        </w:rPr>
        <w:t>根据ISO 2859-1:1999表1，在正常检验水平(II级)下，5000的批量给出的代码字母为L。表2-A为正常检验水平下的一次抽样方案，样本量为200。在样本代码字母=L行和AQL =0.10列的交点处，发现一个向上指向的箭头。这意味着，要达到给定的AQL和检验水平中固有的风险水平，只需要测试125(代码K)项。但是，如果发现一个不符合项，该批次将被拒收。</w:t>
      </w:r>
    </w:p>
    <w:p>
      <w:pPr>
        <w:pStyle w:val="23"/>
      </w:pPr>
      <w:r>
        <w:rPr>
          <w:rFonts w:hint="eastAsia"/>
        </w:rPr>
        <w:t>ISO 2859- 1:20 99的表3和表4显示，对于这个批量和AQL值，没有与一次抽样计划相同特性的二次或多次抽样方案特性。</w:t>
      </w:r>
    </w:p>
    <w:p>
      <w:pPr>
        <w:pStyle w:val="45"/>
      </w:pPr>
      <w:bookmarkStart w:id="249" w:name="_Toc124173959"/>
      <w:r>
        <w:rPr>
          <w:rFonts w:hint="eastAsia"/>
        </w:rPr>
        <w:t>试样数量</w:t>
      </w:r>
      <w:bookmarkEnd w:id="249"/>
    </w:p>
    <w:p>
      <w:pPr>
        <w:pStyle w:val="42"/>
      </w:pPr>
      <w:bookmarkStart w:id="250" w:name="_Toc124173960"/>
      <w:r>
        <w:rPr>
          <w:rFonts w:hint="eastAsia"/>
        </w:rPr>
        <w:t>原理</w:t>
      </w:r>
      <w:bookmarkEnd w:id="250"/>
    </w:p>
    <w:p>
      <w:pPr>
        <w:pStyle w:val="23"/>
      </w:pPr>
      <w:r>
        <w:rPr>
          <w:rFonts w:hint="eastAsia"/>
        </w:rPr>
        <w:t>试验方法中使用的试样数量通常在相关标准中规定，一般是三个或五个，但这个数字通常宜被看作是在例行的质量控制环境中应该采取的最低限度。有时，需要通过对大量的试样进行试验来改进统计精密度。改进平均值(或中位数)估计值和标准差估计值的精密度宜始终与实现该精密度的额外努力和成本相平衡。试样的数量永远不宜多于足够进行研究所需。可以采用下述简单程序作为指南，更精确的程序在第17章中描述。</w:t>
      </w:r>
    </w:p>
    <w:p>
      <w:pPr>
        <w:pStyle w:val="42"/>
      </w:pPr>
      <w:bookmarkStart w:id="251" w:name="_Toc124173961"/>
      <w:r>
        <w:rPr>
          <w:rFonts w:hint="eastAsia"/>
        </w:rPr>
        <w:t>方法</w:t>
      </w:r>
      <w:bookmarkEnd w:id="251"/>
    </w:p>
    <w:p>
      <w:pPr>
        <w:pStyle w:val="63"/>
      </w:pPr>
      <w:r>
        <w:rPr>
          <w:rFonts w:hint="eastAsia"/>
        </w:rPr>
        <w:t>在7.2.1中给出的均值的置信限为式（75）：</w:t>
      </w:r>
    </w:p>
    <w:p>
      <w:pPr>
        <w:pStyle w:val="23"/>
        <w:rPr>
          <w:rFonts w:ascii="Times New Roman"/>
        </w:rPr>
      </w:pPr>
      <m:oMath>
        <m:r>
          <m:rPr/>
          <w:rPr>
            <w:rFonts w:ascii="Cambria Math" w:hAnsi="Cambria Math"/>
          </w:rPr>
          <m:t>L</m:t>
        </m:r>
        <m:r>
          <m:rPr>
            <m:sty m:val="p"/>
          </m:rPr>
          <w:rPr>
            <w:rFonts w:ascii="Cambria Math" w:hAnsi="Cambria Math"/>
          </w:rPr>
          <m:t>=±</m:t>
        </m:r>
        <m:r>
          <m:rPr/>
          <w:rPr>
            <w:rFonts w:ascii="Cambria Math" w:hAnsi="Cambria Math"/>
          </w:rPr>
          <m:t>ts</m:t>
        </m:r>
        <m:r>
          <m:rPr>
            <m:sty m:val="p"/>
          </m:rPr>
          <w:rPr>
            <w:rFonts w:ascii="Cambria Math" w:hAnsi="Cambria Math"/>
          </w:rPr>
          <m:t>/</m:t>
        </m:r>
        <m:rad>
          <m:radPr>
            <m:degHide m:val="1"/>
            <m:ctrlPr>
              <w:rPr>
                <w:rFonts w:ascii="Cambria Math" w:hAnsi="Cambria Math"/>
                <w:szCs w:val="22"/>
              </w:rPr>
            </m:ctrlPr>
          </m:radPr>
          <m:deg>
            <m:ctrlPr>
              <w:rPr>
                <w:rFonts w:ascii="Cambria Math" w:hAnsi="Cambria Math"/>
                <w:szCs w:val="22"/>
              </w:rPr>
            </m:ctrlPr>
          </m:deg>
          <m:e>
            <m:r>
              <m:rPr/>
              <w:rPr>
                <w:rFonts w:ascii="Cambria Math" w:hAnsi="Cambria Math"/>
              </w:rPr>
              <m:t>n</m:t>
            </m:r>
            <m:ctrlPr>
              <w:rPr>
                <w:rFonts w:ascii="Cambria Math" w:hAnsi="Cambria Math"/>
                <w:szCs w:val="22"/>
              </w:rPr>
            </m:ctrlPr>
          </m:e>
        </m:rad>
      </m:oMath>
      <w:r>
        <w:rPr>
          <w:rFonts w:ascii="Times New Roman"/>
        </w:rPr>
        <w:t xml:space="preserve">                          </w:t>
      </w:r>
      <w:r>
        <w:rPr>
          <w:rFonts w:hint="eastAsia" w:ascii="Times New Roman"/>
        </w:rPr>
        <w:t xml:space="preserve">            </w:t>
      </w:r>
      <w:r>
        <w:rPr>
          <w:rFonts w:ascii="Times New Roman"/>
        </w:rPr>
        <w:t xml:space="preserve">                                (75)</w:t>
      </w:r>
    </w:p>
    <w:p>
      <w:pPr>
        <w:pStyle w:val="23"/>
      </w:pPr>
      <w:r>
        <w:rPr>
          <w:rFonts w:hint="eastAsia"/>
        </w:rPr>
        <w:t>因此，如果置信限不超过平均值的某个百分比(c)，则达到此值所需的试样的数量可以通过式（76）来估计：</w:t>
      </w:r>
    </w:p>
    <w:p>
      <w:pPr>
        <w:pStyle w:val="23"/>
      </w:pPr>
      <m:oMath>
        <m:r>
          <m:rPr/>
          <w:rPr>
            <w:rFonts w:ascii="Cambria Math" w:hAnsi="Cambria Math"/>
          </w:rPr>
          <m:t>n</m:t>
        </m:r>
        <m:r>
          <m:rPr>
            <m:sty m:val="p"/>
          </m:rPr>
          <w:rPr>
            <w:rFonts w:ascii="Cambria Math" w:hAnsi="Cambria Math"/>
          </w:rPr>
          <m:t>≈</m:t>
        </m:r>
        <m:sSup>
          <m:sSupPr>
            <m:ctrlPr>
              <w:rPr>
                <w:rFonts w:ascii="Cambria Math" w:hAnsi="Cambria Math"/>
                <w:szCs w:val="22"/>
              </w:rPr>
            </m:ctrlPr>
          </m:sSupPr>
          <m:e>
            <m:r>
              <m:rPr/>
              <w:rPr>
                <w:rFonts w:ascii="Cambria Math" w:hAnsi="Cambria Math"/>
              </w:rPr>
              <m:t>(</m:t>
            </m:r>
            <m:f>
              <m:fPr>
                <m:ctrlPr>
                  <w:rPr>
                    <w:rFonts w:ascii="Cambria Math" w:hAnsi="Cambria Math"/>
                    <w:i/>
                    <w:szCs w:val="22"/>
                  </w:rPr>
                </m:ctrlPr>
              </m:fPr>
              <m:num>
                <m:r>
                  <m:rPr/>
                  <w:rPr>
                    <w:rFonts w:ascii="Cambria Math" w:hAnsi="Cambria Math"/>
                  </w:rPr>
                  <m:t>2</m:t>
                </m:r>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v</m:t>
                    </m:r>
                    <m:ctrlPr>
                      <w:rPr>
                        <w:rFonts w:ascii="Cambria Math" w:hAnsi="Cambria Math"/>
                        <w:i/>
                        <w:szCs w:val="22"/>
                      </w:rPr>
                    </m:ctrlPr>
                  </m:sub>
                </m:sSub>
                <m:ctrlPr>
                  <w:rPr>
                    <w:rFonts w:ascii="Cambria Math" w:hAnsi="Cambria Math"/>
                    <w:i/>
                    <w:szCs w:val="22"/>
                  </w:rPr>
                </m:ctrlPr>
              </m:num>
              <m:den>
                <m:r>
                  <m:rPr/>
                  <w:rPr>
                    <w:rFonts w:ascii="Cambria Math" w:hAnsi="Cambria Math"/>
                  </w:rPr>
                  <m:t>c</m:t>
                </m:r>
                <m:ctrlPr>
                  <w:rPr>
                    <w:rFonts w:ascii="Cambria Math" w:hAnsi="Cambria Math"/>
                    <w:i/>
                    <w:szCs w:val="22"/>
                  </w:rPr>
                </m:ctrlPr>
              </m:den>
            </m:f>
            <m:r>
              <m:rPr/>
              <w:rPr>
                <w:rFonts w:ascii="Cambria Math" w:hAnsi="Cambria Math"/>
              </w:rPr>
              <m:t>)</m:t>
            </m:r>
            <m:ctrlPr>
              <w:rPr>
                <w:rFonts w:ascii="Cambria Math" w:hAnsi="Cambria Math"/>
                <w:szCs w:val="22"/>
              </w:rPr>
            </m:ctrlPr>
          </m:e>
          <m:sup>
            <m:r>
              <m:rPr/>
              <w:rPr>
                <w:rFonts w:ascii="Cambria Math" w:hAnsi="Cambria Math"/>
              </w:rPr>
              <m:t>2</m:t>
            </m:r>
            <m:ctrlPr>
              <w:rPr>
                <w:rFonts w:ascii="Cambria Math" w:hAnsi="Cambria Math"/>
                <w:szCs w:val="22"/>
              </w:rPr>
            </m:ctrlPr>
          </m:sup>
        </m:sSup>
      </m:oMath>
      <w:r>
        <w:t xml:space="preserve">                                                      </w:t>
      </w:r>
      <w:r>
        <w:rPr>
          <w:rFonts w:hint="eastAsia"/>
        </w:rPr>
        <w:t xml:space="preserve">           </w:t>
      </w:r>
      <w:r>
        <w:t xml:space="preserve">      (76)</w:t>
      </w:r>
    </w:p>
    <w:p>
      <w:pPr>
        <w:pStyle w:val="23"/>
        <w:ind w:firstLine="0" w:firstLineChars="0"/>
      </w:pPr>
      <w:r>
        <w:rPr>
          <w:rFonts w:hint="eastAsia"/>
        </w:rPr>
        <w:t>式中，</w:t>
      </w:r>
      <w:r>
        <w:rPr>
          <w:rFonts w:hint="eastAsia"/>
          <w:i/>
        </w:rPr>
        <w:t>C</w:t>
      </w:r>
      <w:r>
        <w:rPr>
          <w:rFonts w:hint="eastAsia"/>
          <w:vertAlign w:val="subscript"/>
        </w:rPr>
        <w:t>v</w:t>
      </w:r>
      <w:r>
        <w:rPr>
          <w:rFonts w:hint="eastAsia"/>
        </w:rPr>
        <w:t>为迄今为止所获得的观测值(可能来自于标准试样数)的变异系数[见式(8)]。</w:t>
      </w:r>
    </w:p>
    <w:p>
      <w:pPr>
        <w:pStyle w:val="23"/>
        <w:rPr>
          <w:rFonts w:ascii="Times New Roman"/>
        </w:rPr>
      </w:pPr>
      <w:r>
        <w:rPr>
          <w:rFonts w:ascii="Times New Roman"/>
        </w:rPr>
        <w:t>因子2是95%置信限的</w:t>
      </w:r>
      <w:r>
        <w:rPr>
          <w:rFonts w:ascii="Times New Roman"/>
          <w:i/>
        </w:rPr>
        <w:t>t</w:t>
      </w:r>
      <w:r>
        <w:rPr>
          <w:rFonts w:ascii="Times New Roman"/>
        </w:rPr>
        <w:t>的近似值。不幸的是，</w:t>
      </w:r>
      <w:r>
        <w:rPr>
          <w:rFonts w:ascii="Times New Roman"/>
          <w:i/>
        </w:rPr>
        <w:t>t</w:t>
      </w:r>
      <w:r>
        <w:rPr>
          <w:rFonts w:ascii="Times New Roman"/>
        </w:rPr>
        <w:t>是</w:t>
      </w:r>
      <w:r>
        <w:rPr>
          <w:rFonts w:ascii="Times New Roman"/>
          <w:i/>
        </w:rPr>
        <w:t>n</w:t>
      </w:r>
      <w:r>
        <w:rPr>
          <w:rFonts w:ascii="Times New Roman"/>
        </w:rPr>
        <w:t>的函数，因此表达式只能通过迭代来求解。然而，由于一旦</w:t>
      </w:r>
      <w:r>
        <w:rPr>
          <w:rFonts w:ascii="Times New Roman"/>
          <w:i/>
        </w:rPr>
        <w:t>n</w:t>
      </w:r>
      <w:r>
        <w:rPr>
          <w:rFonts w:ascii="Times New Roman"/>
        </w:rPr>
        <w:t>大于10，</w:t>
      </w:r>
      <w:r>
        <w:rPr>
          <w:rFonts w:ascii="Times New Roman"/>
          <w:i/>
        </w:rPr>
        <w:t>t</w:t>
      </w:r>
      <w:r>
        <w:rPr>
          <w:rFonts w:ascii="Times New Roman"/>
        </w:rPr>
        <w:t>只随</w:t>
      </w:r>
      <w:r>
        <w:rPr>
          <w:rFonts w:ascii="Times New Roman"/>
          <w:i/>
        </w:rPr>
        <w:t>n</w:t>
      </w:r>
      <w:r>
        <w:rPr>
          <w:rFonts w:ascii="Times New Roman"/>
        </w:rPr>
        <w:t>缓慢变化，所以通常设</w:t>
      </w:r>
      <w:r>
        <w:rPr>
          <w:rFonts w:ascii="Times New Roman"/>
          <w:i/>
        </w:rPr>
        <w:t>t</w:t>
      </w:r>
      <w:r>
        <w:rPr>
          <w:rFonts w:ascii="Times New Roman"/>
        </w:rPr>
        <w:t xml:space="preserve"> 为常数</w:t>
      </w:r>
      <w:r>
        <w:rPr>
          <w:rFonts w:hint="eastAsia" w:ascii="Times New Roman"/>
        </w:rPr>
        <w:t>就</w:t>
      </w:r>
      <w:r>
        <w:rPr>
          <w:rFonts w:ascii="Times New Roman"/>
        </w:rPr>
        <w:t>足够了。例如，如果</w:t>
      </w:r>
      <w:r>
        <w:rPr>
          <w:rFonts w:ascii="Times New Roman"/>
          <w:i/>
        </w:rPr>
        <w:t>n</w:t>
      </w:r>
      <w:r>
        <w:rPr>
          <w:rFonts w:ascii="Times New Roman"/>
        </w:rPr>
        <w:t>的值大于10，则因子2</w:t>
      </w:r>
      <w:r>
        <w:rPr>
          <w:rFonts w:hint="eastAsia" w:ascii="Times New Roman"/>
        </w:rPr>
        <w:t>的</w:t>
      </w:r>
      <w:r>
        <w:rPr>
          <w:rFonts w:ascii="Times New Roman"/>
        </w:rPr>
        <w:t>误差要小于10%，并且当认为</w:t>
      </w:r>
      <w:r>
        <w:rPr>
          <w:rFonts w:ascii="Times New Roman"/>
          <w:i/>
        </w:rPr>
        <w:t>C</w:t>
      </w:r>
      <w:r>
        <w:rPr>
          <w:rFonts w:ascii="Times New Roman"/>
          <w:vertAlign w:val="subscript"/>
        </w:rPr>
        <w:t>v</w:t>
      </w:r>
      <w:r>
        <w:rPr>
          <w:rFonts w:ascii="Times New Roman"/>
        </w:rPr>
        <w:t>本身只是基于较小样本的估计时，因子2通常足够精确以指示</w:t>
      </w:r>
      <w:r>
        <w:rPr>
          <w:rFonts w:ascii="Times New Roman"/>
          <w:i/>
        </w:rPr>
        <w:t>n</w:t>
      </w:r>
      <w:r>
        <w:rPr>
          <w:rFonts w:ascii="Times New Roman"/>
        </w:rPr>
        <w:t>的近似大小。为使所试验的总数达到这个</w:t>
      </w:r>
      <w:r>
        <w:rPr>
          <w:rFonts w:ascii="Times New Roman"/>
          <w:i/>
        </w:rPr>
        <w:t>n</w:t>
      </w:r>
      <w:r>
        <w:rPr>
          <w:rFonts w:ascii="Times New Roman"/>
        </w:rPr>
        <w:t>值，对额外数量的试样进行的额外试验，应该会给出非常接近所需的置信限。对于99%的置信限，要使用的因子是3。一个逐步求解的过程在17.2.2中给出。</w:t>
      </w:r>
    </w:p>
    <w:p>
      <w:pPr>
        <w:pStyle w:val="63"/>
      </w:pPr>
      <w:r>
        <w:rPr>
          <w:rFonts w:hint="eastAsia"/>
        </w:rPr>
        <w:t>如果已经进行了标准试验，并且由于试验结果接近</w:t>
      </w:r>
      <w:r>
        <w:rPr>
          <w:rFonts w:hint="eastAsia"/>
          <w:highlight w:val="yellow"/>
        </w:rPr>
        <w:t>指标值</w:t>
      </w:r>
      <w:r>
        <w:rPr>
          <w:rFonts w:hint="eastAsia"/>
        </w:rPr>
        <w:t>，对材料的通过/不通过状态存在一些疑问，那么进行进一步试验可以帮助解决这种不确定性。如果均值是</w:t>
      </w:r>
      <w:r>
        <w:rPr>
          <w:rFonts w:hint="eastAsia"/>
        </w:rPr>
        <w:sym w:font="Symbol" w:char="F060"/>
      </w:r>
      <w:r>
        <w:rPr>
          <w:rFonts w:hint="eastAsia"/>
        </w:rPr>
        <w:t>x，指标值是M，那么</w:t>
      </w:r>
      <w:r>
        <w:rPr>
          <w:rFonts w:ascii="Times New Roman"/>
          <w:i/>
        </w:rPr>
        <w:t>n</w:t>
      </w:r>
      <w:r>
        <w:rPr>
          <w:rFonts w:hint="eastAsia"/>
        </w:rPr>
        <w:t>由式（77）近似计算：</w:t>
      </w:r>
    </w:p>
    <w:p>
      <w:pPr>
        <w:pStyle w:val="23"/>
      </w:pPr>
      <m:oMath>
        <m:r>
          <m:rPr/>
          <w:rPr>
            <w:rFonts w:ascii="Cambria Math" w:hAnsi="Cambria Math"/>
          </w:rPr>
          <m:t>n</m:t>
        </m:r>
        <m:r>
          <m:rPr>
            <m:sty m:val="p"/>
          </m:rPr>
          <w:rPr>
            <w:rFonts w:ascii="Cambria Math" w:hAnsi="Cambria Math"/>
          </w:rPr>
          <m:t>≈</m:t>
        </m:r>
        <m:sSup>
          <m:sSupPr>
            <m:ctrlPr>
              <w:rPr>
                <w:rFonts w:ascii="Cambria Math" w:hAnsi="Cambria Math"/>
                <w:szCs w:val="22"/>
              </w:rPr>
            </m:ctrlPr>
          </m:sSupPr>
          <m:e>
            <m:r>
              <m:rPr/>
              <w:rPr>
                <w:rFonts w:ascii="Cambria Math" w:hAnsi="Cambria Math"/>
              </w:rPr>
              <m:t>(</m:t>
            </m:r>
            <m:f>
              <m:fPr>
                <m:ctrlPr>
                  <w:rPr>
                    <w:rFonts w:ascii="Cambria Math" w:hAnsi="Cambria Math"/>
                    <w:i/>
                    <w:szCs w:val="22"/>
                  </w:rPr>
                </m:ctrlPr>
              </m:fPr>
              <m:num>
                <m:r>
                  <m:rPr/>
                  <w:rPr>
                    <w:rFonts w:ascii="Cambria Math" w:hAnsi="Cambria Math"/>
                  </w:rPr>
                  <m:t>1.75s</m:t>
                </m:r>
                <m:ctrlPr>
                  <w:rPr>
                    <w:rFonts w:ascii="Cambria Math" w:hAnsi="Cambria Math"/>
                    <w:i/>
                    <w:szCs w:val="22"/>
                  </w:rPr>
                </m:ctrlPr>
              </m:num>
              <m:den>
                <m:r>
                  <m:rPr/>
                  <w:rPr>
                    <w:rFonts w:ascii="Cambria Math" w:hAnsi="Cambria Math"/>
                  </w:rPr>
                  <m:t>M−</m:t>
                </m:r>
                <m:r>
                  <m:rPr>
                    <m:sty m:val="p"/>
                  </m:rPr>
                  <w:rPr>
                    <w:rFonts w:ascii="Cambria Math" w:hAnsi="Cambria Math"/>
                  </w:rPr>
                  <w:sym w:font="Symbol" w:char="0060"/>
                </m:r>
                <m:r>
                  <m:rPr/>
                  <w:rPr>
                    <w:rFonts w:ascii="Cambria Math" w:hAnsi="Cambria Math"/>
                  </w:rPr>
                  <m:t>x</m:t>
                </m:r>
                <m:ctrlPr>
                  <w:rPr>
                    <w:rFonts w:ascii="Cambria Math" w:hAnsi="Cambria Math"/>
                    <w:i/>
                    <w:szCs w:val="22"/>
                  </w:rPr>
                </m:ctrlPr>
              </m:den>
            </m:f>
            <m:r>
              <m:rPr/>
              <w:rPr>
                <w:rFonts w:ascii="Cambria Math" w:hAnsi="Cambria Math"/>
              </w:rPr>
              <m:t>)</m:t>
            </m:r>
            <m:ctrlPr>
              <w:rPr>
                <w:rFonts w:ascii="Cambria Math" w:hAnsi="Cambria Math"/>
                <w:szCs w:val="22"/>
              </w:rPr>
            </m:ctrlPr>
          </m:e>
          <m:sup>
            <m:r>
              <m:rPr/>
              <w:rPr>
                <w:rFonts w:ascii="Cambria Math" w:hAnsi="Cambria Math"/>
              </w:rPr>
              <m:t>2</m:t>
            </m:r>
            <m:ctrlPr>
              <w:rPr>
                <w:rFonts w:ascii="Cambria Math" w:hAnsi="Cambria Math"/>
                <w:szCs w:val="22"/>
              </w:rPr>
            </m:ctrlPr>
          </m:sup>
        </m:sSup>
      </m:oMath>
      <w:r>
        <w:rPr>
          <w:rFonts w:hint="eastAsia"/>
        </w:rPr>
        <w:t xml:space="preserve">                                                                    (77)</w:t>
      </w:r>
    </w:p>
    <w:p>
      <w:pPr>
        <w:pStyle w:val="23"/>
        <w:ind w:firstLine="0" w:firstLineChars="0"/>
      </w:pPr>
      <w:r>
        <w:rPr>
          <w:rFonts w:hint="eastAsia"/>
        </w:rPr>
        <w:t>式中，1.75是95%置信水平的因子，99%置信水平时该因子为2.5。</w:t>
      </w:r>
    </w:p>
    <w:p>
      <w:pPr>
        <w:pStyle w:val="23"/>
      </w:pPr>
      <w:r>
        <w:rPr>
          <w:rFonts w:hint="eastAsia"/>
        </w:rPr>
        <w:t>在这种情况下，因子不同的原因是要考虑单侧分布。</w:t>
      </w:r>
    </w:p>
    <w:p>
      <w:pPr>
        <w:pStyle w:val="42"/>
      </w:pPr>
      <w:bookmarkStart w:id="252" w:name="_Toc124173962"/>
      <w:r>
        <w:rPr>
          <w:rFonts w:hint="eastAsia"/>
        </w:rPr>
        <w:t>在橡胶试验中的应用</w:t>
      </w:r>
      <w:bookmarkEnd w:id="252"/>
    </w:p>
    <w:p>
      <w:pPr>
        <w:pStyle w:val="46"/>
        <w:spacing w:before="156" w:after="156"/>
      </w:pPr>
      <w:r>
        <w:rPr>
          <w:rFonts w:hint="eastAsia"/>
        </w:rPr>
        <w:t>概述</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从统计的角度来看，试样的数量越多越好。但是，考虑到时间和成本，通常3到5个试样对于大多数情况来说已经足够了。</w:t>
      </w:r>
    </w:p>
    <w:p>
      <w:pPr>
        <w:pStyle w:val="46"/>
        <w:spacing w:before="156" w:after="156"/>
      </w:pPr>
      <w:r>
        <w:rPr>
          <w:rFonts w:hint="eastAsia"/>
        </w:rPr>
        <w:t>置信限的细化</w:t>
      </w:r>
    </w:p>
    <w:p>
      <w:pPr>
        <w:pStyle w:val="23"/>
      </w:pPr>
      <w:r>
        <w:rPr>
          <w:rFonts w:hint="eastAsia"/>
        </w:rPr>
        <w:t>需要99%的确定度，这样混炼胶应力松弛的真实平均值才能位于一组观测结果平均值的5%之内。如果观察到的基于正常的三个试样测定的平均值为6.8%(以百分率每十年为单位)，而标准差为0.31%(以相同单位计)，那么就可以计算出需要进行的额外重复试验的大致数量。</w:t>
      </w:r>
    </w:p>
    <w:p>
      <w:pPr>
        <w:pStyle w:val="23"/>
      </w:pPr>
      <w:r>
        <w:rPr>
          <w:rFonts w:hint="eastAsia"/>
        </w:rPr>
        <w:t>根据14.2给出的公式（77），计算出：</w:t>
      </w:r>
    </w:p>
    <w:p>
      <w:pPr>
        <w:pStyle w:val="23"/>
      </w:pPr>
      <m:oMath>
        <m:r>
          <m:rPr>
            <m:sty m:val="p"/>
          </m:rPr>
          <w:rPr>
            <w:rFonts w:ascii="Cambria Math" w:hAnsi="Cambria Math"/>
          </w:rPr>
          <m:t>n≈</m:t>
        </m:r>
        <m:sSup>
          <m:sSupPr>
            <m:ctrlPr>
              <w:rPr>
                <w:rFonts w:ascii="Cambria Math" w:hAnsi="Cambria Math"/>
                <w:szCs w:val="22"/>
              </w:rPr>
            </m:ctrlPr>
          </m:sSupPr>
          <m:e>
            <m:d>
              <m:dPr>
                <m:ctrlPr>
                  <w:rPr>
                    <w:rFonts w:ascii="Cambria Math" w:hAnsi="Cambria Math"/>
                    <w:i/>
                    <w:szCs w:val="22"/>
                  </w:rPr>
                </m:ctrlPr>
              </m:dPr>
              <m:e>
                <m:f>
                  <m:fPr>
                    <m:ctrlPr>
                      <w:rPr>
                        <w:rFonts w:ascii="Cambria Math" w:hAnsi="Cambria Math"/>
                        <w:i/>
                        <w:szCs w:val="22"/>
                      </w:rPr>
                    </m:ctrlPr>
                  </m:fPr>
                  <m:num>
                    <m:r>
                      <m:rPr/>
                      <w:rPr>
                        <w:rFonts w:ascii="Cambria Math" w:hAnsi="Cambria Math"/>
                      </w:rPr>
                      <m:t>3</m:t>
                    </m:r>
                    <m:d>
                      <m:dPr>
                        <m:ctrlPr>
                          <w:rPr>
                            <w:rFonts w:ascii="Cambria Math" w:hAnsi="Cambria Math"/>
                            <w:i/>
                            <w:szCs w:val="22"/>
                          </w:rPr>
                        </m:ctrlPr>
                      </m:dPr>
                      <m:e>
                        <m:r>
                          <m:rPr/>
                          <w:rPr>
                            <w:rFonts w:ascii="Cambria Math" w:hAnsi="Cambria Math"/>
                          </w:rPr>
                          <m:t>100×</m:t>
                        </m:r>
                        <m:f>
                          <m:fPr>
                            <m:ctrlPr>
                              <w:rPr>
                                <w:rFonts w:ascii="Cambria Math" w:hAnsi="Cambria Math"/>
                                <w:i/>
                                <w:szCs w:val="22"/>
                              </w:rPr>
                            </m:ctrlPr>
                          </m:fPr>
                          <m:num>
                            <m:r>
                              <m:rPr/>
                              <w:rPr>
                                <w:rFonts w:ascii="Cambria Math" w:hAnsi="Cambria Math"/>
                              </w:rPr>
                              <m:t>0.31</m:t>
                            </m:r>
                            <m:ctrlPr>
                              <w:rPr>
                                <w:rFonts w:ascii="Cambria Math" w:hAnsi="Cambria Math"/>
                                <w:i/>
                                <w:szCs w:val="22"/>
                              </w:rPr>
                            </m:ctrlPr>
                          </m:num>
                          <m:den>
                            <m:r>
                              <m:rPr/>
                              <w:rPr>
                                <w:rFonts w:ascii="Cambria Math" w:hAnsi="Cambria Math"/>
                              </w:rPr>
                              <m:t>6.8</m:t>
                            </m:r>
                            <m:ctrlPr>
                              <w:rPr>
                                <w:rFonts w:ascii="Cambria Math" w:hAnsi="Cambria Math"/>
                                <w:i/>
                                <w:szCs w:val="22"/>
                              </w:rPr>
                            </m:ctrlPr>
                          </m:den>
                        </m:f>
                        <m:ctrlPr>
                          <w:rPr>
                            <w:rFonts w:ascii="Cambria Math" w:hAnsi="Cambria Math"/>
                            <w:i/>
                            <w:szCs w:val="22"/>
                          </w:rPr>
                        </m:ctrlPr>
                      </m:e>
                    </m:d>
                    <m:ctrlPr>
                      <w:rPr>
                        <w:rFonts w:ascii="Cambria Math" w:hAnsi="Cambria Math"/>
                        <w:i/>
                        <w:szCs w:val="22"/>
                      </w:rPr>
                    </m:ctrlPr>
                  </m:num>
                  <m:den>
                    <m:r>
                      <m:rPr/>
                      <w:rPr>
                        <w:rFonts w:ascii="Cambria Math" w:hAnsi="Cambria Math"/>
                      </w:rPr>
                      <m:t>5</m:t>
                    </m:r>
                    <m:ctrlPr>
                      <w:rPr>
                        <w:rFonts w:ascii="Cambria Math" w:hAnsi="Cambria Math"/>
                        <w:i/>
                        <w:szCs w:val="22"/>
                      </w:rPr>
                    </m:ctrlPr>
                  </m:den>
                </m:f>
                <m:ctrlPr>
                  <w:rPr>
                    <w:rFonts w:ascii="Cambria Math" w:hAnsi="Cambria Math"/>
                    <w:i/>
                    <w:szCs w:val="22"/>
                  </w:rPr>
                </m:ctrlPr>
              </m:e>
            </m:d>
            <m:ctrlPr>
              <w:rPr>
                <w:rFonts w:ascii="Cambria Math" w:hAnsi="Cambria Math"/>
                <w:szCs w:val="22"/>
              </w:rPr>
            </m:ctrlPr>
          </m:e>
          <m:sup>
            <m:r>
              <m:rPr/>
              <w:rPr>
                <w:rFonts w:ascii="Cambria Math" w:hAnsi="Cambria Math"/>
              </w:rPr>
              <m:t>2</m:t>
            </m:r>
            <m:ctrlPr>
              <w:rPr>
                <w:rFonts w:ascii="Cambria Math" w:hAnsi="Cambria Math"/>
                <w:szCs w:val="22"/>
              </w:rPr>
            </m:ctrlPr>
          </m:sup>
        </m:sSup>
        <m:r>
          <m:rPr/>
          <w:rPr>
            <w:rFonts w:ascii="Cambria Math" w:hAnsi="Cambria Math"/>
          </w:rPr>
          <m:t>≈7</m:t>
        </m:r>
      </m:oMath>
      <w:r>
        <w:rPr>
          <w:rFonts w:hint="eastAsia"/>
        </w:rPr>
        <w:t xml:space="preserve"> </w:t>
      </w:r>
    </w:p>
    <w:p>
      <w:pPr>
        <w:pStyle w:val="23"/>
      </w:pPr>
      <w:r>
        <w:rPr>
          <w:rFonts w:hint="eastAsia"/>
        </w:rPr>
        <w:t>因此，大约还需要另外四次重复才能达到期望的平均值置信度。(17.2.2中描述的更精确的迭代过程表明需要10个试样。)</w:t>
      </w:r>
    </w:p>
    <w:p>
      <w:pPr>
        <w:pStyle w:val="64"/>
      </w:pPr>
      <w:r>
        <w:rPr>
          <w:rFonts w:hint="eastAsia"/>
        </w:rPr>
        <w:t>考虑到学生</w:t>
      </w:r>
      <w:r>
        <w:rPr>
          <w:rFonts w:ascii="Times New Roman"/>
          <w:i/>
        </w:rPr>
        <w:t>t</w:t>
      </w:r>
      <w:r>
        <w:rPr>
          <w:rFonts w:hint="eastAsia"/>
        </w:rPr>
        <w:t>值随</w:t>
      </w:r>
      <w:r>
        <w:rPr>
          <w:rFonts w:ascii="Times New Roman"/>
          <w:i/>
        </w:rPr>
        <w:t>n</w:t>
      </w:r>
      <w:r>
        <w:rPr>
          <w:rFonts w:hint="eastAsia"/>
        </w:rPr>
        <w:t>的变化，可以得到</w:t>
      </w:r>
      <w:r>
        <w:rPr>
          <w:rFonts w:ascii="Times New Roman"/>
          <w:i/>
        </w:rPr>
        <w:t>n</w:t>
      </w:r>
      <w:r>
        <w:t>≈9</w:t>
      </w:r>
      <w:r>
        <w:rPr>
          <w:rFonts w:hint="eastAsia"/>
        </w:rPr>
        <w:t>，但在实际操作中，所需的精确数取决于实际得到的结果。因此，如果</w:t>
      </w:r>
      <w:r>
        <w:t>99%</w:t>
      </w:r>
      <w:r>
        <w:rPr>
          <w:rFonts w:hint="eastAsia"/>
        </w:rPr>
        <w:t>的置信水平可以放宽，可能只需再进行三次重复试验，结果也会是令人满意的。如果感觉更大置信度才能证明额外的成本是合理的，那么就要额外试验</w:t>
      </w:r>
      <w:r>
        <w:t>6</w:t>
      </w:r>
      <w:r>
        <w:rPr>
          <w:rFonts w:hint="eastAsia"/>
        </w:rPr>
        <w:t>个。</w:t>
      </w:r>
    </w:p>
    <w:p>
      <w:pPr>
        <w:pStyle w:val="46"/>
        <w:spacing w:before="156" w:after="156"/>
      </w:pPr>
      <w:r>
        <w:rPr>
          <w:rFonts w:hint="eastAsia"/>
        </w:rPr>
        <w:t>通过/不通过状态的细化</w:t>
      </w:r>
    </w:p>
    <w:p>
      <w:pPr>
        <w:tabs>
          <w:tab w:val="left" w:pos="284"/>
          <w:tab w:val="left" w:pos="567"/>
        </w:tabs>
        <w:ind w:firstLine="420" w:firstLineChars="200"/>
      </w:pPr>
      <w:r>
        <w:rPr>
          <w:rFonts w:hint="eastAsia"/>
        </w:rPr>
        <w:t>橡胶膜对于一特定气体的渗透性要求是不小于</w:t>
      </w:r>
      <w:r>
        <w:t xml:space="preserve">5×10 </w:t>
      </w:r>
      <w:r>
        <w:rPr>
          <w:vertAlign w:val="superscript"/>
        </w:rPr>
        <w:t>-15</w:t>
      </w:r>
      <w:r>
        <w:t xml:space="preserve"> m</w:t>
      </w:r>
      <w:r>
        <w:rPr>
          <w:vertAlign w:val="superscript"/>
        </w:rPr>
        <w:t>2</w:t>
      </w:r>
      <w:r>
        <w:rPr>
          <w:rFonts w:ascii="Cambria Math" w:hAnsi="Cambria Math" w:cs="Cambria Math"/>
        </w:rPr>
        <w:t>⋅</w:t>
      </w:r>
      <w:r>
        <w:t>s</w:t>
      </w:r>
      <w:r>
        <w:rPr>
          <w:vertAlign w:val="superscript"/>
        </w:rPr>
        <w:t>-1</w:t>
      </w:r>
      <w:r>
        <w:rPr>
          <w:rFonts w:ascii="Cambria Math" w:hAnsi="Cambria Math" w:cs="Cambria Math"/>
        </w:rPr>
        <w:t>⋅</w:t>
      </w:r>
      <w:r>
        <w:t>Pa</w:t>
      </w:r>
      <w:r>
        <w:rPr>
          <w:vertAlign w:val="superscript"/>
        </w:rPr>
        <w:t>-1</w:t>
      </w:r>
      <w:r>
        <w:rPr>
          <w:rFonts w:hint="eastAsia"/>
        </w:rPr>
        <w:t>。</w:t>
      </w:r>
    </w:p>
    <w:p>
      <w:pPr>
        <w:tabs>
          <w:tab w:val="left" w:pos="284"/>
          <w:tab w:val="left" w:pos="567"/>
        </w:tabs>
        <w:ind w:firstLine="420" w:firstLineChars="200"/>
      </w:pPr>
      <w:r>
        <w:rPr>
          <w:rFonts w:hint="eastAsia"/>
        </w:rPr>
        <w:t>在给定条件下渗透性的三次测定给出：</w:t>
      </w:r>
    </w:p>
    <w:p>
      <w:pPr>
        <w:pStyle w:val="59"/>
        <w:numPr>
          <w:ilvl w:val="0"/>
          <w:numId w:val="40"/>
        </w:numPr>
      </w:pPr>
      <w:r>
        <w:rPr>
          <w:rFonts w:hint="eastAsia"/>
        </w:rPr>
        <w:t>平均值为</w:t>
      </w:r>
      <w:r>
        <w:t>6.1×10</w:t>
      </w:r>
      <w:r>
        <w:rPr>
          <w:rFonts w:ascii="Times New Roman"/>
        </w:rPr>
        <w:t xml:space="preserve"> </w:t>
      </w:r>
      <w:r>
        <w:rPr>
          <w:rFonts w:ascii="Times New Roman"/>
          <w:vertAlign w:val="superscript"/>
        </w:rPr>
        <w:t>-15</w:t>
      </w:r>
      <w:r>
        <w:rPr>
          <w:rFonts w:ascii="Times New Roman"/>
        </w:rPr>
        <w:t xml:space="preserve"> m</w:t>
      </w:r>
      <w:r>
        <w:rPr>
          <w:rFonts w:ascii="Times New Roman"/>
          <w:vertAlign w:val="superscript"/>
        </w:rPr>
        <w:t>2</w:t>
      </w:r>
      <w:r>
        <w:rPr>
          <w:rFonts w:ascii="Cambria Math" w:hAnsi="Cambria Math" w:cs="Cambria Math"/>
        </w:rPr>
        <w:t>⋅</w:t>
      </w:r>
      <w:r>
        <w:rPr>
          <w:rFonts w:ascii="Times New Roman"/>
        </w:rPr>
        <w:t>s</w:t>
      </w:r>
      <w:r>
        <w:rPr>
          <w:rFonts w:ascii="Times New Roman"/>
          <w:vertAlign w:val="superscript"/>
        </w:rPr>
        <w:t>-1</w:t>
      </w:r>
      <w:r>
        <w:rPr>
          <w:rFonts w:ascii="Cambria Math" w:hAnsi="Cambria Math" w:cs="Cambria Math"/>
        </w:rPr>
        <w:t>⋅</w:t>
      </w:r>
      <w:r>
        <w:rPr>
          <w:rFonts w:ascii="Times New Roman"/>
        </w:rPr>
        <w:t>Pa</w:t>
      </w:r>
      <w:r>
        <w:rPr>
          <w:rFonts w:ascii="Times New Roman"/>
          <w:vertAlign w:val="superscript"/>
        </w:rPr>
        <w:t>-1</w:t>
      </w:r>
      <w:r>
        <w:rPr>
          <w:rFonts w:hint="eastAsia"/>
        </w:rPr>
        <w:t>；</w:t>
      </w:r>
    </w:p>
    <w:p>
      <w:pPr>
        <w:pStyle w:val="59"/>
        <w:numPr>
          <w:ilvl w:val="0"/>
          <w:numId w:val="40"/>
        </w:numPr>
      </w:pPr>
      <w:r>
        <w:rPr>
          <w:rFonts w:hint="eastAsia"/>
        </w:rPr>
        <w:t>标准偏差</w:t>
      </w:r>
      <w:r>
        <w:t>1.45×10</w:t>
      </w:r>
      <w:r>
        <w:rPr>
          <w:rFonts w:ascii="Times New Roman"/>
        </w:rPr>
        <w:t xml:space="preserve"> </w:t>
      </w:r>
      <w:r>
        <w:rPr>
          <w:rFonts w:ascii="Times New Roman"/>
          <w:vertAlign w:val="superscript"/>
        </w:rPr>
        <w:t>-15</w:t>
      </w:r>
      <w:r>
        <w:rPr>
          <w:rFonts w:ascii="Times New Roman"/>
        </w:rPr>
        <w:t xml:space="preserve"> m</w:t>
      </w:r>
      <w:r>
        <w:rPr>
          <w:rFonts w:ascii="Times New Roman"/>
          <w:vertAlign w:val="superscript"/>
        </w:rPr>
        <w:t>2</w:t>
      </w:r>
      <w:r>
        <w:rPr>
          <w:rFonts w:ascii="Cambria Math" w:hAnsi="Cambria Math" w:cs="Cambria Math"/>
        </w:rPr>
        <w:t>⋅</w:t>
      </w:r>
      <w:r>
        <w:rPr>
          <w:rFonts w:ascii="Times New Roman"/>
        </w:rPr>
        <w:t>s</w:t>
      </w:r>
      <w:r>
        <w:rPr>
          <w:rFonts w:ascii="Times New Roman"/>
          <w:vertAlign w:val="superscript"/>
        </w:rPr>
        <w:t>-1</w:t>
      </w:r>
      <w:r>
        <w:rPr>
          <w:rFonts w:ascii="Cambria Math" w:hAnsi="Cambria Math" w:cs="Cambria Math"/>
        </w:rPr>
        <w:t>⋅</w:t>
      </w:r>
      <w:r>
        <w:rPr>
          <w:rFonts w:ascii="Times New Roman"/>
        </w:rPr>
        <w:t>Pa</w:t>
      </w:r>
      <w:r>
        <w:rPr>
          <w:rFonts w:ascii="Times New Roman"/>
          <w:vertAlign w:val="superscript"/>
        </w:rPr>
        <w:t>-1</w:t>
      </w:r>
      <w:r>
        <w:rPr>
          <w:rFonts w:hint="eastAsia"/>
        </w:rPr>
        <w:t>。</w:t>
      </w:r>
    </w:p>
    <w:p>
      <w:pPr>
        <w:pStyle w:val="23"/>
      </w:pPr>
      <w:r>
        <w:rPr>
          <w:rFonts w:hint="eastAsia"/>
        </w:rPr>
        <w:t>为了达到使薄膜满足本要求的</w:t>
      </w:r>
      <w:r>
        <w:t>95%</w:t>
      </w:r>
      <w:r>
        <w:rPr>
          <w:rFonts w:hint="eastAsia"/>
        </w:rPr>
        <w:t>确定度，可能需要的试样的数量能够计算出来：</w:t>
      </w:r>
    </w:p>
    <w:p>
      <w:pPr>
        <w:tabs>
          <w:tab w:val="left" w:pos="284"/>
          <w:tab w:val="left" w:pos="567"/>
        </w:tabs>
        <w:spacing w:before="156" w:beforeLines="50" w:after="156" w:afterLines="50"/>
      </w:pPr>
      <w:r>
        <w:rPr>
          <w:rFonts w:hint="eastAsia"/>
        </w:rPr>
        <w:t>根据</w:t>
      </w:r>
      <w:r>
        <w:t>14.2</w:t>
      </w:r>
      <w:r>
        <w:rPr>
          <w:rFonts w:hint="eastAsia"/>
        </w:rPr>
        <w:t>，</w:t>
      </w:r>
    </w:p>
    <w:p>
      <w:pPr>
        <w:pStyle w:val="23"/>
        <w:rPr>
          <w:rFonts w:ascii="Times New Roman"/>
        </w:rPr>
      </w:pPr>
      <m:oMath>
        <m:r>
          <m:rPr/>
          <w:rPr>
            <w:rFonts w:ascii="Cambria Math" w:hAnsi="Cambria Math"/>
          </w:rPr>
          <m:t>n</m:t>
        </m:r>
        <m:r>
          <m:rPr>
            <m:sty m:val="p"/>
          </m:rPr>
          <w:rPr>
            <w:rFonts w:ascii="Cambria Math" w:hAnsi="Cambria Math"/>
          </w:rPr>
          <m:t>≈</m:t>
        </m:r>
        <m:sSup>
          <m:sSupPr>
            <m:ctrlPr>
              <w:rPr>
                <w:rFonts w:ascii="Cambria Math" w:hAnsi="Cambria Math"/>
                <w:szCs w:val="22"/>
              </w:rPr>
            </m:ctrlPr>
          </m:sSupPr>
          <m:e>
            <m:r>
              <m:rPr/>
              <w:rPr>
                <w:rFonts w:ascii="Cambria Math" w:hAnsi="Cambria Math"/>
              </w:rPr>
              <m:t>(</m:t>
            </m:r>
            <m:f>
              <m:fPr>
                <m:ctrlPr>
                  <w:rPr>
                    <w:rFonts w:ascii="Cambria Math" w:hAnsi="Cambria Math"/>
                    <w:i/>
                    <w:szCs w:val="22"/>
                  </w:rPr>
                </m:ctrlPr>
              </m:fPr>
              <m:num>
                <m:r>
                  <m:rPr/>
                  <w:rPr>
                    <w:rFonts w:ascii="Cambria Math" w:hAnsi="Cambria Math"/>
                  </w:rPr>
                  <m:t>1.75×1.45</m:t>
                </m:r>
                <m:ctrlPr>
                  <w:rPr>
                    <w:rFonts w:ascii="Cambria Math" w:hAnsi="Cambria Math"/>
                    <w:i/>
                    <w:szCs w:val="22"/>
                  </w:rPr>
                </m:ctrlPr>
              </m:num>
              <m:den>
                <m:r>
                  <m:rPr/>
                  <w:rPr>
                    <w:rFonts w:ascii="Cambria Math" w:hAnsi="Cambria Math"/>
                  </w:rPr>
                  <m:t>5−6.1</m:t>
                </m:r>
                <m:ctrlPr>
                  <w:rPr>
                    <w:rFonts w:ascii="Cambria Math" w:hAnsi="Cambria Math"/>
                    <w:i/>
                    <w:szCs w:val="22"/>
                  </w:rPr>
                </m:ctrlPr>
              </m:den>
            </m:f>
            <m:r>
              <m:rPr/>
              <w:rPr>
                <w:rFonts w:ascii="Cambria Math" w:hAnsi="Cambria Math"/>
              </w:rPr>
              <m:t>)</m:t>
            </m:r>
            <m:ctrlPr>
              <w:rPr>
                <w:rFonts w:ascii="Cambria Math" w:hAnsi="Cambria Math"/>
                <w:szCs w:val="22"/>
              </w:rPr>
            </m:ctrlPr>
          </m:e>
          <m:sup>
            <m:r>
              <m:rPr/>
              <w:rPr>
                <w:rFonts w:ascii="Cambria Math" w:hAnsi="Cambria Math"/>
              </w:rPr>
              <m:t>2</m:t>
            </m:r>
            <m:ctrlPr>
              <w:rPr>
                <w:rFonts w:ascii="Cambria Math" w:hAnsi="Cambria Math"/>
                <w:szCs w:val="22"/>
              </w:rPr>
            </m:ctrlPr>
          </m:sup>
        </m:sSup>
        <m:r>
          <m:rPr/>
          <w:rPr>
            <w:rFonts w:ascii="Cambria Math" w:hAnsi="Cambria Math"/>
          </w:rPr>
          <m:t>≈5</m:t>
        </m:r>
      </m:oMath>
      <w:r>
        <w:rPr>
          <w:rFonts w:ascii="Times New Roman"/>
        </w:rPr>
        <w:t xml:space="preserve"> </w:t>
      </w:r>
    </w:p>
    <w:p>
      <w:pPr>
        <w:pStyle w:val="23"/>
      </w:pPr>
      <w:r>
        <w:rPr>
          <w:rFonts w:hint="eastAsia"/>
        </w:rPr>
        <w:t>由于试验通常是用三个试样进行的，因此可能还要另外测试三个试样。</w:t>
      </w:r>
    </w:p>
    <w:p>
      <w:pPr>
        <w:pStyle w:val="45"/>
      </w:pPr>
      <w:bookmarkStart w:id="253" w:name="_Toc124173963"/>
      <w:r>
        <w:rPr>
          <w:rFonts w:hint="eastAsia"/>
        </w:rPr>
        <w:t>结果表示</w:t>
      </w:r>
      <w:bookmarkEnd w:id="253"/>
    </w:p>
    <w:p>
      <w:pPr>
        <w:pStyle w:val="42"/>
      </w:pPr>
      <w:bookmarkStart w:id="254" w:name="_Toc124173964"/>
      <w:r>
        <w:rPr>
          <w:rFonts w:hint="eastAsia"/>
        </w:rPr>
        <w:t>原则</w:t>
      </w:r>
      <w:bookmarkEnd w:id="254"/>
    </w:p>
    <w:p>
      <w:pPr>
        <w:tabs>
          <w:tab w:val="left" w:pos="284"/>
          <w:tab w:val="left" w:pos="567"/>
        </w:tabs>
        <w:spacing w:before="156" w:beforeLines="50" w:after="156" w:afterLines="50"/>
        <w:ind w:firstLine="420" w:firstLineChars="200"/>
      </w:pPr>
      <w:r>
        <w:rPr>
          <w:rFonts w:hint="eastAsia"/>
        </w:rPr>
        <w:t>从一项统计技术的应用中获得的结果需要以有意义的形式并以与产生这些结果的数据的精度相适应的精密度水平呈现。</w:t>
      </w:r>
    </w:p>
    <w:p>
      <w:pPr>
        <w:pStyle w:val="42"/>
      </w:pPr>
      <w:bookmarkStart w:id="255" w:name="_Toc124173965"/>
      <w:r>
        <w:rPr>
          <w:rFonts w:hint="eastAsia"/>
        </w:rPr>
        <w:t>方法</w:t>
      </w:r>
      <w:bookmarkEnd w:id="255"/>
    </w:p>
    <w:p>
      <w:pPr>
        <w:pStyle w:val="46"/>
        <w:spacing w:before="156" w:after="156"/>
      </w:pPr>
      <w:r>
        <w:rPr>
          <w:rFonts w:hint="eastAsia"/>
        </w:rPr>
        <w:t>试验报告</w:t>
      </w:r>
    </w:p>
    <w:p>
      <w:pPr>
        <w:pStyle w:val="113"/>
      </w:pPr>
      <w:r>
        <w:rPr>
          <w:rFonts w:hint="eastAsia"/>
        </w:rPr>
        <w:t>提交任何数字处理结果的报告都宜给出处理方法足够的引用、所作的假设等，以便对将要作出的结果进行独立的核查。通常，给出所使用标准的编号就足够了。该标准可以是规定了数据处理方式的试验方法本身，也可以是为一般应用编写的统计标准。(例如测定剥离附着力的ISO 36和多峰值分析的ISO 6133。)</w:t>
      </w:r>
      <w:r>
        <w:t xml:space="preserve"> </w:t>
      </w:r>
      <w:r>
        <w:rPr>
          <w:rFonts w:hint="eastAsia"/>
        </w:rPr>
        <w:t>但是，在标准中包含选项的时，选择的选项必须以与物理参数（如测试速度和试样类型等）相同的方式和结果数据一起报告。</w:t>
      </w:r>
    </w:p>
    <w:p>
      <w:pPr>
        <w:pStyle w:val="113"/>
      </w:pPr>
      <w:r>
        <w:rPr>
          <w:rFonts w:hint="eastAsia"/>
        </w:rPr>
        <w:t>所使用的试验方法通常会指出在报告中要引用的统计数据，并宜总是附上这些数据，以保持与标准的一致性。当试验方法中未明确时，建议在报告中加入以下内容:</w:t>
      </w:r>
    </w:p>
    <w:p>
      <w:pPr>
        <w:pStyle w:val="59"/>
        <w:numPr>
          <w:ilvl w:val="0"/>
          <w:numId w:val="41"/>
        </w:numPr>
      </w:pPr>
      <w:r>
        <w:rPr>
          <w:rFonts w:hint="eastAsia"/>
        </w:rPr>
        <w:t>均值</w:t>
      </w:r>
      <w:r>
        <w:rPr>
          <w:rFonts w:ascii="Times New Roman"/>
        </w:rPr>
        <w:sym w:font="Symbol" w:char="0060"/>
      </w:r>
      <w:r>
        <w:rPr>
          <w:rFonts w:ascii="Times New Roman"/>
          <w:i/>
        </w:rPr>
        <w:t>x</w:t>
      </w:r>
      <w:r>
        <w:t>(</w:t>
      </w:r>
      <w:r>
        <w:rPr>
          <w:rFonts w:hint="eastAsia"/>
        </w:rPr>
        <w:t>见</w:t>
      </w:r>
      <w:r>
        <w:t>6.2.2.2)</w:t>
      </w:r>
      <w:r>
        <w:rPr>
          <w:rFonts w:hint="eastAsia"/>
        </w:rPr>
        <w:t>；</w:t>
      </w:r>
    </w:p>
    <w:p>
      <w:pPr>
        <w:pStyle w:val="59"/>
        <w:numPr>
          <w:ilvl w:val="0"/>
          <w:numId w:val="41"/>
        </w:numPr>
      </w:pPr>
      <w:r>
        <w:rPr>
          <w:rFonts w:hint="eastAsia"/>
        </w:rPr>
        <w:t>总体的估计标准差</w:t>
      </w:r>
      <w:r>
        <w:t>s(</w:t>
      </w:r>
      <w:r>
        <w:rPr>
          <w:rFonts w:hint="eastAsia"/>
        </w:rPr>
        <w:t>见</w:t>
      </w:r>
      <w:r>
        <w:t>6.2.3.2)</w:t>
      </w:r>
      <w:r>
        <w:rPr>
          <w:rFonts w:hint="eastAsia"/>
        </w:rPr>
        <w:t>；</w:t>
      </w:r>
    </w:p>
    <w:p>
      <w:pPr>
        <w:pStyle w:val="59"/>
        <w:numPr>
          <w:ilvl w:val="0"/>
          <w:numId w:val="41"/>
        </w:numPr>
      </w:pPr>
      <w:r>
        <w:rPr>
          <w:rFonts w:hint="eastAsia"/>
        </w:rPr>
        <w:t>变异系数，</w:t>
      </w:r>
      <w:r>
        <w:t>Cv(</w:t>
      </w:r>
      <w:r>
        <w:rPr>
          <w:rFonts w:hint="eastAsia"/>
        </w:rPr>
        <w:t>见</w:t>
      </w:r>
      <w:r>
        <w:t>6.2.3.4)</w:t>
      </w:r>
      <w:r>
        <w:rPr>
          <w:rFonts w:hint="eastAsia"/>
        </w:rPr>
        <w:t>；</w:t>
      </w:r>
    </w:p>
    <w:p>
      <w:pPr>
        <w:pStyle w:val="59"/>
        <w:numPr>
          <w:ilvl w:val="0"/>
          <w:numId w:val="41"/>
        </w:numPr>
      </w:pPr>
      <w:r>
        <w:rPr>
          <w:rFonts w:hint="eastAsia"/>
        </w:rPr>
        <w:t>每个试验结果；</w:t>
      </w:r>
    </w:p>
    <w:p>
      <w:pPr>
        <w:pStyle w:val="59"/>
        <w:numPr>
          <w:ilvl w:val="0"/>
          <w:numId w:val="41"/>
        </w:numPr>
      </w:pPr>
      <w:r>
        <w:rPr>
          <w:rFonts w:hint="eastAsia"/>
        </w:rPr>
        <w:t>不确定性的估计，如果有。</w:t>
      </w:r>
    </w:p>
    <w:p>
      <w:pPr>
        <w:pStyle w:val="113"/>
      </w:pPr>
      <w:r>
        <w:rPr>
          <w:rFonts w:hint="eastAsia"/>
        </w:rPr>
        <w:t>如果有充分的理由预期测试结果是非高斯分布，并且不需要进一步的统计学检验，则宜仅用中位数来代替平均值、标准差等。如果需要使用每个结果进行进一步的统计检验，那么宜考虑转换技术。</w:t>
      </w:r>
    </w:p>
    <w:p>
      <w:pPr>
        <w:pStyle w:val="64"/>
      </w:pPr>
      <w:r>
        <w:rPr>
          <w:rFonts w:hint="eastAsia"/>
        </w:rPr>
        <w:t>还宜考虑中心极限定理(见6.2.4)。</w:t>
      </w:r>
    </w:p>
    <w:p>
      <w:pPr>
        <w:pStyle w:val="113"/>
        <w:rPr>
          <w:szCs w:val="22"/>
        </w:rPr>
      </w:pPr>
      <w:r>
        <w:rPr>
          <w:rFonts w:hint="eastAsia"/>
        </w:rPr>
        <w:t>在许多情况下，一组数据的项数很少(少于12个)，并且在报告中给出每个值并不麻烦。这也是一个很好的惯例，因为这易于做进一步的分析。</w:t>
      </w:r>
    </w:p>
    <w:p>
      <w:pPr>
        <w:pStyle w:val="113"/>
      </w:pPr>
      <w:r>
        <w:rPr>
          <w:rFonts w:hint="eastAsia"/>
        </w:rPr>
        <w:t>在遇到大数据集时，可以用某种形式的图表来代替。特别是在考虑质量控制的情况下(见第18章)，在过程中隐含有持续的时间因素。如果一个大的数据集指的是单组结果，那么生成一个直方图而不是引用每个值会更有帮助。</w:t>
      </w:r>
    </w:p>
    <w:p>
      <w:pPr>
        <w:pStyle w:val="113"/>
      </w:pPr>
      <w:r>
        <w:rPr>
          <w:rFonts w:hint="eastAsia"/>
        </w:rPr>
        <w:t>根据数据集生成直方图的步骤如下:</w:t>
      </w:r>
    </w:p>
    <w:p>
      <w:pPr>
        <w:pStyle w:val="59"/>
        <w:numPr>
          <w:ilvl w:val="0"/>
          <w:numId w:val="42"/>
        </w:numPr>
      </w:pPr>
      <w:r>
        <w:rPr>
          <w:rFonts w:hint="eastAsia"/>
        </w:rPr>
        <w:t>将数据集分为合适的间隔数</w:t>
      </w:r>
      <w:r>
        <w:t>(</w:t>
      </w:r>
      <w:r>
        <w:rPr>
          <w:rFonts w:hint="eastAsia"/>
        </w:rPr>
        <w:t>一般约为</w:t>
      </w:r>
      <w:r>
        <w:t>10</w:t>
      </w:r>
      <w:r>
        <w:rPr>
          <w:rFonts w:hint="eastAsia"/>
        </w:rPr>
        <w:t>个</w:t>
      </w:r>
      <w:r>
        <w:t>)</w:t>
      </w:r>
      <w:r>
        <w:rPr>
          <w:rFonts w:hint="eastAsia"/>
        </w:rPr>
        <w:t>，覆盖观察范围</w:t>
      </w:r>
      <w:r>
        <w:t>;</w:t>
      </w:r>
    </w:p>
    <w:p>
      <w:pPr>
        <w:pStyle w:val="59"/>
        <w:numPr>
          <w:ilvl w:val="0"/>
          <w:numId w:val="42"/>
        </w:numPr>
      </w:pPr>
      <w:r>
        <w:rPr>
          <w:rFonts w:hint="eastAsia"/>
        </w:rPr>
        <w:t>确定每个间隔内的结果数，并为每个间隔条绘出此结果数。</w:t>
      </w:r>
    </w:p>
    <w:p>
      <w:pPr>
        <w:pStyle w:val="23"/>
      </w:pPr>
      <w:r>
        <w:rPr>
          <w:rFonts w:hint="eastAsia"/>
        </w:rPr>
        <w:t>如果</w:t>
      </w:r>
      <w:r>
        <w:rPr>
          <w:rFonts w:hint="eastAsia"/>
          <w:color w:val="FF0000"/>
        </w:rPr>
        <w:t>歧离值</w:t>
      </w:r>
      <w:r>
        <w:rPr>
          <w:rFonts w:hint="eastAsia"/>
        </w:rPr>
        <w:t>产生数量很少且不规则条目数的末端组，那么有大约最多</w:t>
      </w:r>
      <w:r>
        <w:t>5%</w:t>
      </w:r>
      <w:r>
        <w:rPr>
          <w:rFonts w:hint="eastAsia"/>
        </w:rPr>
        <w:t>的结果可能位于选择的区间范围之外。在这种情况下，保留末端间隔组的一侧开放。</w:t>
      </w:r>
    </w:p>
    <w:p>
      <w:pPr>
        <w:pStyle w:val="23"/>
        <w:rPr>
          <w:rFonts w:ascii="Times New Roman"/>
        </w:rPr>
      </w:pPr>
      <w:r>
        <w:rPr>
          <w:rFonts w:ascii="Times New Roman"/>
        </w:rPr>
        <w:t>例如，拉断伸长率的间隔可以设置为每隔20%，从200%开始到400%结束。然后，第一个间隔将被划定为所有拉断伸长率小于200%的值，最后一个间隔划为拉断伸长率大于或等于400%的值。中间间隔可以是200%</w:t>
      </w:r>
      <w:r>
        <w:rPr>
          <w:rFonts w:hint="eastAsia" w:ascii="Times New Roman"/>
        </w:rPr>
        <w:t>~</w:t>
      </w:r>
      <w:r>
        <w:rPr>
          <w:rFonts w:ascii="Times New Roman"/>
        </w:rPr>
        <w:t>&lt; 220%，220%</w:t>
      </w:r>
      <w:r>
        <w:rPr>
          <w:rFonts w:hint="eastAsia" w:ascii="Times New Roman"/>
        </w:rPr>
        <w:t>~</w:t>
      </w:r>
      <w:r>
        <w:rPr>
          <w:rFonts w:ascii="Times New Roman"/>
        </w:rPr>
        <w:t>&lt; 240%，等等(参见图8)。</w:t>
      </w:r>
    </w:p>
    <w:p>
      <w:pPr>
        <w:pStyle w:val="23"/>
      </w:pPr>
      <w:r>
        <w:drawing>
          <wp:inline distT="0" distB="0" distL="0" distR="0">
            <wp:extent cx="5274945" cy="3650615"/>
            <wp:effectExtent l="0" t="0" r="1905" b="6985"/>
            <wp:docPr id="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945" cy="3650615"/>
                    </a:xfrm>
                    <a:prstGeom prst="rect">
                      <a:avLst/>
                    </a:prstGeom>
                    <a:noFill/>
                    <a:ln>
                      <a:noFill/>
                    </a:ln>
                  </pic:spPr>
                </pic:pic>
              </a:graphicData>
            </a:graphic>
          </wp:inline>
        </w:drawing>
      </w:r>
    </w:p>
    <w:p>
      <w:pPr>
        <w:pStyle w:val="23"/>
        <w:rPr>
          <w:rFonts w:ascii="Times New Roman"/>
        </w:rPr>
      </w:pPr>
      <w:r>
        <w:rPr>
          <w:rFonts w:ascii="Times New Roman"/>
        </w:rPr>
        <w:t>说明：</w:t>
      </w:r>
    </w:p>
    <w:p>
      <w:pPr>
        <w:pStyle w:val="23"/>
        <w:ind w:left="420" w:leftChars="200"/>
        <w:rPr>
          <w:rFonts w:ascii="Times New Roman"/>
        </w:rPr>
      </w:pPr>
      <w:r>
        <w:rPr>
          <w:rFonts w:ascii="Times New Roman"/>
        </w:rPr>
        <w:t>X——拉断伸长率（%）</w:t>
      </w:r>
    </w:p>
    <w:p>
      <w:pPr>
        <w:pStyle w:val="23"/>
        <w:ind w:left="420" w:leftChars="200"/>
        <w:rPr>
          <w:rFonts w:ascii="Times New Roman"/>
        </w:rPr>
      </w:pPr>
      <w:r>
        <w:rPr>
          <w:rFonts w:ascii="Times New Roman"/>
        </w:rPr>
        <w:t>Y——观测值数</w:t>
      </w:r>
    </w:p>
    <w:p>
      <w:pPr>
        <w:pStyle w:val="129"/>
        <w:rPr>
          <w:szCs w:val="22"/>
        </w:rPr>
      </w:pPr>
      <w:r>
        <w:rPr>
          <w:rFonts w:hint="eastAsia"/>
        </w:rPr>
        <w:t>拉断伸长率直方图</w:t>
      </w:r>
      <w:r>
        <w:rPr>
          <w:rFonts w:hint="eastAsia" w:ascii="宋体" w:hAnsi="宋体" w:eastAsia="宋体"/>
        </w:rPr>
        <w:t>（见表</w:t>
      </w:r>
      <w:r>
        <w:rPr>
          <w:rFonts w:ascii="宋体" w:hAnsi="宋体" w:eastAsia="宋体"/>
        </w:rPr>
        <w:t>38</w:t>
      </w:r>
      <w:r>
        <w:rPr>
          <w:rFonts w:hint="eastAsia" w:ascii="宋体" w:hAnsi="宋体" w:eastAsia="宋体"/>
        </w:rPr>
        <w:t>）</w:t>
      </w:r>
    </w:p>
    <w:p>
      <w:pPr>
        <w:pStyle w:val="46"/>
        <w:spacing w:before="156" w:after="156"/>
      </w:pPr>
      <w:r>
        <w:rPr>
          <w:rFonts w:hint="eastAsia"/>
        </w:rPr>
        <w:t>数值修约</w:t>
      </w:r>
    </w:p>
    <w:p>
      <w:pPr>
        <w:pStyle w:val="113"/>
        <w:rPr>
          <w:rFonts w:ascii="Times New Roman"/>
        </w:rPr>
      </w:pPr>
      <w:r>
        <w:rPr>
          <w:rFonts w:ascii="Times New Roman"/>
        </w:rPr>
        <w:t>任何参数的测量，例如长度、质量、力、浓度，只能在一定的精度下进行，该精度取决于用于进行测量的设备的特性。因此，通常可以用普通的实验室天平非常精确地测量质量。</w:t>
      </w:r>
    </w:p>
    <w:p>
      <w:pPr>
        <w:pStyle w:val="23"/>
        <w:rPr>
          <w:rFonts w:ascii="Times New Roman"/>
        </w:rPr>
      </w:pPr>
      <w:r>
        <w:rPr>
          <w:rFonts w:ascii="Times New Roman"/>
        </w:rPr>
        <w:t>例如，测量一个100g的样品，通常可以达到比1mg更好的精度。假设质量的测量精度是1 mg，那么它就是其值的0.01%。同样，数字表盘比较仪或许能测量到0.01mm，但是2mm的厚度测量精度不可能好于0.5%。(测量不确定度的详情见第12章。)</w:t>
      </w:r>
    </w:p>
    <w:p>
      <w:pPr>
        <w:pStyle w:val="113"/>
        <w:rPr>
          <w:rFonts w:ascii="Times New Roman"/>
        </w:rPr>
      </w:pPr>
      <w:r>
        <w:rPr>
          <w:rFonts w:ascii="Times New Roman"/>
        </w:rPr>
        <w:t>当对直接测量的参数进行计算时，几乎总是会产生一种错误的精确感。在数学过程中隐含的是，被处理的数字是准确的，而实际上并非如此。考虑上面的厚度测量。取三个读数，给出结果2.01 mm、2.03 mm、2.03 mm。平均数的计算结果是2.023 333 333…mm。如果原始值是绝对正确的，那么这个平均值也将是绝对正确的。然而，用更精确的仪器重新测量得到的厚度值分别为2.013mm、2.025mm和2.027mm。现在,平均值似乎是2.021 666 66…mm。这两个平均值的不同完全是由于在推导过程中所使用的数据的精度不同造成的。类似的考虑也适用于应力、变形和松弛等非统计导出函数。</w:t>
      </w:r>
    </w:p>
    <w:p>
      <w:pPr>
        <w:pStyle w:val="113"/>
        <w:rPr>
          <w:rFonts w:ascii="Times New Roman"/>
        </w:rPr>
      </w:pPr>
      <w:r>
        <w:rPr>
          <w:rFonts w:ascii="Times New Roman"/>
        </w:rPr>
        <w:t>由15.2.2.2可知，在报告计算结果时，所得统计量的有效数字不宜比推导过程中使用的最不精确测量的有效数字的位数多。在上面的例子中，第一个平均值宜报告为2.02，第二个平均值宜报告为2.022。</w:t>
      </w:r>
    </w:p>
    <w:p>
      <w:pPr>
        <w:pStyle w:val="113"/>
        <w:rPr>
          <w:rFonts w:ascii="Times New Roman"/>
        </w:rPr>
      </w:pPr>
      <w:r>
        <w:rPr>
          <w:rFonts w:ascii="Times New Roman"/>
        </w:rPr>
        <w:t>然而，当导出的统计数据本身要用于进一步的计算时，则至少宜多保留一个有效数字，纯粹是为了计算目的，以避免四舍五入过程中可能产生的误差累积。在15.2.2.2的例子中，如果要用厚度来计算应力，则第一个平均值宜为2.023，第二个平均值宜为2.0217。</w:t>
      </w:r>
    </w:p>
    <w:p>
      <w:pPr>
        <w:pStyle w:val="113"/>
        <w:rPr>
          <w:rFonts w:ascii="Times New Roman"/>
        </w:rPr>
      </w:pPr>
      <w:r>
        <w:rPr>
          <w:rFonts w:ascii="Times New Roman"/>
        </w:rPr>
        <w:t>前述条款中给出的规则是有用的概括，但也宜顾虑到常识性的因素。因此，当要将具有不同内在精度的测量参数组合在一起时，在已经具有最大内在精度的参数中保持最高水平的精度几乎没有价值。再次使用前面的例子，力的参数不太可能被测量到大于三位有效数字，因此使用引用到五位有效数字的平均厚度将不会提高计算应力的精度。在这种情况下，可以保留2.022的平均值而不会损失准确性。</w:t>
      </w:r>
    </w:p>
    <w:p>
      <w:pPr>
        <w:pStyle w:val="42"/>
      </w:pPr>
      <w:bookmarkStart w:id="256" w:name="_Toc124173966"/>
      <w:r>
        <w:rPr>
          <w:rFonts w:hint="eastAsia"/>
        </w:rPr>
        <w:t>在橡胶试验中的应用</w:t>
      </w:r>
      <w:bookmarkEnd w:id="256"/>
    </w:p>
    <w:p>
      <w:pPr>
        <w:pStyle w:val="46"/>
        <w:spacing w:before="156" w:after="156"/>
      </w:pPr>
      <w:r>
        <w:rPr>
          <w:rFonts w:hint="eastAsia"/>
        </w:rPr>
        <w:t>概述</w:t>
      </w:r>
    </w:p>
    <w:p>
      <w:pPr>
        <w:pStyle w:val="23"/>
      </w:pPr>
      <w:r>
        <w:rPr>
          <w:rFonts w:hint="eastAsia"/>
        </w:rPr>
        <w:t>作为一般规则，当报告参数的值时:</w:t>
      </w:r>
    </w:p>
    <w:p>
      <w:pPr>
        <w:pStyle w:val="59"/>
        <w:numPr>
          <w:ilvl w:val="0"/>
          <w:numId w:val="43"/>
        </w:numPr>
      </w:pPr>
      <w:r>
        <w:rPr>
          <w:rFonts w:hint="eastAsia"/>
        </w:rPr>
        <w:t>线性尺寸、体积、力和应力不宜超过三位有效数字;</w:t>
      </w:r>
    </w:p>
    <w:p>
      <w:pPr>
        <w:pStyle w:val="59"/>
        <w:numPr>
          <w:ilvl w:val="0"/>
          <w:numId w:val="43"/>
        </w:numPr>
      </w:pPr>
      <w:r>
        <w:rPr>
          <w:rFonts w:hint="eastAsia"/>
        </w:rPr>
        <w:t>应变和能量不宜超过两位有效数字;</w:t>
      </w:r>
    </w:p>
    <w:p>
      <w:pPr>
        <w:pStyle w:val="59"/>
        <w:numPr>
          <w:ilvl w:val="0"/>
          <w:numId w:val="43"/>
        </w:numPr>
      </w:pPr>
      <w:r>
        <w:rPr>
          <w:rFonts w:hint="eastAsia"/>
        </w:rPr>
        <w:t>质量可以报告至四位有效数字，尽管通常三位就足够了。</w:t>
      </w:r>
    </w:p>
    <w:p>
      <w:pPr>
        <w:pStyle w:val="46"/>
        <w:spacing w:before="156" w:after="156"/>
      </w:pPr>
      <w:r>
        <w:rPr>
          <w:rFonts w:hint="eastAsia"/>
        </w:rPr>
        <w:t>构建直方图</w:t>
      </w:r>
    </w:p>
    <w:p>
      <w:pPr>
        <w:pStyle w:val="23"/>
      </w:pPr>
      <w:r>
        <w:rPr>
          <w:rFonts w:hint="eastAsia"/>
        </w:rPr>
        <w:t>在单批混炼胶中对大量(150个)哑铃试样进行拉伸试验，其拉断伸长率的值分布在200%到400%之间。将该区间按20%的间隔分为10个条带，得到表38。</w:t>
      </w:r>
    </w:p>
    <w:p>
      <w:pPr>
        <w:pStyle w:val="127"/>
        <w:ind w:left="0"/>
      </w:pPr>
      <w:r>
        <w:rPr>
          <w:rFonts w:hint="eastAsia"/>
        </w:rPr>
        <w:t>拉断伸长率值</w:t>
      </w:r>
    </w:p>
    <w:tbl>
      <w:tblPr>
        <w:tblStyle w:val="33"/>
        <w:tblW w:w="5000" w:type="pct"/>
        <w:jc w:val="center"/>
        <w:tblLayout w:type="autofit"/>
        <w:tblCellMar>
          <w:top w:w="0" w:type="dxa"/>
          <w:left w:w="108" w:type="dxa"/>
          <w:bottom w:w="0" w:type="dxa"/>
          <w:right w:w="108" w:type="dxa"/>
        </w:tblCellMar>
      </w:tblPr>
      <w:tblGrid>
        <w:gridCol w:w="5210"/>
        <w:gridCol w:w="4360"/>
      </w:tblGrid>
      <w:tr>
        <w:tblPrEx>
          <w:tblCellMar>
            <w:top w:w="0" w:type="dxa"/>
            <w:left w:w="108" w:type="dxa"/>
            <w:bottom w:w="0" w:type="dxa"/>
            <w:right w:w="108" w:type="dxa"/>
          </w:tblCellMar>
        </w:tblPrEx>
        <w:trPr>
          <w:trHeight w:val="270" w:hRule="atLeast"/>
          <w:jc w:val="center"/>
        </w:trPr>
        <w:tc>
          <w:tcPr>
            <w:tcW w:w="272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伸长率</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78"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观测数</w:t>
            </w:r>
          </w:p>
        </w:tc>
      </w:tr>
      <w:tr>
        <w:tblPrEx>
          <w:tblCellMar>
            <w:top w:w="0" w:type="dxa"/>
            <w:left w:w="108" w:type="dxa"/>
            <w:bottom w:w="0" w:type="dxa"/>
            <w:right w:w="108" w:type="dxa"/>
          </w:tblCellMar>
        </w:tblPrEx>
        <w:trPr>
          <w:trHeight w:val="270" w:hRule="atLeast"/>
          <w:jc w:val="center"/>
        </w:trPr>
        <w:tc>
          <w:tcPr>
            <w:tcW w:w="2722"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&lt; 200</w:t>
            </w:r>
          </w:p>
        </w:tc>
        <w:tc>
          <w:tcPr>
            <w:tcW w:w="227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r>
      <w:tr>
        <w:tblPrEx>
          <w:tblCellMar>
            <w:top w:w="0" w:type="dxa"/>
            <w:left w:w="108" w:type="dxa"/>
            <w:bottom w:w="0" w:type="dxa"/>
            <w:right w:w="108" w:type="dxa"/>
          </w:tblCellMar>
        </w:tblPrEx>
        <w:trPr>
          <w:trHeight w:val="270" w:hRule="atLeast"/>
          <w:jc w:val="center"/>
        </w:trPr>
        <w:tc>
          <w:tcPr>
            <w:tcW w:w="2722"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200 ～ &lt; 220</w:t>
            </w:r>
          </w:p>
        </w:tc>
        <w:tc>
          <w:tcPr>
            <w:tcW w:w="227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r>
      <w:tr>
        <w:tblPrEx>
          <w:tblCellMar>
            <w:top w:w="0" w:type="dxa"/>
            <w:left w:w="108" w:type="dxa"/>
            <w:bottom w:w="0" w:type="dxa"/>
            <w:right w:w="108" w:type="dxa"/>
          </w:tblCellMar>
        </w:tblPrEx>
        <w:trPr>
          <w:trHeight w:val="270" w:hRule="atLeast"/>
          <w:jc w:val="center"/>
        </w:trPr>
        <w:tc>
          <w:tcPr>
            <w:tcW w:w="2722"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220 ～ &lt; 240</w:t>
            </w:r>
          </w:p>
        </w:tc>
        <w:tc>
          <w:tcPr>
            <w:tcW w:w="227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r>
      <w:tr>
        <w:tblPrEx>
          <w:tblCellMar>
            <w:top w:w="0" w:type="dxa"/>
            <w:left w:w="108" w:type="dxa"/>
            <w:bottom w:w="0" w:type="dxa"/>
            <w:right w:w="108" w:type="dxa"/>
          </w:tblCellMar>
        </w:tblPrEx>
        <w:trPr>
          <w:trHeight w:val="270" w:hRule="atLeast"/>
          <w:jc w:val="center"/>
        </w:trPr>
        <w:tc>
          <w:tcPr>
            <w:tcW w:w="2722"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240 ～ &lt; 260</w:t>
            </w:r>
          </w:p>
        </w:tc>
        <w:tc>
          <w:tcPr>
            <w:tcW w:w="227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r>
      <w:tr>
        <w:tblPrEx>
          <w:tblCellMar>
            <w:top w:w="0" w:type="dxa"/>
            <w:left w:w="108" w:type="dxa"/>
            <w:bottom w:w="0" w:type="dxa"/>
            <w:right w:w="108" w:type="dxa"/>
          </w:tblCellMar>
        </w:tblPrEx>
        <w:trPr>
          <w:trHeight w:val="270" w:hRule="atLeast"/>
          <w:jc w:val="center"/>
        </w:trPr>
        <w:tc>
          <w:tcPr>
            <w:tcW w:w="2722"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260 ～ &lt; 280</w:t>
            </w:r>
          </w:p>
        </w:tc>
        <w:tc>
          <w:tcPr>
            <w:tcW w:w="227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r>
      <w:tr>
        <w:tblPrEx>
          <w:tblCellMar>
            <w:top w:w="0" w:type="dxa"/>
            <w:left w:w="108" w:type="dxa"/>
            <w:bottom w:w="0" w:type="dxa"/>
            <w:right w:w="108" w:type="dxa"/>
          </w:tblCellMar>
        </w:tblPrEx>
        <w:trPr>
          <w:trHeight w:val="270" w:hRule="atLeast"/>
          <w:jc w:val="center"/>
        </w:trPr>
        <w:tc>
          <w:tcPr>
            <w:tcW w:w="2722"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280 ～ &lt; 300</w:t>
            </w:r>
          </w:p>
        </w:tc>
        <w:tc>
          <w:tcPr>
            <w:tcW w:w="227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r>
      <w:tr>
        <w:tblPrEx>
          <w:tblCellMar>
            <w:top w:w="0" w:type="dxa"/>
            <w:left w:w="108" w:type="dxa"/>
            <w:bottom w:w="0" w:type="dxa"/>
            <w:right w:w="108" w:type="dxa"/>
          </w:tblCellMar>
        </w:tblPrEx>
        <w:trPr>
          <w:trHeight w:val="270" w:hRule="atLeast"/>
          <w:jc w:val="center"/>
        </w:trPr>
        <w:tc>
          <w:tcPr>
            <w:tcW w:w="2722"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300 ～ &lt; 320</w:t>
            </w:r>
          </w:p>
        </w:tc>
        <w:tc>
          <w:tcPr>
            <w:tcW w:w="227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r>
      <w:tr>
        <w:tblPrEx>
          <w:tblCellMar>
            <w:top w:w="0" w:type="dxa"/>
            <w:left w:w="108" w:type="dxa"/>
            <w:bottom w:w="0" w:type="dxa"/>
            <w:right w:w="108" w:type="dxa"/>
          </w:tblCellMar>
        </w:tblPrEx>
        <w:trPr>
          <w:trHeight w:val="270" w:hRule="atLeast"/>
          <w:jc w:val="center"/>
        </w:trPr>
        <w:tc>
          <w:tcPr>
            <w:tcW w:w="2722"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320 ～ &lt; 340</w:t>
            </w:r>
          </w:p>
        </w:tc>
        <w:tc>
          <w:tcPr>
            <w:tcW w:w="227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r>
      <w:tr>
        <w:tblPrEx>
          <w:tblCellMar>
            <w:top w:w="0" w:type="dxa"/>
            <w:left w:w="108" w:type="dxa"/>
            <w:bottom w:w="0" w:type="dxa"/>
            <w:right w:w="108" w:type="dxa"/>
          </w:tblCellMar>
        </w:tblPrEx>
        <w:trPr>
          <w:trHeight w:val="270" w:hRule="atLeast"/>
          <w:jc w:val="center"/>
        </w:trPr>
        <w:tc>
          <w:tcPr>
            <w:tcW w:w="2722"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340 ～ &lt; 360</w:t>
            </w:r>
          </w:p>
        </w:tc>
        <w:tc>
          <w:tcPr>
            <w:tcW w:w="227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r>
      <w:tr>
        <w:tblPrEx>
          <w:tblCellMar>
            <w:top w:w="0" w:type="dxa"/>
            <w:left w:w="108" w:type="dxa"/>
            <w:bottom w:w="0" w:type="dxa"/>
            <w:right w:w="108" w:type="dxa"/>
          </w:tblCellMar>
        </w:tblPrEx>
        <w:trPr>
          <w:trHeight w:val="270" w:hRule="atLeast"/>
          <w:jc w:val="center"/>
        </w:trPr>
        <w:tc>
          <w:tcPr>
            <w:tcW w:w="2722"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360 ～ &lt; 380</w:t>
            </w:r>
          </w:p>
        </w:tc>
        <w:tc>
          <w:tcPr>
            <w:tcW w:w="227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r>
      <w:tr>
        <w:tblPrEx>
          <w:tblCellMar>
            <w:top w:w="0" w:type="dxa"/>
            <w:left w:w="108" w:type="dxa"/>
            <w:bottom w:w="0" w:type="dxa"/>
            <w:right w:w="108" w:type="dxa"/>
          </w:tblCellMar>
        </w:tblPrEx>
        <w:trPr>
          <w:trHeight w:val="270" w:hRule="atLeast"/>
          <w:jc w:val="center"/>
        </w:trPr>
        <w:tc>
          <w:tcPr>
            <w:tcW w:w="2722"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380 ～ &lt; 400</w:t>
            </w:r>
          </w:p>
        </w:tc>
        <w:tc>
          <w:tcPr>
            <w:tcW w:w="227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r>
      <w:tr>
        <w:tblPrEx>
          <w:tblCellMar>
            <w:top w:w="0" w:type="dxa"/>
            <w:left w:w="108" w:type="dxa"/>
            <w:bottom w:w="0" w:type="dxa"/>
            <w:right w:w="108" w:type="dxa"/>
          </w:tblCellMar>
        </w:tblPrEx>
        <w:trPr>
          <w:trHeight w:val="270" w:hRule="atLeast"/>
          <w:jc w:val="center"/>
        </w:trPr>
        <w:tc>
          <w:tcPr>
            <w:tcW w:w="2722"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400</w:t>
            </w:r>
          </w:p>
        </w:tc>
        <w:tc>
          <w:tcPr>
            <w:tcW w:w="227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r>
    </w:tbl>
    <w:p>
      <w:pPr>
        <w:pStyle w:val="23"/>
      </w:pPr>
      <w:r>
        <w:rPr>
          <w:rFonts w:hint="eastAsia"/>
        </w:rPr>
        <w:t>数据的直方图在图</w:t>
      </w:r>
      <w:r>
        <w:t>8</w:t>
      </w:r>
      <w:r>
        <w:rPr>
          <w:rFonts w:hint="eastAsia"/>
        </w:rPr>
        <w:t>中给出，数据的图形表示清楚而简单地表达了观察到的分布的宽度和中心。</w:t>
      </w:r>
    </w:p>
    <w:p>
      <w:pPr>
        <w:pStyle w:val="46"/>
        <w:spacing w:before="156" w:after="156"/>
      </w:pPr>
      <w:r>
        <w:rPr>
          <w:rFonts w:hint="eastAsia"/>
        </w:rPr>
        <w:t>修约示例</w:t>
      </w:r>
    </w:p>
    <w:p>
      <w:pPr>
        <w:pStyle w:val="23"/>
      </w:pPr>
      <w:r>
        <w:rPr>
          <w:rFonts w:hint="eastAsia"/>
        </w:rPr>
        <w:t>考虑一个间歇应力松弛试验，其中试样宽10.02mm，厚1.03mm，当拉伸到50%时，初始力为150N。测量两个尺寸，精确至0.01mm；测量力，精确至1N。因此，初始应力计算为：</w:t>
      </w:r>
    </w:p>
    <w:p>
      <w:pPr>
        <w:pStyle w:val="23"/>
      </w:pPr>
      <m:oMath>
        <m:r>
          <m:rPr>
            <m:sty m:val="p"/>
          </m:rPr>
          <w:rPr>
            <w:rFonts w:hint="eastAsia" w:ascii="Cambria Math" w:hAnsi="Cambria Math"/>
          </w:rPr>
          <m:t>应力</m:t>
        </m:r>
        <m:r>
          <m:rPr>
            <m:sty m:val="p"/>
          </m:rPr>
          <w:rPr>
            <w:rFonts w:ascii="Cambria Math" w:hAnsi="Cambria Math"/>
          </w:rPr>
          <m:t>=</m:t>
        </m:r>
        <m:f>
          <m:fPr>
            <m:ctrlPr>
              <w:rPr>
                <w:rFonts w:ascii="Cambria Math" w:hAnsi="Cambria Math"/>
                <w:szCs w:val="22"/>
              </w:rPr>
            </m:ctrlPr>
          </m:fPr>
          <m:num>
            <m:r>
              <m:rPr/>
              <w:rPr>
                <w:rFonts w:ascii="Cambria Math" w:hAnsi="Cambria Math"/>
              </w:rPr>
              <m:t>150</m:t>
            </m:r>
            <m:ctrlPr>
              <w:rPr>
                <w:rFonts w:ascii="Cambria Math" w:hAnsi="Cambria Math"/>
                <w:szCs w:val="22"/>
              </w:rPr>
            </m:ctrlPr>
          </m:num>
          <m:den>
            <m:r>
              <m:rPr/>
              <w:rPr>
                <w:rFonts w:ascii="Cambria Math" w:hAnsi="Cambria Math"/>
              </w:rPr>
              <m:t>10.02×1.03</m:t>
            </m:r>
            <m:ctrlPr>
              <w:rPr>
                <w:rFonts w:ascii="Cambria Math" w:hAnsi="Cambria Math"/>
                <w:szCs w:val="22"/>
              </w:rPr>
            </m:ctrlPr>
          </m:den>
        </m:f>
        <m:r>
          <m:rPr/>
          <w:rPr>
            <w:rFonts w:ascii="Cambria Math" w:hAnsi="Cambria Math"/>
          </w:rPr>
          <m:t>=14.534 038…</m:t>
        </m:r>
      </m:oMath>
      <w:r>
        <w:rPr>
          <w:rFonts w:hint="eastAsia"/>
        </w:rPr>
        <w:t xml:space="preserve"> </w:t>
      </w:r>
    </w:p>
    <w:p>
      <w:pPr>
        <w:pStyle w:val="23"/>
      </w:pPr>
      <w:r>
        <w:rPr>
          <w:rFonts w:hint="eastAsia"/>
        </w:rPr>
        <w:t>宽度测量到4位有效数字，而厚度和力只测量到3位有效数字，因此最终应力也宜报告到3位有效数字，即14.5 MPa。</w:t>
      </w:r>
    </w:p>
    <w:p>
      <w:pPr>
        <w:pStyle w:val="23"/>
      </w:pPr>
      <w:r>
        <w:rPr>
          <w:rFonts w:hint="eastAsia"/>
        </w:rPr>
        <w:t>过了一段时间，力减小到67N，所以应力现在变成了:</w:t>
      </w:r>
    </w:p>
    <w:p>
      <w:pPr>
        <w:pStyle w:val="23"/>
      </w:pPr>
      <m:oMath>
        <m:r>
          <m:rPr>
            <m:sty m:val="p"/>
          </m:rPr>
          <w:rPr>
            <w:rFonts w:hint="eastAsia" w:ascii="Cambria Math" w:hAnsi="Cambria Math"/>
          </w:rPr>
          <m:t>应力</m:t>
        </m:r>
        <m:r>
          <m:rPr>
            <m:sty m:val="p"/>
          </m:rPr>
          <w:rPr>
            <w:rFonts w:ascii="Cambria Math" w:hAnsi="Cambria Math"/>
          </w:rPr>
          <m:t>=</m:t>
        </m:r>
        <m:f>
          <m:fPr>
            <m:ctrlPr>
              <w:rPr>
                <w:rFonts w:ascii="Cambria Math" w:hAnsi="Cambria Math"/>
                <w:szCs w:val="22"/>
              </w:rPr>
            </m:ctrlPr>
          </m:fPr>
          <m:num>
            <m:r>
              <m:rPr/>
              <w:rPr>
                <w:rFonts w:ascii="Cambria Math" w:hAnsi="Cambria Math"/>
              </w:rPr>
              <m:t>67</m:t>
            </m:r>
            <m:ctrlPr>
              <w:rPr>
                <w:rFonts w:ascii="Cambria Math" w:hAnsi="Cambria Math"/>
                <w:szCs w:val="22"/>
              </w:rPr>
            </m:ctrlPr>
          </m:num>
          <m:den>
            <m:r>
              <m:rPr/>
              <w:rPr>
                <w:rFonts w:ascii="Cambria Math" w:hAnsi="Cambria Math"/>
              </w:rPr>
              <m:t>10.02×1.03</m:t>
            </m:r>
            <m:ctrlPr>
              <w:rPr>
                <w:rFonts w:ascii="Cambria Math" w:hAnsi="Cambria Math"/>
                <w:szCs w:val="22"/>
              </w:rPr>
            </m:ctrlPr>
          </m:den>
        </m:f>
        <m:r>
          <m:rPr/>
          <w:rPr>
            <w:rFonts w:ascii="Cambria Math" w:hAnsi="Cambria Math"/>
          </w:rPr>
          <m:t>=6.491 871…</m:t>
        </m:r>
      </m:oMath>
      <w:r>
        <w:t xml:space="preserve"> </w:t>
      </w:r>
    </w:p>
    <w:p>
      <w:pPr>
        <w:pStyle w:val="23"/>
      </w:pPr>
      <w:r>
        <w:rPr>
          <w:rFonts w:hint="eastAsia"/>
        </w:rPr>
        <w:t>宽度和厚度的精度都没变化，但力仅测量至两位有效数字。因此，导致应力仅宜报告至两位有效数字，即6.5 MPa。</w:t>
      </w:r>
    </w:p>
    <w:p>
      <w:pPr>
        <w:pStyle w:val="23"/>
      </w:pPr>
      <w:r>
        <w:rPr>
          <w:rFonts w:hint="eastAsia"/>
        </w:rPr>
        <w:t>如果要绘制应力百分率随时间降低的图，则宜进一步处理应力值以获得该百分率。使用上述报告的修约的数字，得出：</w:t>
      </w:r>
    </w:p>
    <w:p>
      <w:pPr>
        <w:pStyle w:val="23"/>
      </w:pPr>
      <m:oMath>
        <m:sSub>
          <m:sSubPr>
            <m:ctrlPr>
              <w:rPr>
                <w:rFonts w:ascii="Cambria Math" w:hAnsi="Cambria Math"/>
                <w:szCs w:val="22"/>
              </w:rPr>
            </m:ctrlPr>
          </m:sSubPr>
          <m:e>
            <m:r>
              <m:rPr/>
              <w:rPr>
                <w:rFonts w:ascii="Cambria Math" w:hAnsi="Cambria Math"/>
              </w:rPr>
              <m:t>L</m:t>
            </m:r>
            <m:ctrlPr>
              <w:rPr>
                <w:rFonts w:ascii="Cambria Math" w:hAnsi="Cambria Math"/>
                <w:szCs w:val="22"/>
              </w:rPr>
            </m:ctrlPr>
          </m:e>
          <m:sub>
            <m:r>
              <m:rPr/>
              <w:rPr>
                <w:rFonts w:ascii="Cambria Math" w:hAnsi="Cambria Math"/>
              </w:rPr>
              <m:t>s</m:t>
            </m:r>
            <m:ctrlPr>
              <w:rPr>
                <w:rFonts w:ascii="Cambria Math" w:hAnsi="Cambria Math"/>
                <w:szCs w:val="22"/>
              </w:rPr>
            </m:ctrlPr>
          </m:sub>
        </m:sSub>
        <m:r>
          <m:rPr/>
          <w:rPr>
            <w:rFonts w:ascii="Cambria Math" w:hAnsi="Cambria Math"/>
          </w:rPr>
          <m:t>=</m:t>
        </m:r>
        <m:f>
          <m:fPr>
            <m:ctrlPr>
              <w:rPr>
                <w:rFonts w:ascii="Cambria Math" w:hAnsi="Cambria Math"/>
                <w:i/>
                <w:szCs w:val="22"/>
              </w:rPr>
            </m:ctrlPr>
          </m:fPr>
          <m:num>
            <m:r>
              <m:rPr/>
              <w:rPr>
                <w:rFonts w:ascii="Cambria Math" w:hAnsi="Cambria Math"/>
              </w:rPr>
              <m:t>14.5−6.5</m:t>
            </m:r>
            <m:ctrlPr>
              <w:rPr>
                <w:rFonts w:ascii="Cambria Math" w:hAnsi="Cambria Math"/>
                <w:i/>
                <w:szCs w:val="22"/>
              </w:rPr>
            </m:ctrlPr>
          </m:num>
          <m:den>
            <m:r>
              <m:rPr/>
              <w:rPr>
                <w:rFonts w:ascii="Cambria Math" w:hAnsi="Cambria Math"/>
              </w:rPr>
              <m:t>14.5</m:t>
            </m:r>
            <m:ctrlPr>
              <w:rPr>
                <w:rFonts w:ascii="Cambria Math" w:hAnsi="Cambria Math"/>
                <w:i/>
                <w:szCs w:val="22"/>
              </w:rPr>
            </m:ctrlPr>
          </m:den>
        </m:f>
        <m:r>
          <m:rPr/>
          <w:rPr>
            <w:rFonts w:ascii="Cambria Math" w:hAnsi="Cambria Math"/>
          </w:rPr>
          <m:t>=55.172 4</m:t>
        </m:r>
      </m:oMath>
      <w:r>
        <w:rPr>
          <w:rFonts w:hint="eastAsia"/>
        </w:rPr>
        <w:t xml:space="preserve"> </w:t>
      </w:r>
    </w:p>
    <w:p>
      <w:pPr>
        <w:pStyle w:val="23"/>
        <w:ind w:firstLine="0" w:firstLineChars="0"/>
      </w:pPr>
      <w:r>
        <w:rPr>
          <w:rFonts w:hint="eastAsia"/>
        </w:rPr>
        <w:t>式中，</w:t>
      </w:r>
      <w:r>
        <w:rPr>
          <w:rFonts w:hint="eastAsia"/>
          <w:i/>
        </w:rPr>
        <w:t>L</w:t>
      </w:r>
      <w:r>
        <w:rPr>
          <w:rFonts w:hint="eastAsia"/>
          <w:vertAlign w:val="subscript"/>
        </w:rPr>
        <w:t>s</w:t>
      </w:r>
      <w:r>
        <w:rPr>
          <w:rFonts w:hint="eastAsia"/>
        </w:rPr>
        <w:t>是以百分数表示的应力降低。</w:t>
      </w:r>
    </w:p>
    <w:p>
      <w:pPr>
        <w:pStyle w:val="23"/>
      </w:pPr>
      <w:r>
        <w:rPr>
          <w:rFonts w:hint="eastAsia"/>
        </w:rPr>
        <w:t>使用额外的有效数字（更正确的程序）得到：</w:t>
      </w:r>
    </w:p>
    <w:p>
      <w:pPr>
        <w:pStyle w:val="23"/>
      </w:pPr>
      <m:oMath>
        <m:sSub>
          <m:sSubPr>
            <m:ctrlPr>
              <w:rPr>
                <w:rFonts w:ascii="Cambria Math" w:hAnsi="Cambria Math"/>
                <w:szCs w:val="22"/>
              </w:rPr>
            </m:ctrlPr>
          </m:sSubPr>
          <m:e>
            <m:r>
              <m:rPr/>
              <w:rPr>
                <w:rFonts w:ascii="Cambria Math" w:hAnsi="Cambria Math"/>
              </w:rPr>
              <m:t>L</m:t>
            </m:r>
            <m:ctrlPr>
              <w:rPr>
                <w:rFonts w:ascii="Cambria Math" w:hAnsi="Cambria Math"/>
                <w:szCs w:val="22"/>
              </w:rPr>
            </m:ctrlPr>
          </m:e>
          <m:sub>
            <m:r>
              <m:rPr/>
              <w:rPr>
                <w:rFonts w:ascii="Cambria Math" w:hAnsi="Cambria Math"/>
              </w:rPr>
              <m:t>s</m:t>
            </m:r>
            <m:ctrlPr>
              <w:rPr>
                <w:rFonts w:ascii="Cambria Math" w:hAnsi="Cambria Math"/>
                <w:szCs w:val="22"/>
              </w:rPr>
            </m:ctrlPr>
          </m:sub>
        </m:sSub>
        <m:r>
          <m:rPr/>
          <w:rPr>
            <w:rFonts w:ascii="Cambria Math" w:hAnsi="Cambria Math"/>
          </w:rPr>
          <m:t>=</m:t>
        </m:r>
        <m:f>
          <m:fPr>
            <m:ctrlPr>
              <w:rPr>
                <w:rFonts w:ascii="Cambria Math" w:hAnsi="Cambria Math"/>
                <w:i/>
                <w:szCs w:val="22"/>
              </w:rPr>
            </m:ctrlPr>
          </m:fPr>
          <m:num>
            <m:r>
              <m:rPr/>
              <w:rPr>
                <w:rFonts w:ascii="Cambria Math" w:hAnsi="Cambria Math"/>
              </w:rPr>
              <m:t>14.53−6.49</m:t>
            </m:r>
            <m:ctrlPr>
              <w:rPr>
                <w:rFonts w:ascii="Cambria Math" w:hAnsi="Cambria Math"/>
                <w:i/>
                <w:szCs w:val="22"/>
              </w:rPr>
            </m:ctrlPr>
          </m:num>
          <m:den>
            <m:r>
              <m:rPr/>
              <w:rPr>
                <w:rFonts w:ascii="Cambria Math" w:hAnsi="Cambria Math"/>
              </w:rPr>
              <m:t>14.53</m:t>
            </m:r>
            <m:ctrlPr>
              <w:rPr>
                <w:rFonts w:ascii="Cambria Math" w:hAnsi="Cambria Math"/>
                <w:i/>
                <w:szCs w:val="22"/>
              </w:rPr>
            </m:ctrlPr>
          </m:den>
        </m:f>
        <m:r>
          <m:rPr/>
          <w:rPr>
            <w:rFonts w:ascii="Cambria Math" w:hAnsi="Cambria Math"/>
          </w:rPr>
          <m:t>×100=55.333 8</m:t>
        </m:r>
      </m:oMath>
      <w:r>
        <w:rPr>
          <w:rFonts w:hint="eastAsia"/>
        </w:rPr>
        <w:t xml:space="preserve"> </w:t>
      </w:r>
    </w:p>
    <w:p>
      <w:pPr>
        <w:pStyle w:val="23"/>
      </w:pPr>
      <w:r>
        <w:rPr>
          <w:rFonts w:hint="eastAsia"/>
        </w:rPr>
        <w:t>把损失的百分率引述到小数点的第一位是合理的，但不能再多了。在这种情况下，两种结果的差异很小，没有实际意义。情况并非总是如此，在所有情况下，重复修约，然后进行进一步的计算，就会累积先前修约过程中产生的误差。</w:t>
      </w:r>
    </w:p>
    <w:p>
      <w:pPr>
        <w:pStyle w:val="45"/>
      </w:pPr>
      <w:bookmarkStart w:id="257" w:name="_Toc124173967"/>
      <w:r>
        <w:rPr>
          <w:rFonts w:hint="eastAsia"/>
        </w:rPr>
        <w:t>精密度陈述</w:t>
      </w:r>
      <w:bookmarkEnd w:id="257"/>
    </w:p>
    <w:p>
      <w:pPr>
        <w:pStyle w:val="42"/>
      </w:pPr>
      <w:bookmarkStart w:id="258" w:name="_Toc124173968"/>
      <w:r>
        <w:rPr>
          <w:rFonts w:hint="eastAsia"/>
        </w:rPr>
        <w:t>概述</w:t>
      </w:r>
      <w:bookmarkEnd w:id="258"/>
    </w:p>
    <w:p>
      <w:pPr>
        <w:pStyle w:val="23"/>
      </w:pPr>
      <w:r>
        <w:rPr>
          <w:rFonts w:hint="eastAsia"/>
        </w:rPr>
        <w:t>越来越多的试验方法中包含精确度陈述，当按照这些方法的要求进行试验时，其精密度是能够预期的。在这种趋势中也包括了橡胶的试验方法。</w:t>
      </w:r>
    </w:p>
    <w:p>
      <w:pPr>
        <w:pStyle w:val="42"/>
      </w:pPr>
      <w:bookmarkStart w:id="259" w:name="_Toc124173969"/>
      <w:r>
        <w:rPr>
          <w:rFonts w:hint="eastAsia"/>
        </w:rPr>
        <w:t>原理</w:t>
      </w:r>
      <w:bookmarkEnd w:id="259"/>
    </w:p>
    <w:p>
      <w:pPr>
        <w:pStyle w:val="63"/>
      </w:pPr>
      <w:r>
        <w:rPr>
          <w:rFonts w:hint="eastAsia"/>
        </w:rPr>
        <w:t>众所周知，用名义相同的材料在名义相同的条件下进行的试验通常不产生相同的结果。重复试验之间的这种差异被冠以一个通用的名字</w:t>
      </w:r>
      <w:r>
        <w:t>——</w:t>
      </w:r>
      <w:r>
        <w:rPr>
          <w:rFonts w:hint="eastAsia"/>
        </w:rPr>
        <w:t>精密度，其变化的来源可以归因于许多因素，如测量之间的时间、环境、操作人员、使用的设备及其校准状态。</w:t>
      </w:r>
    </w:p>
    <w:p>
      <w:pPr>
        <w:pStyle w:val="23"/>
      </w:pPr>
      <w:r>
        <w:rPr>
          <w:rFonts w:hint="eastAsia"/>
        </w:rPr>
        <w:t>已观察到，不同操作员和（或）不同设备之间的差异通常比在短时间内使用给定设备的给定操作员的差异大。因此，区分精密度的两个度量</w:t>
      </w:r>
      <w:r>
        <w:t>——</w:t>
      </w:r>
      <w:r>
        <w:rPr>
          <w:rFonts w:hint="eastAsia"/>
        </w:rPr>
        <w:t>重复性和再现性是有用的。</w:t>
      </w:r>
    </w:p>
    <w:p>
      <w:pPr>
        <w:pStyle w:val="23"/>
      </w:pPr>
      <w:r>
        <w:rPr>
          <w:rFonts w:hint="eastAsia"/>
        </w:rPr>
        <w:t>与所有统计因素一样，重复性和再现性是基于接受的置信水平的估计。</w:t>
      </w:r>
      <w:r>
        <w:t>95%</w:t>
      </w:r>
      <w:r>
        <w:rPr>
          <w:rFonts w:hint="eastAsia"/>
        </w:rPr>
        <w:t>的置信水平几乎总是适用的，如果没有相反的明示，就可以这样假定。由于在重复性和再现性的估计值中有对</w:t>
      </w:r>
      <w:r>
        <w:rPr>
          <w:rFonts w:hint="eastAsia"/>
          <w:color w:val="FF0000"/>
        </w:rPr>
        <w:t>不确定度的度量</w:t>
      </w:r>
      <w:r>
        <w:rPr>
          <w:rFonts w:hint="eastAsia"/>
        </w:rPr>
        <w:t>，因此能够为从给定的实验程序中获得的估计值指定一个置信区间。这种分析超出了本文件的范围。</w:t>
      </w:r>
    </w:p>
    <w:p>
      <w:pPr>
        <w:pStyle w:val="23"/>
      </w:pPr>
      <w:r>
        <w:rPr>
          <w:rFonts w:hint="eastAsia"/>
        </w:rPr>
        <w:t>于是，这两者代表了在实际情况下可能预期到的精密度的可能极限，尽管还能设想出其他（中间）形式。</w:t>
      </w:r>
    </w:p>
    <w:p>
      <w:pPr>
        <w:pStyle w:val="63"/>
      </w:pPr>
      <w:r>
        <w:rPr>
          <w:rFonts w:hint="eastAsia"/>
        </w:rPr>
        <w:t>准确度这个词也需要提一下，它曾被简单地认为是某一特定测量的偏倚(即系统误差而非随机误差)(例如参考</w:t>
      </w:r>
      <w:r>
        <w:t>ISO 19983</w:t>
      </w:r>
      <w:r>
        <w:rPr>
          <w:rFonts w:hint="eastAsia"/>
        </w:rPr>
        <w:t>)。然而，目前的做法是使用准确度一词来表示一组观测值中综合的系统误差和随机误差。</w:t>
      </w:r>
    </w:p>
    <w:p>
      <w:pPr>
        <w:pStyle w:val="23"/>
      </w:pPr>
      <w:r>
        <w:rPr>
          <w:rFonts w:hint="eastAsia"/>
        </w:rPr>
        <w:t>关于这些以及其他与精密度有关的术语的更详细的信息，可以在ISO 5725-1中找到。</w:t>
      </w:r>
    </w:p>
    <w:p>
      <w:pPr>
        <w:pStyle w:val="63"/>
      </w:pPr>
      <w:r>
        <w:rPr>
          <w:rFonts w:hint="eastAsia"/>
        </w:rPr>
        <w:t>在橡胶工业中，“正确度trueness”这个词几乎不恰当，但实验室之间的系统性差异所造成的影响却是真实的，有一种叫做“I</w:t>
      </w:r>
      <w:r>
        <w:t>ntercal</w:t>
      </w:r>
      <w:r>
        <w:rPr>
          <w:rFonts w:hint="eastAsia"/>
        </w:rPr>
        <w:t>（</w:t>
      </w:r>
      <w:r>
        <w:t>实验室间校准）</w:t>
      </w:r>
      <w:r>
        <w:rPr>
          <w:rFonts w:hint="eastAsia"/>
        </w:rPr>
        <w:t>法”的技术来处理这个问题（参见参考文献[13]</w:t>
      </w:r>
      <w:r>
        <w:t>-[15]</w:t>
      </w:r>
      <w:r>
        <w:rPr>
          <w:rFonts w:hint="eastAsia"/>
        </w:rPr>
        <w:t>）。</w:t>
      </w:r>
    </w:p>
    <w:p>
      <w:pPr>
        <w:pStyle w:val="42"/>
      </w:pPr>
      <w:bookmarkStart w:id="260" w:name="_Toc124173970"/>
      <w:r>
        <w:rPr>
          <w:rFonts w:hint="eastAsia"/>
        </w:rPr>
        <w:t>方法</w:t>
      </w:r>
      <w:bookmarkEnd w:id="260"/>
    </w:p>
    <w:p>
      <w:pPr>
        <w:pStyle w:val="63"/>
        <w:rPr>
          <w:rFonts w:ascii="Times New Roman"/>
        </w:rPr>
      </w:pPr>
      <w:r>
        <w:rPr>
          <w:rFonts w:ascii="Times New Roman"/>
        </w:rPr>
        <w:t>为了产生重复性和再现性(通常分别缩写为</w:t>
      </w:r>
      <w:r>
        <w:rPr>
          <w:rFonts w:ascii="Times New Roman"/>
          <w:i/>
        </w:rPr>
        <w:t>r</w:t>
      </w:r>
      <w:r>
        <w:rPr>
          <w:rFonts w:ascii="Times New Roman"/>
        </w:rPr>
        <w:t>和</w:t>
      </w:r>
      <w:r>
        <w:rPr>
          <w:rFonts w:ascii="Times New Roman"/>
          <w:i/>
        </w:rPr>
        <w:t>R</w:t>
      </w:r>
      <w:r>
        <w:rPr>
          <w:rFonts w:ascii="Times New Roman"/>
        </w:rPr>
        <w:t>)数据，宜组织实验室间试验方案。至关重要的是，试验中使用的材料当发送给参与实验室时要保持一致，且在实验室进行试验前的运输和存储阶段也要保持一致。</w:t>
      </w:r>
    </w:p>
    <w:p>
      <w:pPr>
        <w:pStyle w:val="63"/>
        <w:rPr>
          <w:rFonts w:ascii="Times New Roman"/>
        </w:rPr>
      </w:pPr>
      <w:r>
        <w:rPr>
          <w:rFonts w:ascii="Times New Roman"/>
        </w:rPr>
        <w:t>实验室的选择</w:t>
      </w:r>
      <w:r>
        <w:rPr>
          <w:rFonts w:hint="eastAsia" w:ascii="Times New Roman"/>
        </w:rPr>
        <w:t>宜</w:t>
      </w:r>
      <w:r>
        <w:rPr>
          <w:rFonts w:ascii="Times New Roman"/>
        </w:rPr>
        <w:t>为随机的，但在实践中可能有优先考虑的因素，例如涵盖广泛的环境条件的需要或愿意参与的实验室数量很少。在实验室数量少时，宜特别注意不使具有专门技能的实验室或被认为是</w:t>
      </w:r>
      <w:r>
        <w:rPr>
          <w:rFonts w:hint="eastAsia" w:ascii="Times New Roman"/>
        </w:rPr>
        <w:t>标准</w:t>
      </w:r>
      <w:r>
        <w:rPr>
          <w:rFonts w:ascii="Times New Roman"/>
        </w:rPr>
        <w:t>实验室的实验室占多数，因为列入这些实验室往往会使</w:t>
      </w:r>
      <w:r>
        <w:rPr>
          <w:rFonts w:ascii="Times New Roman"/>
          <w:i/>
        </w:rPr>
        <w:t>r</w:t>
      </w:r>
      <w:r>
        <w:rPr>
          <w:rFonts w:ascii="Times New Roman"/>
        </w:rPr>
        <w:t>和</w:t>
      </w:r>
      <w:r>
        <w:rPr>
          <w:rFonts w:ascii="Times New Roman"/>
          <w:i/>
        </w:rPr>
        <w:t>R</w:t>
      </w:r>
      <w:r>
        <w:rPr>
          <w:rFonts w:ascii="Times New Roman"/>
        </w:rPr>
        <w:t>数据的估计偏低。在这两种情况下，得出的</w:t>
      </w:r>
      <w:r>
        <w:rPr>
          <w:rFonts w:ascii="Times New Roman"/>
          <w:i/>
        </w:rPr>
        <w:t>r</w:t>
      </w:r>
      <w:r>
        <w:rPr>
          <w:rFonts w:ascii="Times New Roman"/>
        </w:rPr>
        <w:t>和</w:t>
      </w:r>
      <w:r>
        <w:rPr>
          <w:rFonts w:ascii="Times New Roman"/>
          <w:i/>
        </w:rPr>
        <w:t>R</w:t>
      </w:r>
      <w:r>
        <w:rPr>
          <w:rFonts w:ascii="Times New Roman"/>
        </w:rPr>
        <w:t>值是专属于试验时参与者群体的，并不一定准确地反映出在较长时间尺度内实验室总体的真实</w:t>
      </w:r>
      <w:r>
        <w:rPr>
          <w:rFonts w:ascii="Times New Roman"/>
          <w:i/>
        </w:rPr>
        <w:t>r</w:t>
      </w:r>
      <w:r>
        <w:rPr>
          <w:rFonts w:ascii="Times New Roman"/>
        </w:rPr>
        <w:t>和</w:t>
      </w:r>
      <w:r>
        <w:rPr>
          <w:rFonts w:ascii="Times New Roman"/>
          <w:i/>
        </w:rPr>
        <w:t>R</w:t>
      </w:r>
      <w:r>
        <w:rPr>
          <w:rFonts w:ascii="Times New Roman"/>
        </w:rPr>
        <w:t>值。</w:t>
      </w:r>
    </w:p>
    <w:p>
      <w:pPr>
        <w:pStyle w:val="63"/>
        <w:rPr>
          <w:rFonts w:ascii="Times New Roman"/>
        </w:rPr>
      </w:pPr>
      <w:r>
        <w:rPr>
          <w:rFonts w:ascii="Times New Roman"/>
        </w:rPr>
        <w:t>在设计试验方案时，参与者宜就试验结果的构成达成一致意见和理解。例如，这或许是</w:t>
      </w:r>
      <w:r>
        <w:rPr>
          <w:rFonts w:hint="eastAsia" w:ascii="Times New Roman"/>
        </w:rPr>
        <w:t>一</w:t>
      </w:r>
      <w:r>
        <w:rPr>
          <w:rFonts w:ascii="Times New Roman"/>
        </w:rPr>
        <w:t>次</w:t>
      </w:r>
      <w:r>
        <w:rPr>
          <w:rFonts w:hint="eastAsia" w:ascii="Times New Roman"/>
        </w:rPr>
        <w:t>拉伸</w:t>
      </w:r>
      <w:r>
        <w:rPr>
          <w:rFonts w:ascii="Times New Roman"/>
        </w:rPr>
        <w:t>强度值，亦或者是一组三个或五个值的中间值。在前一种情况下，重复水平通常是被评估的试验方法的正常水平。在后一种情况下，最常见的是两种情况，例如，一组哑铃状试样在某一天进行试验，另一组在当天晚些时候进行试验，或者可能在第二天或两天内进行试验。</w:t>
      </w:r>
    </w:p>
    <w:p>
      <w:pPr>
        <w:pStyle w:val="63"/>
      </w:pPr>
      <w:r>
        <w:rPr>
          <w:rFonts w:hint="eastAsia"/>
        </w:rPr>
        <w:t>为了建立重复性数据，试验宜在恒定条件下进行，为了尽量减少环境或设备漂移对结果的影响，重复试验之间的时间间隔宜尽可能小。</w:t>
      </w:r>
    </w:p>
    <w:p>
      <w:pPr>
        <w:pStyle w:val="23"/>
      </w:pPr>
      <w:r>
        <w:rPr>
          <w:rFonts w:hint="eastAsia"/>
        </w:rPr>
        <w:t>由于时间间隔宜小(如16.3.3中的示例所示)，并且同一操作人员使用相同的设备，可能存在无意偏倚的风险。这可能是由于操作员预期某些试验的性能的结果。宜采取以下预防措施:</w:t>
      </w:r>
    </w:p>
    <w:p>
      <w:pPr>
        <w:pStyle w:val="59"/>
        <w:numPr>
          <w:ilvl w:val="0"/>
          <w:numId w:val="44"/>
        </w:numPr>
      </w:pPr>
      <w:r>
        <w:rPr>
          <w:rFonts w:hint="eastAsia"/>
        </w:rPr>
        <w:t>试验方案宜随机化，以打破试验序列中的任何定式;</w:t>
      </w:r>
    </w:p>
    <w:p>
      <w:pPr>
        <w:pStyle w:val="59"/>
        <w:numPr>
          <w:ilvl w:val="0"/>
          <w:numId w:val="44"/>
        </w:numPr>
      </w:pPr>
      <w:r>
        <w:rPr>
          <w:rFonts w:hint="eastAsia"/>
        </w:rPr>
        <w:t>宜记录各项试验的日期和（尽可能包括）时间，作为信息的一部分提供给试验协调员;</w:t>
      </w:r>
    </w:p>
    <w:p>
      <w:pPr>
        <w:pStyle w:val="59"/>
        <w:numPr>
          <w:ilvl w:val="0"/>
          <w:numId w:val="44"/>
        </w:numPr>
      </w:pPr>
      <w:r>
        <w:rPr>
          <w:rFonts w:hint="eastAsia"/>
        </w:rPr>
        <w:t>在序列试验过程中不宜重新校准设备。</w:t>
      </w:r>
    </w:p>
    <w:p>
      <w:pPr>
        <w:pStyle w:val="63"/>
      </w:pPr>
      <w:r>
        <w:rPr>
          <w:rFonts w:hint="eastAsia"/>
        </w:rPr>
        <w:t>所得数据以类似于方差分析(第10章)的表格形式排列，所得的统计量如下:</w:t>
      </w:r>
    </w:p>
    <w:p>
      <w:pPr>
        <w:pStyle w:val="59"/>
        <w:numPr>
          <w:ilvl w:val="0"/>
          <w:numId w:val="45"/>
        </w:numPr>
      </w:pPr>
      <w:r>
        <w:rPr>
          <w:rFonts w:hint="eastAsia"/>
        </w:rPr>
        <w:t>实验室间方差的估计，</w:t>
      </w:r>
      <w:r>
        <w:rPr>
          <w:rFonts w:hint="eastAsia"/>
          <w:i/>
        </w:rPr>
        <w:t>s</w:t>
      </w:r>
      <w:r>
        <w:rPr>
          <w:rFonts w:hint="eastAsia"/>
          <w:vertAlign w:val="subscript"/>
        </w:rPr>
        <w:t>L</w:t>
      </w:r>
      <w:r>
        <w:rPr>
          <w:rFonts w:hint="eastAsia"/>
          <w:vertAlign w:val="superscript"/>
        </w:rPr>
        <w:t>2</w:t>
      </w:r>
      <w:r>
        <w:rPr>
          <w:rFonts w:hint="eastAsia"/>
        </w:rPr>
        <w:t>；</w:t>
      </w:r>
    </w:p>
    <w:p>
      <w:pPr>
        <w:pStyle w:val="59"/>
        <w:numPr>
          <w:ilvl w:val="0"/>
          <w:numId w:val="45"/>
        </w:numPr>
      </w:pPr>
      <w:r>
        <w:rPr>
          <w:rFonts w:hint="eastAsia"/>
        </w:rPr>
        <w:t>实验室内方差的估计，</w:t>
      </w:r>
      <w:r>
        <w:rPr>
          <w:rFonts w:hint="eastAsia"/>
          <w:i/>
        </w:rPr>
        <w:t>s</w:t>
      </w:r>
      <w:r>
        <w:rPr>
          <w:rFonts w:hint="eastAsia"/>
          <w:vertAlign w:val="subscript"/>
        </w:rPr>
        <w:t>w</w:t>
      </w:r>
      <w:r>
        <w:rPr>
          <w:rFonts w:hint="eastAsia"/>
          <w:vertAlign w:val="superscript"/>
        </w:rPr>
        <w:t>2</w:t>
      </w:r>
      <w:r>
        <w:rPr>
          <w:rFonts w:hint="eastAsia"/>
        </w:rPr>
        <w:t>；</w:t>
      </w:r>
    </w:p>
    <w:p>
      <w:pPr>
        <w:pStyle w:val="59"/>
        <w:numPr>
          <w:ilvl w:val="0"/>
          <w:numId w:val="45"/>
        </w:numPr>
      </w:pPr>
      <w:r>
        <w:rPr>
          <w:rFonts w:hint="eastAsia"/>
        </w:rPr>
        <w:t>试验方案中所有实验室的实验室间方差的平均值，s</w:t>
      </w:r>
      <w:r>
        <w:rPr>
          <w:rFonts w:hint="eastAsia"/>
          <w:vertAlign w:val="subscript"/>
        </w:rPr>
        <w:t>m</w:t>
      </w:r>
      <w:r>
        <w:rPr>
          <w:rFonts w:hint="eastAsia"/>
          <w:vertAlign w:val="superscript"/>
        </w:rPr>
        <w:t>2</w:t>
      </w:r>
      <w:r>
        <w:rPr>
          <w:rFonts w:hint="eastAsia"/>
        </w:rPr>
        <w:t>；</w:t>
      </w:r>
    </w:p>
    <w:p>
      <w:pPr>
        <w:pStyle w:val="59"/>
        <w:numPr>
          <w:ilvl w:val="0"/>
          <w:numId w:val="45"/>
        </w:numPr>
      </w:pPr>
      <w:r>
        <w:rPr>
          <w:rFonts w:hint="eastAsia"/>
        </w:rPr>
        <w:t>重复性方差的估计，</w:t>
      </w:r>
      <w:r>
        <w:rPr>
          <w:rFonts w:hint="eastAsia"/>
          <w:i/>
        </w:rPr>
        <w:t>s</w:t>
      </w:r>
      <w:r>
        <w:rPr>
          <w:rFonts w:hint="eastAsia"/>
          <w:vertAlign w:val="subscript"/>
        </w:rPr>
        <w:t>r</w:t>
      </w:r>
      <w:r>
        <w:rPr>
          <w:rFonts w:hint="eastAsia"/>
          <w:vertAlign w:val="superscript"/>
        </w:rPr>
        <w:t>2</w:t>
      </w:r>
      <w:r>
        <w:rPr>
          <w:rFonts w:hint="eastAsia"/>
        </w:rPr>
        <w:t>；</w:t>
      </w:r>
    </w:p>
    <w:p>
      <w:pPr>
        <w:pStyle w:val="59"/>
        <w:numPr>
          <w:ilvl w:val="0"/>
          <w:numId w:val="45"/>
        </w:numPr>
      </w:pPr>
      <w:r>
        <w:rPr>
          <w:rFonts w:hint="eastAsia"/>
        </w:rPr>
        <w:t>再现性方差</w:t>
      </w:r>
      <w:r>
        <w:rPr>
          <w:rFonts w:hint="eastAsia"/>
          <w:i/>
        </w:rPr>
        <w:t>s</w:t>
      </w:r>
      <w:r>
        <w:rPr>
          <w:rFonts w:hint="eastAsia"/>
          <w:vertAlign w:val="subscript"/>
        </w:rPr>
        <w:t>R</w:t>
      </w:r>
      <w:r>
        <w:rPr>
          <w:rFonts w:hint="eastAsia"/>
          <w:vertAlign w:val="superscript"/>
        </w:rPr>
        <w:t>2</w:t>
      </w:r>
      <w:r>
        <w:rPr>
          <w:rFonts w:hint="eastAsia"/>
        </w:rPr>
        <w:t>的估计，由式（78）给出:</w:t>
      </w:r>
    </w:p>
    <w:p>
      <w:pPr>
        <w:tabs>
          <w:tab w:val="left" w:pos="284"/>
          <w:tab w:val="left" w:pos="567"/>
        </w:tabs>
        <w:ind w:left="420" w:leftChars="200" w:firstLine="420" w:firstLineChars="200"/>
        <w:rPr>
          <w:rFonts w:ascii="宋体" w:hAnsi="宋体"/>
        </w:rPr>
      </w:pPr>
      <m:oMath>
        <m:sSup>
          <m:sSupPr>
            <m:ctrlPr>
              <w:rPr>
                <w:rFonts w:ascii="Cambria Math" w:hAnsi="Cambria Math"/>
                <w:szCs w:val="22"/>
              </w:rPr>
            </m:ctrlPr>
          </m:sSupPr>
          <m:e>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R</m:t>
                </m:r>
                <m:ctrlPr>
                  <w:rPr>
                    <w:rFonts w:ascii="Cambria Math" w:hAnsi="Cambria Math"/>
                    <w:i/>
                    <w:szCs w:val="22"/>
                  </w:rPr>
                </m:ctrlPr>
              </m:sub>
            </m:sSub>
            <m:ctrlPr>
              <w:rPr>
                <w:rFonts w:ascii="Cambria Math" w:hAnsi="Cambria Math"/>
                <w:szCs w:val="22"/>
              </w:rPr>
            </m:ctrlPr>
          </m:e>
          <m:sup>
            <m:r>
              <m:rPr/>
              <w:rPr>
                <w:rFonts w:ascii="Cambria Math" w:hAnsi="Cambria Math"/>
              </w:rPr>
              <m:t>2</m:t>
            </m:r>
            <m:ctrlPr>
              <w:rPr>
                <w:rFonts w:ascii="Cambria Math" w:hAnsi="Cambria Math"/>
                <w:szCs w:val="22"/>
              </w:rPr>
            </m:ctrlPr>
          </m:sup>
        </m:sSup>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L</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r</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oMath>
      <w:r>
        <w:rPr>
          <w:rFonts w:hint="eastAsia" w:ascii="宋体" w:hAnsi="宋体"/>
        </w:rPr>
        <w:t xml:space="preserve"> </w:t>
      </w:r>
      <w:r>
        <w:rPr>
          <w:rFonts w:ascii="宋体" w:hAnsi="宋体"/>
        </w:rPr>
        <w:t xml:space="preserve">                                                   （</w:t>
      </w:r>
      <w:r>
        <w:rPr>
          <w:rFonts w:hint="eastAsia" w:ascii="宋体" w:hAnsi="宋体"/>
        </w:rPr>
        <w:t>78）</w:t>
      </w:r>
    </w:p>
    <w:p>
      <w:pPr>
        <w:pStyle w:val="59"/>
      </w:pPr>
      <w:r>
        <w:rPr>
          <w:rFonts w:hint="eastAsia"/>
        </w:rPr>
        <w:t>重复性</w:t>
      </w:r>
      <w:r>
        <w:rPr>
          <w:rFonts w:ascii="Times New Roman"/>
          <w:i/>
        </w:rPr>
        <w:t>r</w:t>
      </w:r>
      <w:r>
        <w:rPr>
          <w:rFonts w:hint="eastAsia"/>
        </w:rPr>
        <w:t>，由式（79）给出：</w:t>
      </w:r>
    </w:p>
    <w:p>
      <w:pPr>
        <w:tabs>
          <w:tab w:val="left" w:pos="284"/>
          <w:tab w:val="left" w:pos="567"/>
        </w:tabs>
        <w:ind w:left="420" w:leftChars="200" w:firstLine="420" w:firstLineChars="200"/>
      </w:pPr>
      <m:oMath>
        <m:r>
          <m:rPr/>
          <w:rPr>
            <w:rFonts w:ascii="Cambria Math" w:hAnsi="Cambria Math"/>
          </w:rPr>
          <m:t>r</m:t>
        </m:r>
        <m:r>
          <m:rPr>
            <m:sty m:val="p"/>
          </m:rPr>
          <w:rPr>
            <w:rFonts w:ascii="Cambria Math" w:hAnsi="Cambria Math"/>
          </w:rPr>
          <m:t>=2</m:t>
        </m:r>
        <m:rad>
          <m:radPr>
            <m:degHide m:val="1"/>
            <m:ctrlPr>
              <w:rPr>
                <w:rFonts w:ascii="Cambria Math" w:hAnsi="Cambria Math"/>
                <w:szCs w:val="22"/>
              </w:rPr>
            </m:ctrlPr>
          </m:radPr>
          <m:deg>
            <m:ctrlPr>
              <w:rPr>
                <w:rFonts w:ascii="Cambria Math" w:hAnsi="Cambria Math"/>
                <w:szCs w:val="22"/>
              </w:rPr>
            </m:ctrlPr>
          </m:deg>
          <m:e>
            <m:r>
              <m:rPr/>
              <w:rPr>
                <w:rFonts w:ascii="Cambria Math" w:hAnsi="Cambria Math"/>
              </w:rPr>
              <m:t>2</m:t>
            </m:r>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r</m:t>
                </m:r>
                <m:ctrlPr>
                  <w:rPr>
                    <w:rFonts w:ascii="Cambria Math" w:hAnsi="Cambria Math"/>
                    <w:i/>
                    <w:szCs w:val="22"/>
                  </w:rPr>
                </m:ctrlPr>
              </m:sub>
            </m:sSub>
            <m:ctrlPr>
              <w:rPr>
                <w:rFonts w:ascii="Cambria Math" w:hAnsi="Cambria Math"/>
                <w:szCs w:val="22"/>
              </w:rPr>
            </m:ctrlPr>
          </m:e>
        </m:rad>
      </m:oMath>
      <w:r>
        <w:t xml:space="preserve">                                                        （</w:t>
      </w:r>
      <w:r>
        <w:rPr>
          <w:rFonts w:hint="eastAsia"/>
        </w:rPr>
        <w:t>79）</w:t>
      </w:r>
    </w:p>
    <w:p>
      <w:pPr>
        <w:pStyle w:val="59"/>
      </w:pPr>
      <w:r>
        <w:rPr>
          <w:rFonts w:hint="eastAsia"/>
        </w:rPr>
        <w:t>再现性</w:t>
      </w:r>
      <w:r>
        <w:rPr>
          <w:i/>
        </w:rPr>
        <w:t>R</w:t>
      </w:r>
      <w:r>
        <w:rPr>
          <w:rFonts w:hint="eastAsia"/>
        </w:rPr>
        <w:t>，由式（80）给出：</w:t>
      </w:r>
    </w:p>
    <w:p>
      <w:pPr>
        <w:tabs>
          <w:tab w:val="left" w:pos="284"/>
          <w:tab w:val="left" w:pos="567"/>
        </w:tabs>
        <w:ind w:left="420" w:leftChars="200" w:firstLine="420" w:firstLineChars="200"/>
      </w:pPr>
      <m:oMath>
        <m:r>
          <m:rPr/>
          <w:rPr>
            <w:rFonts w:ascii="Cambria Math" w:hAnsi="Cambria Math"/>
          </w:rPr>
          <m:t>R</m:t>
        </m:r>
        <m:r>
          <m:rPr>
            <m:sty m:val="p"/>
          </m:rPr>
          <w:rPr>
            <w:rFonts w:ascii="Cambria Math" w:hAnsi="Cambria Math"/>
          </w:rPr>
          <m:t>=2</m:t>
        </m:r>
        <m:rad>
          <m:radPr>
            <m:degHide m:val="1"/>
            <m:ctrlPr>
              <w:rPr>
                <w:rFonts w:ascii="Cambria Math" w:hAnsi="Cambria Math"/>
                <w:szCs w:val="22"/>
              </w:rPr>
            </m:ctrlPr>
          </m:radPr>
          <m:deg>
            <m:ctrlPr>
              <w:rPr>
                <w:rFonts w:ascii="Cambria Math" w:hAnsi="Cambria Math"/>
                <w:szCs w:val="22"/>
              </w:rPr>
            </m:ctrlPr>
          </m:deg>
          <m:e>
            <m:r>
              <m:rPr/>
              <w:rPr>
                <w:rFonts w:ascii="Cambria Math" w:hAnsi="Cambria Math"/>
              </w:rPr>
              <m:t>2</m:t>
            </m:r>
            <m:sSub>
              <m:sSubPr>
                <m:ctrlPr>
                  <w:rPr>
                    <w:rFonts w:ascii="Cambria Math" w:hAnsi="Cambria Math"/>
                    <w:i/>
                    <w:szCs w:val="22"/>
                  </w:rPr>
                </m:ctrlPr>
              </m:sSubPr>
              <m:e>
                <m:r>
                  <m:rPr/>
                  <w:rPr>
                    <w:rFonts w:ascii="Cambria Math" w:hAnsi="Cambria Math"/>
                  </w:rPr>
                  <m:t>s</m:t>
                </m:r>
                <m:ctrlPr>
                  <w:rPr>
                    <w:rFonts w:ascii="Cambria Math" w:hAnsi="Cambria Math"/>
                    <w:i/>
                    <w:szCs w:val="22"/>
                  </w:rPr>
                </m:ctrlPr>
              </m:e>
              <m:sub>
                <m:r>
                  <m:rPr/>
                  <w:rPr>
                    <w:rFonts w:ascii="Cambria Math" w:hAnsi="Cambria Math"/>
                  </w:rPr>
                  <m:t>R</m:t>
                </m:r>
                <m:ctrlPr>
                  <w:rPr>
                    <w:rFonts w:ascii="Cambria Math" w:hAnsi="Cambria Math"/>
                    <w:i/>
                    <w:szCs w:val="22"/>
                  </w:rPr>
                </m:ctrlPr>
              </m:sub>
            </m:sSub>
            <m:ctrlPr>
              <w:rPr>
                <w:rFonts w:ascii="Cambria Math" w:hAnsi="Cambria Math"/>
                <w:szCs w:val="22"/>
              </w:rPr>
            </m:ctrlPr>
          </m:e>
        </m:rad>
      </m:oMath>
      <w:r>
        <w:t xml:space="preserve">                                                        （</w:t>
      </w:r>
      <w:r>
        <w:rPr>
          <w:rFonts w:hint="eastAsia"/>
        </w:rPr>
        <w:t>80）</w:t>
      </w:r>
    </w:p>
    <w:p>
      <w:pPr>
        <w:pStyle w:val="63"/>
        <w:rPr>
          <w:rFonts w:ascii="Times New Roman"/>
        </w:rPr>
      </w:pPr>
      <w:r>
        <w:rPr>
          <w:rFonts w:ascii="Times New Roman"/>
        </w:rPr>
        <w:t>在相关的术语中提及</w:t>
      </w:r>
      <w:r>
        <w:rPr>
          <w:rFonts w:ascii="Times New Roman"/>
          <w:i/>
        </w:rPr>
        <w:t>r</w:t>
      </w:r>
      <w:r>
        <w:rPr>
          <w:rFonts w:ascii="Times New Roman"/>
        </w:rPr>
        <w:t>值和</w:t>
      </w:r>
      <w:r>
        <w:rPr>
          <w:rFonts w:ascii="Times New Roman"/>
          <w:i/>
        </w:rPr>
        <w:t>R</w:t>
      </w:r>
      <w:r>
        <w:rPr>
          <w:rFonts w:ascii="Times New Roman"/>
        </w:rPr>
        <w:t>值通常是很方便，因为它们经常随所测量的性能的平均值而变化。与变异系数(见6.2.3.4)类似，使用相对于均值的</w:t>
      </w:r>
      <w:r>
        <w:rPr>
          <w:rFonts w:ascii="Times New Roman"/>
          <w:i/>
        </w:rPr>
        <w:t>r</w:t>
      </w:r>
      <w:r>
        <w:rPr>
          <w:rFonts w:ascii="Times New Roman"/>
        </w:rPr>
        <w:t>(或</w:t>
      </w:r>
      <w:r>
        <w:rPr>
          <w:rFonts w:ascii="Times New Roman"/>
          <w:i/>
        </w:rPr>
        <w:t>R</w:t>
      </w:r>
      <w:r>
        <w:rPr>
          <w:rFonts w:ascii="Times New Roman"/>
        </w:rPr>
        <w:t>)的百分比。但是，由于某些性能是用百分比单位来度量的，所以</w:t>
      </w:r>
      <w:r>
        <w:rPr>
          <w:rFonts w:ascii="Times New Roman"/>
          <w:i/>
        </w:rPr>
        <w:t>r</w:t>
      </w:r>
      <w:r>
        <w:rPr>
          <w:rFonts w:ascii="Times New Roman"/>
        </w:rPr>
        <w:t>或</w:t>
      </w:r>
      <w:r>
        <w:rPr>
          <w:rFonts w:ascii="Times New Roman"/>
          <w:i/>
        </w:rPr>
        <w:t>R</w:t>
      </w:r>
      <w:r>
        <w:rPr>
          <w:rFonts w:ascii="Times New Roman"/>
        </w:rPr>
        <w:t>的百分比值被写在括号中，即(</w:t>
      </w:r>
      <w:r>
        <w:rPr>
          <w:rFonts w:ascii="Times New Roman"/>
          <w:i/>
        </w:rPr>
        <w:t>r</w:t>
      </w:r>
      <w:r>
        <w:rPr>
          <w:rFonts w:ascii="Times New Roman"/>
        </w:rPr>
        <w:t>)或(</w:t>
      </w:r>
      <w:r>
        <w:rPr>
          <w:rFonts w:ascii="Times New Roman"/>
          <w:i/>
        </w:rPr>
        <w:t>R</w:t>
      </w:r>
      <w:r>
        <w:rPr>
          <w:rFonts w:ascii="Times New Roman"/>
        </w:rPr>
        <w:t>)，以避免在单位上产生歧义。因此，对于压缩永久变形这样的试验，平均值可能是35%，</w:t>
      </w:r>
      <w:r>
        <w:rPr>
          <w:rFonts w:ascii="Times New Roman"/>
          <w:i/>
        </w:rPr>
        <w:t>r</w:t>
      </w:r>
      <w:r>
        <w:rPr>
          <w:rFonts w:ascii="Times New Roman"/>
        </w:rPr>
        <w:t>值为5.2%，则(</w:t>
      </w:r>
      <w:r>
        <w:rPr>
          <w:rFonts w:ascii="Times New Roman"/>
          <w:i/>
        </w:rPr>
        <w:t>r</w:t>
      </w:r>
      <w:r>
        <w:rPr>
          <w:rFonts w:ascii="Times New Roman"/>
        </w:rPr>
        <w:t>)值为14.9%。</w:t>
      </w:r>
    </w:p>
    <w:p>
      <w:pPr>
        <w:pStyle w:val="63"/>
        <w:rPr>
          <w:rFonts w:ascii="Times New Roman"/>
        </w:rPr>
      </w:pPr>
      <w:r>
        <w:rPr>
          <w:rFonts w:ascii="Times New Roman"/>
        </w:rPr>
        <w:t>在对试验数据进行处理以发现实验室内和实验室间的方差之前，应该首先使用Dixon和Cochran检验(参见第9条)来检查离群值。</w:t>
      </w:r>
    </w:p>
    <w:p>
      <w:pPr>
        <w:pStyle w:val="63"/>
        <w:rPr>
          <w:rFonts w:ascii="Times New Roman"/>
        </w:rPr>
      </w:pPr>
      <w:r>
        <w:rPr>
          <w:rFonts w:ascii="Times New Roman"/>
        </w:rPr>
        <w:t>通过上述方差对</w:t>
      </w:r>
      <w:r>
        <w:rPr>
          <w:rFonts w:ascii="Times New Roman"/>
          <w:i/>
        </w:rPr>
        <w:t>r</w:t>
      </w:r>
      <w:r>
        <w:rPr>
          <w:rFonts w:ascii="Times New Roman"/>
        </w:rPr>
        <w:t>和</w:t>
      </w:r>
      <w:r>
        <w:rPr>
          <w:rFonts w:ascii="Times New Roman"/>
          <w:i/>
        </w:rPr>
        <w:t>R</w:t>
      </w:r>
      <w:r>
        <w:rPr>
          <w:rFonts w:ascii="Times New Roman"/>
        </w:rPr>
        <w:t>的详细计算示例可参考ISO 5725-2和ISO 19983。</w:t>
      </w:r>
    </w:p>
    <w:p>
      <w:pPr>
        <w:pStyle w:val="63"/>
        <w:rPr>
          <w:rFonts w:ascii="Times New Roman"/>
        </w:rPr>
      </w:pPr>
      <w:r>
        <w:rPr>
          <w:rFonts w:ascii="Times New Roman"/>
        </w:rPr>
        <w:t>正如参考文献中所描述的，常规的实验室间试验方案可能有一个问题会发生，操作员在第一次观察和随后的观察之间受到有意或无意的影响。在这些情况下，重复试验并不是相互独立的，数据中会引入偏差。解决这一难题的方法是由W.J.Youden开发的配对样本(或错层)方法(参见ISO 5725-5)。</w:t>
      </w:r>
    </w:p>
    <w:p>
      <w:pPr>
        <w:pStyle w:val="23"/>
      </w:pPr>
      <w:r>
        <w:rPr>
          <w:rFonts w:hint="eastAsia"/>
        </w:rPr>
        <w:t>从本质上讲，该方法测量在所进行的每一水平试验中，性能值相似但不同的两种材料中每种材料的性能</w:t>
      </w:r>
      <w:r>
        <w:t>一</w:t>
      </w:r>
      <w:r>
        <w:rPr>
          <w:rFonts w:hint="eastAsia"/>
        </w:rPr>
        <w:t>次重复结果。在每个水平上，都宜仔细选择材料对，否则分析会产生比试验方法真实的重复性值大得多的重复性值。这样的一对材料被称为</w:t>
      </w:r>
      <w:r>
        <w:t>“约</w:t>
      </w:r>
      <w:r>
        <w:rPr>
          <w:rFonts w:hint="eastAsia"/>
        </w:rPr>
        <w:t>登对（</w:t>
      </w:r>
      <w:r>
        <w:rPr>
          <w:rStyle w:val="144"/>
          <w:rFonts w:ascii="Times New Roman"/>
          <w:color w:val="333333"/>
          <w:szCs w:val="21"/>
          <w:shd w:val="clear" w:color="auto" w:fill="F7F8FA"/>
        </w:rPr>
        <w:t> </w:t>
      </w:r>
      <w:r>
        <w:rPr>
          <w:color w:val="333333"/>
          <w:szCs w:val="21"/>
          <w:shd w:val="clear" w:color="auto" w:fill="F7F8FA"/>
        </w:rPr>
        <w:t>Youden</w:t>
      </w:r>
      <w:r>
        <w:rPr>
          <w:rFonts w:hint="eastAsia"/>
        </w:rPr>
        <w:t xml:space="preserve"> </w:t>
      </w:r>
      <w:r>
        <w:t>pair</w:t>
      </w:r>
      <w:r>
        <w:rPr>
          <w:rFonts w:hint="eastAsia"/>
        </w:rPr>
        <w:t>） ”。</w:t>
      </w:r>
      <w:r>
        <w:t xml:space="preserve"> </w:t>
      </w:r>
      <w:r>
        <w:rPr>
          <w:rFonts w:hint="eastAsia"/>
        </w:rPr>
        <w:t>为特定的试验获得合适的“约登对”可能很困难，因此，不建议将该技术用于一般用途。</w:t>
      </w:r>
    </w:p>
    <w:p>
      <w:pPr>
        <w:pStyle w:val="63"/>
      </w:pPr>
      <w:r>
        <w:rPr>
          <w:rFonts w:hint="eastAsia"/>
        </w:rPr>
        <w:t>一旦得到被测量性能不同水平的</w:t>
      </w:r>
      <w:r>
        <w:rPr>
          <w:i/>
        </w:rPr>
        <w:t>r</w:t>
      </w:r>
      <w:r>
        <w:rPr>
          <w:rFonts w:hint="eastAsia"/>
        </w:rPr>
        <w:t>和</w:t>
      </w:r>
      <w:r>
        <w:rPr>
          <w:i/>
        </w:rPr>
        <w:t>R</w:t>
      </w:r>
      <w:r>
        <w:rPr>
          <w:rFonts w:hint="eastAsia"/>
        </w:rPr>
        <w:t>的值，宜检查其与平均值之间的相关性。这可以用第</w:t>
      </w:r>
      <w:r>
        <w:t>11</w:t>
      </w:r>
      <w:r>
        <w:rPr>
          <w:rFonts w:hint="eastAsia"/>
        </w:rPr>
        <w:t>章中提到的回归分析技术来实现。宜检查平均水平的</w:t>
      </w:r>
      <w:r>
        <w:t>r</w:t>
      </w:r>
      <w:r>
        <w:rPr>
          <w:rFonts w:hint="eastAsia"/>
        </w:rPr>
        <w:t>或</w:t>
      </w:r>
      <w:r>
        <w:t>R</w:t>
      </w:r>
      <w:r>
        <w:rPr>
          <w:rFonts w:hint="eastAsia"/>
        </w:rPr>
        <w:t>的一般趋势的异常情况，以设法查明原因，因为这可以提供关于试验方法中的弱点的重要信息，以便对具体情况加以处理。</w:t>
      </w:r>
    </w:p>
    <w:p>
      <w:pPr>
        <w:pStyle w:val="42"/>
      </w:pPr>
      <w:bookmarkStart w:id="261" w:name="_Toc124173971"/>
      <w:r>
        <w:rPr>
          <w:rFonts w:hint="eastAsia"/>
        </w:rPr>
        <w:t>在橡胶试验中的应用</w:t>
      </w:r>
      <w:bookmarkEnd w:id="261"/>
    </w:p>
    <w:p>
      <w:pPr>
        <w:pStyle w:val="63"/>
      </w:pPr>
      <w:r>
        <w:rPr>
          <w:rFonts w:hint="eastAsia"/>
        </w:rPr>
        <w:t>精密度陈述正在成为橡胶试验方法标准的标准配置。</w:t>
      </w:r>
    </w:p>
    <w:p>
      <w:pPr>
        <w:pStyle w:val="63"/>
      </w:pPr>
      <w:r>
        <w:rPr>
          <w:rFonts w:hint="eastAsia"/>
        </w:rPr>
        <w:t>八个实验室对体积膨胀的测量进行了研究。使用了几种不同的橡胶和流体，给出了溶胀特性的极差。与每个平均水平相关的</w:t>
      </w:r>
      <w:r>
        <w:rPr>
          <w:i/>
        </w:rPr>
        <w:t>r</w:t>
      </w:r>
      <w:r>
        <w:rPr>
          <w:rFonts w:hint="eastAsia"/>
        </w:rPr>
        <w:t>和</w:t>
      </w:r>
      <w:r>
        <w:rPr>
          <w:i/>
        </w:rPr>
        <w:t>R</w:t>
      </w:r>
      <w:r>
        <w:rPr>
          <w:rFonts w:hint="eastAsia"/>
        </w:rPr>
        <w:t>值汇总于表</w:t>
      </w:r>
      <w:r>
        <w:t>39</w:t>
      </w:r>
      <w:r>
        <w:rPr>
          <w:rFonts w:hint="eastAsia"/>
        </w:rPr>
        <w:t>。</w:t>
      </w:r>
    </w:p>
    <w:p>
      <w:pPr>
        <w:pStyle w:val="127"/>
        <w:ind w:left="0"/>
      </w:pPr>
      <w:r>
        <w:rPr>
          <w:rFonts w:hint="eastAsia"/>
        </w:rPr>
        <w:t>体积溶胀的测量</w:t>
      </w:r>
    </w:p>
    <w:tbl>
      <w:tblPr>
        <w:tblStyle w:val="33"/>
        <w:tblW w:w="5000" w:type="pct"/>
        <w:tblInd w:w="0" w:type="dxa"/>
        <w:tblLayout w:type="autofit"/>
        <w:tblCellMar>
          <w:top w:w="0" w:type="dxa"/>
          <w:left w:w="108" w:type="dxa"/>
          <w:bottom w:w="0" w:type="dxa"/>
          <w:right w:w="108" w:type="dxa"/>
        </w:tblCellMar>
      </w:tblPr>
      <w:tblGrid>
        <w:gridCol w:w="1595"/>
        <w:gridCol w:w="1595"/>
        <w:gridCol w:w="1595"/>
        <w:gridCol w:w="1595"/>
        <w:gridCol w:w="1595"/>
        <w:gridCol w:w="1595"/>
      </w:tblGrid>
      <w:tr>
        <w:tblPrEx>
          <w:tblCellMar>
            <w:top w:w="0" w:type="dxa"/>
            <w:left w:w="108" w:type="dxa"/>
            <w:bottom w:w="0" w:type="dxa"/>
            <w:right w:w="108" w:type="dxa"/>
          </w:tblCellMar>
        </w:tblPrEx>
        <w:trPr>
          <w:trHeight w:val="270" w:hRule="atLeast"/>
        </w:trPr>
        <w:tc>
          <w:tcPr>
            <w:tcW w:w="833" w:type="pct"/>
            <w:tcBorders>
              <w:top w:val="single" w:color="auto" w:sz="4" w:space="0"/>
              <w:left w:val="single" w:color="auto" w:sz="4" w:space="0"/>
              <w:bottom w:val="nil"/>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水平数</w:t>
            </w:r>
          </w:p>
        </w:tc>
        <w:tc>
          <w:tcPr>
            <w:tcW w:w="833" w:type="pct"/>
            <w:tcBorders>
              <w:top w:val="single" w:color="auto" w:sz="4" w:space="0"/>
              <w:left w:val="nil"/>
              <w:bottom w:val="nil"/>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平均溶胀</w:t>
            </w:r>
          </w:p>
        </w:tc>
        <w:tc>
          <w:tcPr>
            <w:tcW w:w="833" w:type="pct"/>
            <w:tcBorders>
              <w:top w:val="single" w:color="auto" w:sz="4" w:space="0"/>
              <w:left w:val="nil"/>
              <w:bottom w:val="nil"/>
              <w:right w:val="single" w:color="auto" w:sz="4" w:space="0"/>
            </w:tcBorders>
            <w:noWrap/>
            <w:vAlign w:val="center"/>
          </w:tcPr>
          <w:p>
            <w:pPr>
              <w:widowControl/>
              <w:jc w:val="center"/>
              <w:rPr>
                <w:i/>
                <w:color w:val="000000"/>
                <w:kern w:val="0"/>
                <w:sz w:val="18"/>
                <w:szCs w:val="18"/>
              </w:rPr>
            </w:pPr>
            <w:r>
              <w:rPr>
                <w:i/>
                <w:color w:val="000000"/>
                <w:kern w:val="0"/>
                <w:sz w:val="18"/>
                <w:szCs w:val="18"/>
              </w:rPr>
              <w:t>r</w:t>
            </w:r>
          </w:p>
        </w:tc>
        <w:tc>
          <w:tcPr>
            <w:tcW w:w="833" w:type="pct"/>
            <w:tcBorders>
              <w:top w:val="single" w:color="auto" w:sz="4" w:space="0"/>
              <w:left w:val="nil"/>
              <w:bottom w:val="nil"/>
              <w:right w:val="single" w:color="auto" w:sz="4" w:space="0"/>
            </w:tcBorders>
            <w:noWrap/>
            <w:vAlign w:val="center"/>
          </w:tcPr>
          <w:p>
            <w:pPr>
              <w:widowControl/>
              <w:jc w:val="center"/>
              <w:rPr>
                <w:color w:val="000000"/>
                <w:kern w:val="0"/>
                <w:sz w:val="18"/>
                <w:szCs w:val="18"/>
              </w:rPr>
            </w:pPr>
            <w:r>
              <w:rPr>
                <w:color w:val="000000"/>
                <w:kern w:val="0"/>
                <w:sz w:val="18"/>
                <w:szCs w:val="18"/>
              </w:rPr>
              <w:t>(</w:t>
            </w:r>
            <w:r>
              <w:rPr>
                <w:i/>
                <w:color w:val="000000"/>
                <w:kern w:val="0"/>
                <w:sz w:val="18"/>
                <w:szCs w:val="18"/>
              </w:rPr>
              <w:t>r</w:t>
            </w:r>
            <w:r>
              <w:rPr>
                <w:color w:val="000000"/>
                <w:kern w:val="0"/>
                <w:sz w:val="18"/>
                <w:szCs w:val="18"/>
              </w:rPr>
              <w:t>)</w:t>
            </w:r>
          </w:p>
        </w:tc>
        <w:tc>
          <w:tcPr>
            <w:tcW w:w="833" w:type="pct"/>
            <w:tcBorders>
              <w:top w:val="single" w:color="auto" w:sz="4" w:space="0"/>
              <w:left w:val="nil"/>
              <w:bottom w:val="nil"/>
              <w:right w:val="single" w:color="auto" w:sz="4" w:space="0"/>
            </w:tcBorders>
            <w:noWrap/>
            <w:vAlign w:val="center"/>
          </w:tcPr>
          <w:p>
            <w:pPr>
              <w:widowControl/>
              <w:jc w:val="center"/>
              <w:rPr>
                <w:i/>
                <w:color w:val="000000"/>
                <w:kern w:val="0"/>
                <w:sz w:val="18"/>
                <w:szCs w:val="18"/>
              </w:rPr>
            </w:pPr>
            <w:r>
              <w:rPr>
                <w:i/>
                <w:color w:val="000000"/>
                <w:kern w:val="0"/>
                <w:sz w:val="18"/>
                <w:szCs w:val="18"/>
              </w:rPr>
              <w:t>R</w:t>
            </w:r>
          </w:p>
        </w:tc>
        <w:tc>
          <w:tcPr>
            <w:tcW w:w="833" w:type="pct"/>
            <w:tcBorders>
              <w:top w:val="single" w:color="auto" w:sz="4" w:space="0"/>
              <w:left w:val="nil"/>
              <w:bottom w:val="nil"/>
              <w:right w:val="single" w:color="auto" w:sz="4" w:space="0"/>
            </w:tcBorders>
            <w:noWrap/>
            <w:vAlign w:val="center"/>
          </w:tcPr>
          <w:p>
            <w:pPr>
              <w:widowControl/>
              <w:jc w:val="center"/>
              <w:rPr>
                <w:color w:val="000000"/>
                <w:kern w:val="0"/>
                <w:sz w:val="18"/>
                <w:szCs w:val="18"/>
              </w:rPr>
            </w:pPr>
            <w:r>
              <w:rPr>
                <w:color w:val="000000"/>
                <w:kern w:val="0"/>
                <w:sz w:val="18"/>
                <w:szCs w:val="18"/>
              </w:rPr>
              <w:t>(</w:t>
            </w:r>
            <w:r>
              <w:rPr>
                <w:i/>
                <w:color w:val="000000"/>
                <w:kern w:val="0"/>
                <w:sz w:val="18"/>
                <w:szCs w:val="18"/>
              </w:rPr>
              <w:t>R</w:t>
            </w:r>
            <w:r>
              <w:rPr>
                <w:color w:val="000000"/>
                <w:kern w:val="0"/>
                <w:sz w:val="18"/>
                <w:szCs w:val="18"/>
              </w:rPr>
              <w:t>)</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3.66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0.76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20.8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1.86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50.8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10.1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0.64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6.3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2.27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22.5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14.0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2.65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18.9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6.96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49.7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4</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20.6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0.57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2.8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4.67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22.7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5</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21.5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0.44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2.0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0.80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3.7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6</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42.8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0.89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2.1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4.46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10.4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7</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55.3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2.36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4.3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7.34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13.3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8</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96.9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5.84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12.13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12.5 </w:t>
            </w:r>
          </w:p>
        </w:tc>
      </w:tr>
      <w:tr>
        <w:tblPrEx>
          <w:tblCellMar>
            <w:top w:w="0" w:type="dxa"/>
            <w:left w:w="108" w:type="dxa"/>
            <w:bottom w:w="0" w:type="dxa"/>
            <w:right w:w="108" w:type="dxa"/>
          </w:tblCellMar>
        </w:tblPrEx>
        <w:trPr>
          <w:trHeight w:val="270" w:hRule="atLeast"/>
        </w:trPr>
        <w:tc>
          <w:tcPr>
            <w:tcW w:w="833"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9</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115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8.85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7.7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26.20 </w:t>
            </w:r>
          </w:p>
        </w:tc>
        <w:tc>
          <w:tcPr>
            <w:tcW w:w="833"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22.8 </w:t>
            </w:r>
          </w:p>
        </w:tc>
      </w:tr>
    </w:tbl>
    <w:p>
      <w:pPr>
        <w:pStyle w:val="63"/>
        <w:numPr>
          <w:ilvl w:val="0"/>
          <w:numId w:val="0"/>
        </w:numPr>
      </w:pPr>
    </w:p>
    <w:p>
      <w:pPr>
        <w:pStyle w:val="63"/>
        <w:rPr>
          <w:rFonts w:ascii="Times New Roman"/>
        </w:rPr>
      </w:pPr>
      <w:r>
        <w:rPr>
          <w:rFonts w:ascii="Times New Roman"/>
        </w:rPr>
        <w:t>对</w:t>
      </w:r>
      <w:r>
        <w:rPr>
          <w:rFonts w:ascii="Times New Roman"/>
          <w:i/>
        </w:rPr>
        <w:t>r</w:t>
      </w:r>
      <w:r>
        <w:rPr>
          <w:rFonts w:ascii="Times New Roman"/>
        </w:rPr>
        <w:t>和</w:t>
      </w:r>
      <w:r>
        <w:rPr>
          <w:rFonts w:ascii="Times New Roman"/>
          <w:i/>
        </w:rPr>
        <w:t>R</w:t>
      </w:r>
      <w:r>
        <w:rPr>
          <w:rFonts w:ascii="Times New Roman"/>
        </w:rPr>
        <w:t>结果的检验表明，</w:t>
      </w:r>
      <w:r>
        <w:rPr>
          <w:rFonts w:ascii="Times New Roman"/>
          <w:i/>
        </w:rPr>
        <w:t>r</w:t>
      </w:r>
      <w:r>
        <w:rPr>
          <w:rFonts w:ascii="Times New Roman"/>
        </w:rPr>
        <w:t>或</w:t>
      </w:r>
      <w:r>
        <w:rPr>
          <w:rFonts w:ascii="Times New Roman"/>
          <w:i/>
        </w:rPr>
        <w:t>R</w:t>
      </w:r>
      <w:r>
        <w:rPr>
          <w:rFonts w:ascii="Times New Roman"/>
        </w:rPr>
        <w:t>随平均水平的增加有增加的</w:t>
      </w:r>
      <w:r>
        <w:rPr>
          <w:rFonts w:hint="eastAsia" w:ascii="Times New Roman"/>
        </w:rPr>
        <w:t>总体</w:t>
      </w:r>
      <w:r>
        <w:rPr>
          <w:rFonts w:ascii="Times New Roman"/>
        </w:rPr>
        <w:t>趋势，但趋势中确实出现了一些异常现象。当(</w:t>
      </w:r>
      <w:r>
        <w:rPr>
          <w:rFonts w:ascii="Times New Roman"/>
          <w:i/>
        </w:rPr>
        <w:t>r</w:t>
      </w:r>
      <w:r>
        <w:rPr>
          <w:rFonts w:ascii="Times New Roman"/>
        </w:rPr>
        <w:t>)和(</w:t>
      </w:r>
      <w:r>
        <w:rPr>
          <w:rFonts w:ascii="Times New Roman"/>
          <w:i/>
        </w:rPr>
        <w:t>R</w:t>
      </w:r>
      <w:r>
        <w:rPr>
          <w:rFonts w:ascii="Times New Roman"/>
        </w:rPr>
        <w:t>)值与平均水平比较时，这种影响更加明显。</w:t>
      </w:r>
    </w:p>
    <w:p>
      <w:pPr>
        <w:pStyle w:val="23"/>
        <w:rPr>
          <w:rFonts w:ascii="Times New Roman"/>
        </w:rPr>
      </w:pPr>
      <w:r>
        <w:rPr>
          <w:rFonts w:ascii="Times New Roman"/>
        </w:rPr>
        <w:t>有迹象表明(</w:t>
      </w:r>
      <w:r>
        <w:rPr>
          <w:rFonts w:ascii="Times New Roman"/>
          <w:i/>
        </w:rPr>
        <w:t>r</w:t>
      </w:r>
      <w:r>
        <w:rPr>
          <w:rFonts w:ascii="Times New Roman"/>
        </w:rPr>
        <w:t>)和(</w:t>
      </w:r>
      <w:r>
        <w:rPr>
          <w:rFonts w:ascii="Times New Roman"/>
          <w:i/>
        </w:rPr>
        <w:t>R</w:t>
      </w:r>
      <w:r>
        <w:rPr>
          <w:rFonts w:ascii="Times New Roman"/>
        </w:rPr>
        <w:t>)值的变化经过一个最低值，这暗示了二次关系。虽然相关系数可以表明在95%或更高水平是统计学显著的,但对于一个给定体积溶胀(</w:t>
      </w:r>
      <w:r>
        <w:rPr>
          <w:rFonts w:ascii="Times New Roman"/>
          <w:i/>
        </w:rPr>
        <w:t>r</w:t>
      </w:r>
      <w:r>
        <w:rPr>
          <w:rFonts w:ascii="Times New Roman"/>
        </w:rPr>
        <w:t>)或(</w:t>
      </w:r>
      <w:r>
        <w:rPr>
          <w:rFonts w:ascii="Times New Roman"/>
          <w:i/>
        </w:rPr>
        <w:t>R</w:t>
      </w:r>
      <w:r>
        <w:rPr>
          <w:rFonts w:ascii="Times New Roman"/>
        </w:rPr>
        <w:t>)值预测的准确度</w:t>
      </w:r>
      <w:r>
        <w:rPr>
          <w:rFonts w:hint="eastAsia" w:ascii="Times New Roman"/>
        </w:rPr>
        <w:t>付出</w:t>
      </w:r>
      <w:r>
        <w:rPr>
          <w:rFonts w:ascii="Times New Roman"/>
        </w:rPr>
        <w:t>额外计算</w:t>
      </w:r>
      <w:r>
        <w:rPr>
          <w:rFonts w:hint="eastAsia" w:ascii="Times New Roman"/>
        </w:rPr>
        <w:t>并不证明</w:t>
      </w:r>
      <w:r>
        <w:rPr>
          <w:rFonts w:ascii="Times New Roman"/>
        </w:rPr>
        <w:t>是合理的。</w:t>
      </w:r>
    </w:p>
    <w:p>
      <w:pPr>
        <w:pStyle w:val="23"/>
        <w:rPr>
          <w:rFonts w:ascii="Times New Roman"/>
        </w:rPr>
      </w:pPr>
      <w:r>
        <w:rPr>
          <w:rFonts w:ascii="Times New Roman"/>
        </w:rPr>
        <w:t>试验方法(</w:t>
      </w:r>
      <w:r>
        <w:rPr>
          <w:rFonts w:ascii="Times New Roman"/>
          <w:i/>
        </w:rPr>
        <w:t>r</w:t>
      </w:r>
      <w:r>
        <w:rPr>
          <w:rFonts w:ascii="Times New Roman"/>
        </w:rPr>
        <w:t>)和(</w:t>
      </w:r>
      <w:r>
        <w:rPr>
          <w:rFonts w:ascii="Times New Roman"/>
          <w:i/>
        </w:rPr>
        <w:t>R</w:t>
      </w:r>
      <w:r>
        <w:rPr>
          <w:rFonts w:ascii="Times New Roman"/>
        </w:rPr>
        <w:t>) 的简单平均值，对于提供信息的目的来说就足够准确了。因此，该数据为体积膨胀试验提供了百分比重复性为</w:t>
      </w:r>
      <w:r>
        <w:rPr>
          <w:rFonts w:hint="eastAsia" w:ascii="Times New Roman"/>
        </w:rPr>
        <w:t>8</w:t>
      </w:r>
      <w:r>
        <w:rPr>
          <w:rFonts w:ascii="Times New Roman"/>
        </w:rPr>
        <w:t>%和百分比再现性为</w:t>
      </w:r>
      <w:r>
        <w:rPr>
          <w:rFonts w:hint="eastAsia" w:ascii="Times New Roman"/>
        </w:rPr>
        <w:t>2</w:t>
      </w:r>
      <w:r>
        <w:rPr>
          <w:rFonts w:ascii="Times New Roman"/>
        </w:rPr>
        <w:t>3%的估计。</w:t>
      </w:r>
    </w:p>
    <w:p>
      <w:pPr>
        <w:pStyle w:val="45"/>
      </w:pPr>
      <w:bookmarkStart w:id="262" w:name="_Toc124173972"/>
      <w:r>
        <w:rPr>
          <w:rFonts w:hint="eastAsia"/>
        </w:rPr>
        <w:t>实验设计</w:t>
      </w:r>
      <w:bookmarkEnd w:id="262"/>
    </w:p>
    <w:p>
      <w:pPr>
        <w:pStyle w:val="42"/>
      </w:pPr>
      <w:bookmarkStart w:id="263" w:name="_Toc124173973"/>
      <w:r>
        <w:rPr>
          <w:rFonts w:hint="eastAsia"/>
        </w:rPr>
        <w:t>一般信息及原理</w:t>
      </w:r>
      <w:bookmarkEnd w:id="263"/>
    </w:p>
    <w:p>
      <w:pPr>
        <w:pStyle w:val="46"/>
        <w:spacing w:before="156" w:after="156"/>
      </w:pPr>
      <w:r>
        <w:rPr>
          <w:rFonts w:hint="eastAsia"/>
        </w:rPr>
        <w:t>一般信息</w:t>
      </w:r>
    </w:p>
    <w:p>
      <w:pPr>
        <w:pStyle w:val="51"/>
        <w:spacing w:before="156" w:after="156"/>
      </w:pPr>
      <w:r>
        <w:rPr>
          <w:rFonts w:hint="eastAsia"/>
        </w:rPr>
        <w:t>引言</w:t>
      </w:r>
    </w:p>
    <w:p>
      <w:pPr>
        <w:tabs>
          <w:tab w:val="left" w:pos="284"/>
          <w:tab w:val="left" w:pos="567"/>
        </w:tabs>
        <w:ind w:firstLine="420" w:firstLineChars="200"/>
        <w:rPr>
          <w:rFonts w:ascii="宋体" w:hAnsi="宋体"/>
        </w:rPr>
      </w:pPr>
      <w:r>
        <w:rPr>
          <w:rFonts w:hint="eastAsia" w:ascii="宋体" w:hAnsi="宋体"/>
        </w:rPr>
        <w:t>到目前为止，每一章都是关于实验数据的分析，即表达被测系统的统计数据的估计和检验。这些是科学方法的基本组成部分。实验设计，即规范观测实验数据的条件，也是科学方法的一部分。</w:t>
      </w:r>
    </w:p>
    <w:p>
      <w:pPr>
        <w:tabs>
          <w:tab w:val="left" w:pos="284"/>
          <w:tab w:val="left" w:pos="567"/>
        </w:tabs>
        <w:ind w:firstLine="420" w:firstLineChars="200"/>
        <w:rPr>
          <w:rFonts w:ascii="宋体" w:hAnsi="宋体"/>
        </w:rPr>
      </w:pPr>
      <w:r>
        <w:rPr>
          <w:rFonts w:hint="eastAsia" w:ascii="宋体" w:hAnsi="宋体"/>
        </w:rPr>
        <w:t>实验设计是应用统计学的主要部分，关于此有大量的文献。在本章中，只介绍那些对物理科学，特别是对橡胶和橡胶制品的检测最有贡献的实验设计内容。</w:t>
      </w:r>
    </w:p>
    <w:p>
      <w:pPr>
        <w:tabs>
          <w:tab w:val="left" w:pos="284"/>
          <w:tab w:val="left" w:pos="567"/>
        </w:tabs>
        <w:ind w:firstLine="420" w:firstLineChars="200"/>
        <w:rPr>
          <w:rFonts w:ascii="宋体" w:hAnsi="宋体"/>
        </w:rPr>
      </w:pPr>
      <w:r>
        <w:rPr>
          <w:rFonts w:hint="eastAsia" w:ascii="宋体" w:hAnsi="宋体"/>
        </w:rPr>
        <w:t>描述是简短且有选择性的。它们或许是规则性的，而不是教学性的。建议读者查阅文献以便更好地理解。参考文献列于参考书目中。</w:t>
      </w:r>
    </w:p>
    <w:p>
      <w:pPr>
        <w:tabs>
          <w:tab w:val="left" w:pos="284"/>
          <w:tab w:val="left" w:pos="567"/>
        </w:tabs>
        <w:ind w:firstLine="420" w:firstLineChars="200"/>
        <w:rPr>
          <w:rFonts w:ascii="宋体" w:hAnsi="宋体"/>
        </w:rPr>
      </w:pPr>
      <w:r>
        <w:rPr>
          <w:rFonts w:hint="eastAsia" w:ascii="宋体" w:hAnsi="宋体"/>
        </w:rPr>
        <w:t>关于这个主题的教科书有很多，实验设计的种类也很多。本章选择描述了一系列对橡胶技术有用的设计，且是从最简单的到较复杂的。</w:t>
      </w:r>
    </w:p>
    <w:p>
      <w:pPr>
        <w:pStyle w:val="51"/>
        <w:spacing w:before="156" w:after="156"/>
      </w:pPr>
      <w:r>
        <w:rPr>
          <w:rFonts w:hint="eastAsia"/>
        </w:rPr>
        <w:t>描述性的设计</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对一个全部试样从标准材料中随机抽取的统计学样本进行试验以确定该材料某一特性的基本统计量。例如，能够报告的该标准材料拉伸强度的平均值和标准差。</w:t>
      </w:r>
    </w:p>
    <w:p>
      <w:pPr>
        <w:pStyle w:val="51"/>
        <w:spacing w:before="156" w:after="156"/>
      </w:pPr>
      <w:r>
        <w:rPr>
          <w:rFonts w:hint="eastAsia"/>
        </w:rPr>
        <w:t>比较性设计</w:t>
      </w:r>
    </w:p>
    <w:p>
      <w:pPr>
        <w:pStyle w:val="55"/>
        <w:spacing w:before="156" w:after="156"/>
        <w:ind w:left="0"/>
      </w:pPr>
      <w:r>
        <w:rPr>
          <w:rFonts w:hint="eastAsia"/>
        </w:rPr>
        <w:t>与标准的比较</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新材料的特性可以与特定的工业标准进行比较。对若干试样的样本进行试验，并评估是否有证据足以得出这种材料的测量特性与标准指标不同的结论。</w:t>
      </w:r>
    </w:p>
    <w:p>
      <w:pPr>
        <w:pStyle w:val="55"/>
        <w:spacing w:before="156" w:after="156"/>
        <w:ind w:left="0"/>
      </w:pPr>
      <w:r>
        <w:rPr>
          <w:rFonts w:hint="eastAsia"/>
        </w:rPr>
        <w:t>两种材料与独立样本的比较</w:t>
      </w:r>
    </w:p>
    <w:p>
      <w:pPr>
        <w:pStyle w:val="23"/>
      </w:pPr>
      <w:r>
        <w:rPr>
          <w:rFonts w:hint="eastAsia"/>
        </w:rPr>
        <w:t>两种材料可能是：</w:t>
      </w:r>
    </w:p>
    <w:p>
      <w:pPr>
        <w:pStyle w:val="59"/>
        <w:numPr>
          <w:ilvl w:val="0"/>
          <w:numId w:val="46"/>
        </w:numPr>
      </w:pPr>
      <w:r>
        <w:rPr>
          <w:rFonts w:hint="eastAsia"/>
        </w:rPr>
        <w:t>不同成分的；</w:t>
      </w:r>
    </w:p>
    <w:p>
      <w:pPr>
        <w:pStyle w:val="59"/>
        <w:numPr>
          <w:ilvl w:val="0"/>
          <w:numId w:val="46"/>
        </w:numPr>
      </w:pPr>
      <w:r>
        <w:rPr>
          <w:rFonts w:hint="eastAsia"/>
        </w:rPr>
        <w:t>工艺稍有不同；</w:t>
      </w:r>
    </w:p>
    <w:p>
      <w:pPr>
        <w:pStyle w:val="59"/>
        <w:numPr>
          <w:ilvl w:val="0"/>
          <w:numId w:val="46"/>
        </w:numPr>
      </w:pPr>
      <w:r>
        <w:rPr>
          <w:rFonts w:hint="eastAsia"/>
        </w:rPr>
        <w:t>在不同的地方制造，即使他们声称是相同的成分和由完全相同的工艺制造。</w:t>
      </w:r>
    </w:p>
    <w:p>
      <w:pPr>
        <w:pStyle w:val="23"/>
      </w:pPr>
      <w:r>
        <w:rPr>
          <w:rFonts w:hint="eastAsia"/>
        </w:rPr>
        <w:t>为了确定它们是否具有相同或不同的性能，宜对取自每种材料的有若干试样的样本进行试验。这些样本的选择应该是相互独立的。</w:t>
      </w:r>
    </w:p>
    <w:p>
      <w:pPr>
        <w:pStyle w:val="55"/>
        <w:spacing w:before="156" w:after="156"/>
        <w:ind w:left="0"/>
      </w:pPr>
      <w:r>
        <w:rPr>
          <w:rFonts w:hint="eastAsia"/>
        </w:rPr>
        <w:t>通过成对样本比较两种材料</w:t>
      </w:r>
    </w:p>
    <w:p>
      <w:pPr>
        <w:tabs>
          <w:tab w:val="left" w:pos="284"/>
          <w:tab w:val="left" w:pos="567"/>
        </w:tabs>
        <w:ind w:firstLine="420" w:firstLineChars="200"/>
        <w:rPr>
          <w:rFonts w:ascii="宋体" w:hAnsi="宋体"/>
        </w:rPr>
      </w:pPr>
      <w:r>
        <w:rPr>
          <w:rFonts w:hint="eastAsia" w:ascii="宋体" w:hAnsi="宋体"/>
        </w:rPr>
        <w:t>如在17.1.1.3.2中一样，确定两种材料是否具有相同或不同的性能可能是必要的。然而，在存在不可控制的外部影响时，宜确保公正的比较。</w:t>
      </w:r>
    </w:p>
    <w:p>
      <w:pPr>
        <w:tabs>
          <w:tab w:val="left" w:pos="284"/>
          <w:tab w:val="left" w:pos="567"/>
        </w:tabs>
        <w:ind w:firstLine="420" w:firstLineChars="200"/>
        <w:rPr>
          <w:rFonts w:ascii="宋体" w:hAnsi="宋体"/>
        </w:rPr>
      </w:pPr>
      <w:r>
        <w:rPr>
          <w:rFonts w:hint="eastAsia" w:ascii="宋体" w:hAnsi="宋体"/>
        </w:rPr>
        <w:t>例如，橡胶样本可能暴露在大气中，并测量其老化情况。一种方法是成对暴露试样，每对试样由每一种材料的一个产品或试样组成，这样就确保了这对组合的两个成员经历到相同的天气条件。要分析的数据将会是测得的每一对之间的老化量的差值。</w:t>
      </w:r>
    </w:p>
    <w:p>
      <w:pPr>
        <w:pStyle w:val="51"/>
        <w:spacing w:before="156" w:after="156"/>
      </w:pPr>
      <w:r>
        <w:rPr>
          <w:rFonts w:hint="eastAsia"/>
        </w:rPr>
        <w:t>响应设计</w:t>
      </w:r>
    </w:p>
    <w:p>
      <w:pPr>
        <w:pStyle w:val="55"/>
        <w:spacing w:before="156" w:after="156"/>
        <w:ind w:left="0"/>
      </w:pPr>
      <w:r>
        <w:rPr>
          <w:rFonts w:hint="eastAsia"/>
        </w:rPr>
        <w:t>因素实验</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当开发新材料或制造工艺时，通常有几个能够影响材料性能的变量或因素。研究几个变量的影响的实验宜设计成允许所有这些变量设置在几个水平上。人们普遍认为，最好的方法是每次只用一个变量进行实验，其他所有变量固定。这种方法是效率低、不经济的，而且不会提供变量之间相互作用的信息。两水平因素实验在研发中得到了广泛的应用。由于研发的最后阶段需要多水平的实验(三个或更多水平)，如果控制的变量数量很少，在研发阶段考虑使用三水平的实验设计可能是有用的。</w:t>
      </w:r>
    </w:p>
    <w:p>
      <w:pPr>
        <w:pStyle w:val="55"/>
        <w:spacing w:before="156" w:after="156"/>
        <w:ind w:left="0"/>
      </w:pPr>
      <w:r>
        <w:rPr>
          <w:rFonts w:hint="eastAsia"/>
        </w:rPr>
        <w:t xml:space="preserve"> 复合设计响应面探讨</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在研发的最后阶段.当寻找将产生最好的材料性能(如最高拉伸强度)的条件(如成分和工艺变量的值）时,宜给因素实验添加额外的点，以便估计响应曲线。这些设计称为增强设计或复合设计。</w:t>
      </w:r>
    </w:p>
    <w:p>
      <w:pPr>
        <w:pStyle w:val="55"/>
        <w:spacing w:before="156" w:after="156"/>
        <w:ind w:left="0"/>
      </w:pPr>
      <w:r>
        <w:rPr>
          <w:rFonts w:hint="eastAsia"/>
        </w:rPr>
        <w:t>实验室间试验</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工业上使用的另一类实验是实验室间试验。这样做的目的是评估一组实验室中每个实验室内试验结果的重复性和实验室之间试验结果的再现性。这些在本标准中没有像在ISO 5725和IS</w:t>
      </w:r>
      <w:r>
        <w:rPr>
          <w:rFonts w:ascii="宋体" w:hAnsi="宋体"/>
        </w:rPr>
        <w:t>O 19983</w:t>
      </w:r>
      <w:r>
        <w:rPr>
          <w:rFonts w:hint="eastAsia" w:ascii="宋体" w:hAnsi="宋体"/>
        </w:rPr>
        <w:t>中那样完整地描述，但是第16章概述了进行精</w:t>
      </w:r>
      <w:r>
        <w:rPr>
          <w:rFonts w:ascii="宋体" w:hAnsi="宋体"/>
        </w:rPr>
        <w:t>密度</w:t>
      </w:r>
      <w:r>
        <w:rPr>
          <w:rFonts w:hint="eastAsia" w:ascii="宋体" w:hAnsi="宋体"/>
        </w:rPr>
        <w:t>陈所涉及的一些原则。</w:t>
      </w:r>
    </w:p>
    <w:p>
      <w:pPr>
        <w:pStyle w:val="46"/>
        <w:spacing w:before="156" w:after="156"/>
      </w:pPr>
      <w:r>
        <w:rPr>
          <w:rFonts w:hint="eastAsia"/>
        </w:rPr>
        <w:t>原理</w:t>
      </w:r>
    </w:p>
    <w:p>
      <w:pPr>
        <w:pStyle w:val="51"/>
        <w:spacing w:before="156" w:after="156"/>
      </w:pPr>
      <w:r>
        <w:rPr>
          <w:rFonts w:hint="eastAsia"/>
        </w:rPr>
        <w:t>概述</w:t>
      </w:r>
    </w:p>
    <w:p>
      <w:pPr>
        <w:pStyle w:val="23"/>
      </w:pPr>
      <w:r>
        <w:rPr>
          <w:rFonts w:hint="eastAsia"/>
        </w:rPr>
        <w:t>由于实验结果的变异，需要对实验结果进行统计分析。所有试验结果各不相同。造成这种变异的原因如下:</w:t>
      </w:r>
    </w:p>
    <w:p>
      <w:pPr>
        <w:pStyle w:val="59"/>
        <w:numPr>
          <w:ilvl w:val="0"/>
          <w:numId w:val="47"/>
        </w:numPr>
      </w:pPr>
      <w:r>
        <w:rPr>
          <w:rFonts w:hint="eastAsia"/>
        </w:rPr>
        <w:t>材料存在固有的变异性;</w:t>
      </w:r>
    </w:p>
    <w:p>
      <w:pPr>
        <w:pStyle w:val="59"/>
        <w:numPr>
          <w:ilvl w:val="0"/>
          <w:numId w:val="47"/>
        </w:numPr>
      </w:pPr>
      <w:r>
        <w:rPr>
          <w:rFonts w:hint="eastAsia"/>
        </w:rPr>
        <w:t>测量仪器及其校准存在瑕疵;</w:t>
      </w:r>
    </w:p>
    <w:p>
      <w:pPr>
        <w:pStyle w:val="59"/>
        <w:numPr>
          <w:ilvl w:val="0"/>
          <w:numId w:val="47"/>
        </w:numPr>
      </w:pPr>
      <w:r>
        <w:rPr>
          <w:rFonts w:hint="eastAsia"/>
        </w:rPr>
        <w:t>存在抽样变异。</w:t>
      </w:r>
    </w:p>
    <w:p>
      <w:pPr>
        <w:pStyle w:val="23"/>
      </w:pPr>
      <w:r>
        <w:rPr>
          <w:rFonts w:hint="eastAsia"/>
        </w:rPr>
        <w:t>因此，在设计实验时宜考虑这种变异。</w:t>
      </w:r>
    </w:p>
    <w:p>
      <w:pPr>
        <w:pStyle w:val="51"/>
        <w:spacing w:before="156" w:after="156"/>
      </w:pPr>
      <w:r>
        <w:rPr>
          <w:rFonts w:hint="eastAsia"/>
        </w:rPr>
        <w:t>描述性实验</w:t>
      </w:r>
    </w:p>
    <w:p>
      <w:pPr>
        <w:pStyle w:val="118"/>
        <w:ind w:left="0"/>
      </w:pPr>
      <w:r>
        <w:rPr>
          <w:rFonts w:hint="eastAsia"/>
        </w:rPr>
        <w:t>在描述性实验中，通过对几个试验结果的测量分析，来报告标准材料的特性。例如，计算由几个试样组成的样本的平均拉伸强度。这不太可能是取自标准材料的所有可能的试样的真实均值。如果计算另一个由几个试样组成的样本的平均拉伸强度，则会有所不同。因此，计算的样本均值仅是潜在总体均值的估计，即点估计。在报告时，宜报告一个区间，在其内可以确信总体均值存在。这个区间是总体均值的置信区间。第7章给出了进一步的细节。</w:t>
      </w:r>
    </w:p>
    <w:p>
      <w:pPr>
        <w:pStyle w:val="118"/>
        <w:ind w:left="0"/>
      </w:pPr>
      <w:r>
        <w:rPr>
          <w:rFonts w:hint="eastAsia"/>
        </w:rPr>
        <w:t>这个置信区间取决于三件事：</w:t>
      </w:r>
    </w:p>
    <w:p>
      <w:pPr>
        <w:pStyle w:val="59"/>
        <w:numPr>
          <w:ilvl w:val="0"/>
          <w:numId w:val="48"/>
        </w:numPr>
      </w:pPr>
      <w:r>
        <w:rPr>
          <w:rFonts w:hint="eastAsia"/>
        </w:rPr>
        <w:t>样本内试样各测量值之间的变异，以被测材料性能的方差或标准差表示；</w:t>
      </w:r>
    </w:p>
    <w:p>
      <w:pPr>
        <w:pStyle w:val="59"/>
        <w:numPr>
          <w:ilvl w:val="0"/>
          <w:numId w:val="48"/>
        </w:numPr>
      </w:pPr>
      <w:r>
        <w:rPr>
          <w:rFonts w:hint="eastAsia"/>
        </w:rPr>
        <w:t>样本中被测试样的数量；</w:t>
      </w:r>
    </w:p>
    <w:p>
      <w:pPr>
        <w:pStyle w:val="59"/>
        <w:numPr>
          <w:ilvl w:val="0"/>
          <w:numId w:val="48"/>
        </w:numPr>
      </w:pPr>
      <w:r>
        <w:rPr>
          <w:rFonts w:hint="eastAsia"/>
        </w:rPr>
        <w:t>区间的置信度，以总体均值确实出现在该区间内的概率表示，通常为百分数表示(例如95%置信区间)。</w:t>
      </w:r>
    </w:p>
    <w:p>
      <w:pPr>
        <w:pStyle w:val="65"/>
        <w:numPr>
          <w:ilvl w:val="0"/>
          <w:numId w:val="49"/>
        </w:numPr>
      </w:pPr>
      <w:r>
        <w:rPr>
          <w:rFonts w:hint="eastAsia"/>
        </w:rPr>
        <w:t>变异通常由实验来确定。</w:t>
      </w:r>
    </w:p>
    <w:p>
      <w:pPr>
        <w:pStyle w:val="65"/>
        <w:numPr>
          <w:ilvl w:val="0"/>
          <w:numId w:val="49"/>
        </w:numPr>
      </w:pPr>
      <w:r>
        <w:rPr>
          <w:rFonts w:hint="eastAsia"/>
        </w:rPr>
        <w:t>试样数量宜在实验前规定。</w:t>
      </w:r>
    </w:p>
    <w:p>
      <w:pPr>
        <w:pStyle w:val="65"/>
      </w:pPr>
      <w:r>
        <w:rPr>
          <w:rFonts w:hint="eastAsia"/>
        </w:rPr>
        <w:t>置信度是实验者的选择，</w:t>
      </w:r>
      <w:r>
        <w:t>也</w:t>
      </w:r>
      <w:r>
        <w:rPr>
          <w:rFonts w:hint="eastAsia"/>
        </w:rPr>
        <w:t>宜在实验开始前规定。</w:t>
      </w:r>
    </w:p>
    <w:p>
      <w:pPr>
        <w:pStyle w:val="118"/>
        <w:ind w:left="0"/>
      </w:pPr>
      <w:r>
        <w:rPr>
          <w:rFonts w:hint="eastAsia"/>
        </w:rPr>
        <w:t>理想情况下，实验者应该指定置信区间的大小和置信度。例如，在拉伸强度的情况下，实验员可以指定如下内容:</w:t>
      </w:r>
    </w:p>
    <w:p>
      <w:pPr>
        <w:pStyle w:val="59"/>
        <w:numPr>
          <w:ilvl w:val="0"/>
          <w:numId w:val="50"/>
        </w:numPr>
      </w:pPr>
      <w:r>
        <w:rPr>
          <w:rFonts w:hint="eastAsia"/>
        </w:rPr>
        <w:t>置信区间大小为样本均值的±1.0 MPa。</w:t>
      </w:r>
    </w:p>
    <w:p>
      <w:pPr>
        <w:pStyle w:val="59"/>
        <w:numPr>
          <w:ilvl w:val="0"/>
          <w:numId w:val="50"/>
        </w:numPr>
      </w:pPr>
      <w:r>
        <w:rPr>
          <w:rFonts w:hint="eastAsia"/>
        </w:rPr>
        <w:t>置信度95%。</w:t>
      </w:r>
    </w:p>
    <w:p>
      <w:pPr>
        <w:pStyle w:val="23"/>
      </w:pPr>
      <w:r>
        <w:rPr>
          <w:rFonts w:hint="eastAsia"/>
        </w:rPr>
        <w:t>实验宜按如下四个阶段进行：</w:t>
      </w:r>
    </w:p>
    <w:p>
      <w:pPr>
        <w:pStyle w:val="54"/>
      </w:pPr>
      <w:r>
        <w:rPr>
          <w:rFonts w:hint="eastAsia"/>
        </w:rPr>
        <w:t>进行预实验，使整个标准材料的所有可能试样的未知方差得以估计；</w:t>
      </w:r>
    </w:p>
    <w:p>
      <w:pPr>
        <w:pStyle w:val="54"/>
      </w:pPr>
      <w:r>
        <w:rPr>
          <w:rFonts w:hint="eastAsia"/>
        </w:rPr>
        <w:t>计算样本大小N，用此利用预实验结果估计的方差估计指定置信区间；</w:t>
      </w:r>
    </w:p>
    <w:p>
      <w:pPr>
        <w:pStyle w:val="54"/>
      </w:pPr>
      <w:r>
        <w:rPr>
          <w:rFonts w:hint="eastAsia"/>
        </w:rPr>
        <w:t>在N个试件的样本上进行试验测量。</w:t>
      </w:r>
    </w:p>
    <w:p>
      <w:pPr>
        <w:pStyle w:val="54"/>
      </w:pPr>
      <w:r>
        <w:rPr>
          <w:rFonts w:hint="eastAsia"/>
        </w:rPr>
        <w:t>计算样本均值、标准差和置信区间。</w:t>
      </w:r>
    </w:p>
    <w:p>
      <w:pPr>
        <w:pStyle w:val="23"/>
      </w:pPr>
      <w:r>
        <w:rPr>
          <w:rFonts w:hint="eastAsia"/>
        </w:rPr>
        <w:t>这四个阶段在17.2中描述。</w:t>
      </w:r>
    </w:p>
    <w:p>
      <w:pPr>
        <w:pStyle w:val="51"/>
        <w:spacing w:before="156" w:after="156"/>
      </w:pPr>
      <w:r>
        <w:rPr>
          <w:rFonts w:hint="eastAsia"/>
        </w:rPr>
        <w:t>比较实验</w:t>
      </w:r>
    </w:p>
    <w:p>
      <w:pPr>
        <w:pStyle w:val="118"/>
        <w:ind w:left="0"/>
      </w:pPr>
      <w:r>
        <w:rPr>
          <w:rFonts w:hint="eastAsia"/>
        </w:rPr>
        <w:t>试验结果的统计分析不宜被简单地看作是一组得出这种影响显著与否明确陈述的计算。没有对实验目的的解释，这样的陈述就没有意义。结论取决于实验的环境和实验者的意图，在实验进行之前宜宣布这些意图。 例如，实验的环境可以决定是否可以检测到统计上显著的效应</w:t>
      </w:r>
      <w:r>
        <w:rPr>
          <w:rFonts w:cs="Arial"/>
          <w:color w:val="000000"/>
          <w:shd w:val="clear" w:color="auto" w:fill="FFFFFF"/>
        </w:rPr>
        <w:t xml:space="preserve"> (</w:t>
      </w:r>
      <w:r>
        <w:rPr>
          <w:rFonts w:hint="eastAsia" w:cs="Arial"/>
          <w:color w:val="000000"/>
          <w:shd w:val="clear" w:color="auto" w:fill="FFFFFF"/>
        </w:rPr>
        <w:t>如果存在</w:t>
      </w:r>
      <w:r>
        <w:rPr>
          <w:rFonts w:cs="Arial"/>
          <w:color w:val="000000"/>
          <w:shd w:val="clear" w:color="auto" w:fill="FFFFFF"/>
        </w:rPr>
        <w:t>)</w:t>
      </w:r>
      <w:r>
        <w:rPr>
          <w:rFonts w:hint="eastAsia" w:cs="Arial"/>
          <w:color w:val="000000"/>
          <w:shd w:val="clear" w:color="auto" w:fill="FFFFFF"/>
        </w:rPr>
        <w:t>。实验者的意图将包括他或她认为在技术上有显著影响的陈述。</w:t>
      </w:r>
    </w:p>
    <w:p>
      <w:pPr>
        <w:pStyle w:val="118"/>
        <w:ind w:left="0"/>
      </w:pPr>
      <w:r>
        <w:rPr>
          <w:rFonts w:hint="eastAsia"/>
        </w:rPr>
        <w:t>在开始比较两种材料的潜在特性值的实验之前，宜采取四个主要步骤:</w:t>
      </w:r>
    </w:p>
    <w:p>
      <w:pPr>
        <w:pStyle w:val="59"/>
        <w:numPr>
          <w:ilvl w:val="0"/>
          <w:numId w:val="51"/>
        </w:numPr>
      </w:pPr>
      <w:r>
        <w:rPr>
          <w:rFonts w:hint="eastAsia"/>
        </w:rPr>
        <w:t>第一步，说明从实验中能得出的备选推断。</w:t>
      </w:r>
    </w:p>
    <w:p>
      <w:pPr>
        <w:pStyle w:val="59"/>
        <w:numPr>
          <w:ilvl w:val="0"/>
          <w:numId w:val="51"/>
        </w:numPr>
      </w:pPr>
      <w:r>
        <w:rPr>
          <w:rFonts w:hint="eastAsia"/>
        </w:rPr>
        <w:t>第二步，指定做出错误推断可接受有风险。</w:t>
      </w:r>
    </w:p>
    <w:p>
      <w:pPr>
        <w:pStyle w:val="59"/>
        <w:numPr>
          <w:ilvl w:val="0"/>
          <w:numId w:val="51"/>
        </w:numPr>
      </w:pPr>
      <w:r>
        <w:rPr>
          <w:rFonts w:hint="eastAsia"/>
        </w:rPr>
        <w:t>第三步，指定两个特征值之间的差。这一点最好在统计上加以证明，以便具有技术意义。</w:t>
      </w:r>
    </w:p>
    <w:p>
      <w:pPr>
        <w:pStyle w:val="59"/>
        <w:numPr>
          <w:ilvl w:val="0"/>
          <w:numId w:val="51"/>
        </w:numPr>
      </w:pPr>
      <w:r>
        <w:rPr>
          <w:rFonts w:hint="eastAsia"/>
        </w:rPr>
        <w:t>第四步，计算所需的样本量。</w:t>
      </w:r>
    </w:p>
    <w:p>
      <w:pPr>
        <w:pStyle w:val="23"/>
      </w:pPr>
      <w:r>
        <w:rPr>
          <w:rFonts w:hint="eastAsia"/>
        </w:rPr>
        <w:t>这四步在17.1.2.3.3至17.1.2.3.6中有更完整的描述，并在17.2中有现详细的呈现。</w:t>
      </w:r>
    </w:p>
    <w:p>
      <w:pPr>
        <w:pStyle w:val="118"/>
        <w:ind w:left="0"/>
      </w:pPr>
      <w:r>
        <w:rPr>
          <w:rFonts w:hint="eastAsia"/>
        </w:rPr>
        <w:t>在第一步中，陈述能够从实验中得到的</w:t>
      </w:r>
      <w:r>
        <w:rPr>
          <w:rFonts w:hAnsi="宋体"/>
        </w:rPr>
        <w:t>备择</w:t>
      </w:r>
      <w:r>
        <w:rPr>
          <w:rFonts w:hint="eastAsia"/>
        </w:rPr>
        <w:t>推断。这些宜作为</w:t>
      </w:r>
      <w:r>
        <w:rPr>
          <w:rFonts w:hAnsi="宋体"/>
        </w:rPr>
        <w:t>备择</w:t>
      </w:r>
      <w:r>
        <w:rPr>
          <w:rFonts w:hint="eastAsia"/>
          <w:highlight w:val="yellow"/>
        </w:rPr>
        <w:t>事先</w:t>
      </w:r>
      <w:r>
        <w:rPr>
          <w:rFonts w:hint="eastAsia"/>
        </w:rPr>
        <w:t>假设来陈述。</w:t>
      </w:r>
    </w:p>
    <w:p>
      <w:pPr>
        <w:tabs>
          <w:tab w:val="left" w:pos="284"/>
          <w:tab w:val="left" w:pos="567"/>
        </w:tabs>
        <w:ind w:firstLine="420" w:firstLineChars="200"/>
        <w:rPr>
          <w:rFonts w:ascii="宋体" w:hAnsi="宋体"/>
        </w:rPr>
      </w:pPr>
      <w:r>
        <w:rPr>
          <w:rFonts w:hint="eastAsia" w:ascii="宋体" w:hAnsi="宋体"/>
        </w:rPr>
        <w:t>当两种材料根据某一性能进行比较时，最常见的是该性能平均值之间的比较。宜评估是否有足够的证据来推断实际总体中每个标准材料整体的实际均值(</w:t>
      </w:r>
      <w:r>
        <w:rPr>
          <w:rFonts w:hint="eastAsia" w:ascii="宋体" w:hAnsi="宋体"/>
          <w:i/>
        </w:rPr>
        <w:t>μ</w:t>
      </w:r>
      <w:r>
        <w:rPr>
          <w:rFonts w:hint="eastAsia" w:ascii="宋体" w:hAnsi="宋体"/>
          <w:vertAlign w:val="subscript"/>
        </w:rPr>
        <w:t>1</w:t>
      </w:r>
      <w:r>
        <w:rPr>
          <w:rFonts w:hint="eastAsia" w:ascii="宋体" w:hAnsi="宋体"/>
        </w:rPr>
        <w:t>和</w:t>
      </w:r>
      <w:r>
        <w:rPr>
          <w:rFonts w:hint="eastAsia" w:ascii="宋体" w:hAnsi="宋体"/>
          <w:i/>
        </w:rPr>
        <w:t>μ</w:t>
      </w:r>
      <w:r>
        <w:rPr>
          <w:rFonts w:hint="eastAsia" w:ascii="宋体" w:hAnsi="宋体"/>
          <w:vertAlign w:val="subscript"/>
        </w:rPr>
        <w:t>2</w:t>
      </w:r>
      <w:r>
        <w:rPr>
          <w:rFonts w:hint="eastAsia" w:ascii="宋体" w:hAnsi="宋体"/>
        </w:rPr>
        <w:t>)不同,即使样本均值</w:t>
      </w:r>
      <w:r>
        <w:rPr>
          <w:rFonts w:ascii="宋体" w:hAnsi="宋体"/>
        </w:rPr>
        <w:sym w:font="Symbol" w:char="0060"/>
      </w:r>
      <w:r>
        <w:rPr>
          <w:rFonts w:hint="eastAsia" w:ascii="宋体" w:hAnsi="宋体"/>
          <w:i/>
        </w:rPr>
        <w:t>x</w:t>
      </w:r>
      <w:r>
        <w:rPr>
          <w:rFonts w:hint="eastAsia" w:ascii="宋体" w:hAnsi="宋体"/>
          <w:vertAlign w:val="subscript"/>
        </w:rPr>
        <w:t>1</w:t>
      </w:r>
      <w:r>
        <w:rPr>
          <w:rFonts w:hint="eastAsia" w:ascii="宋体" w:hAnsi="宋体"/>
        </w:rPr>
        <w:t>和</w:t>
      </w:r>
      <w:r>
        <w:rPr>
          <w:rFonts w:ascii="宋体" w:hAnsi="宋体"/>
        </w:rPr>
        <w:sym w:font="Symbol" w:char="0060"/>
      </w:r>
      <w:r>
        <w:rPr>
          <w:rFonts w:hint="eastAsia" w:ascii="宋体" w:hAnsi="宋体"/>
          <w:i/>
        </w:rPr>
        <w:t>x</w:t>
      </w:r>
      <w:r>
        <w:rPr>
          <w:rFonts w:hint="eastAsia" w:ascii="宋体" w:hAnsi="宋体"/>
          <w:vertAlign w:val="subscript"/>
        </w:rPr>
        <w:t>2</w:t>
      </w:r>
      <w:r>
        <w:rPr>
          <w:rFonts w:hint="eastAsia" w:ascii="宋体" w:hAnsi="宋体"/>
        </w:rPr>
        <w:t>不同(见6.2.2)。如果没有足够的证据，就宜假定实际总体的均值是相同的。它们相同的假设称为原假设(</w:t>
      </w:r>
      <w:r>
        <w:rPr>
          <w:rFonts w:hint="eastAsia" w:ascii="宋体" w:hAnsi="宋体"/>
          <w:i/>
        </w:rPr>
        <w:t>H</w:t>
      </w:r>
      <w:r>
        <w:rPr>
          <w:rFonts w:hint="eastAsia" w:ascii="宋体" w:hAnsi="宋体"/>
          <w:vertAlign w:val="subscript"/>
        </w:rPr>
        <w:t>0</w:t>
      </w:r>
      <w:r>
        <w:rPr>
          <w:rFonts w:hint="eastAsia" w:ascii="宋体" w:hAnsi="宋体"/>
        </w:rPr>
        <w:t>)。它们不同的假设称为备择假设(</w:t>
      </w:r>
      <w:r>
        <w:rPr>
          <w:rFonts w:hint="eastAsia" w:ascii="宋体" w:hAnsi="宋体"/>
          <w:i/>
        </w:rPr>
        <w:t>H</w:t>
      </w:r>
      <w:r>
        <w:rPr>
          <w:rFonts w:hint="eastAsia" w:ascii="宋体" w:hAnsi="宋体"/>
          <w:vertAlign w:val="subscript"/>
        </w:rPr>
        <w:t>a</w:t>
      </w:r>
      <w:r>
        <w:rPr>
          <w:rFonts w:hint="eastAsia" w:ascii="宋体" w:hAnsi="宋体"/>
        </w:rPr>
        <w:t>)。</w:t>
      </w:r>
    </w:p>
    <w:p>
      <w:pPr>
        <w:tabs>
          <w:tab w:val="left" w:pos="284"/>
          <w:tab w:val="left" w:pos="567"/>
        </w:tabs>
        <w:ind w:firstLine="420" w:firstLineChars="200"/>
        <w:rPr>
          <w:rFonts w:ascii="宋体" w:hAnsi="宋体"/>
        </w:rPr>
      </w:pPr>
      <w:r>
        <w:rPr>
          <w:rFonts w:hint="eastAsia" w:ascii="宋体" w:hAnsi="宋体"/>
        </w:rPr>
        <w:t>这些可以用符号表述为:</w:t>
      </w:r>
    </w:p>
    <w:p>
      <w:pPr>
        <w:tabs>
          <w:tab w:val="left" w:pos="284"/>
          <w:tab w:val="left" w:pos="567"/>
        </w:tabs>
        <w:ind w:left="420" w:leftChars="200" w:firstLine="420" w:firstLineChars="200"/>
        <w:rPr>
          <w:rFonts w:ascii="宋体" w:hAnsi="宋体"/>
        </w:rPr>
      </w:pPr>
      <w:r>
        <w:rPr>
          <w:rFonts w:hint="eastAsia" w:ascii="宋体" w:hAnsi="宋体"/>
          <w:i/>
        </w:rPr>
        <w:t>H</w:t>
      </w:r>
      <w:r>
        <w:rPr>
          <w:rFonts w:hint="eastAsia" w:ascii="宋体" w:hAnsi="宋体"/>
          <w:vertAlign w:val="subscript"/>
        </w:rPr>
        <w:t>0</w:t>
      </w:r>
      <w:r>
        <w:rPr>
          <w:rFonts w:hint="eastAsia" w:ascii="宋体" w:hAnsi="宋体"/>
        </w:rPr>
        <w:t>，当</w:t>
      </w:r>
      <w:r>
        <w:rPr>
          <w:rFonts w:hint="eastAsia" w:ascii="宋体" w:hAnsi="宋体"/>
          <w:i/>
        </w:rPr>
        <w:t>μ</w:t>
      </w:r>
      <w:r>
        <w:rPr>
          <w:rFonts w:hint="eastAsia" w:ascii="宋体" w:hAnsi="宋体"/>
          <w:vertAlign w:val="subscript"/>
        </w:rPr>
        <w:t>1</w:t>
      </w:r>
      <w:r>
        <w:rPr>
          <w:rFonts w:hint="eastAsia" w:ascii="宋体" w:hAnsi="宋体"/>
        </w:rPr>
        <w:t>=</w:t>
      </w:r>
      <w:r>
        <w:rPr>
          <w:rFonts w:hint="eastAsia" w:ascii="宋体" w:hAnsi="宋体"/>
          <w:i/>
        </w:rPr>
        <w:t>μ</w:t>
      </w:r>
      <w:r>
        <w:rPr>
          <w:rFonts w:hint="eastAsia" w:ascii="宋体" w:hAnsi="宋体"/>
          <w:vertAlign w:val="subscript"/>
        </w:rPr>
        <w:t>2</w:t>
      </w:r>
    </w:p>
    <w:p>
      <w:pPr>
        <w:tabs>
          <w:tab w:val="left" w:pos="284"/>
          <w:tab w:val="left" w:pos="567"/>
        </w:tabs>
        <w:ind w:left="420" w:leftChars="200" w:firstLine="420" w:firstLineChars="200"/>
        <w:rPr>
          <w:rFonts w:ascii="宋体" w:hAnsi="宋体"/>
        </w:rPr>
      </w:pPr>
      <w:r>
        <w:rPr>
          <w:rFonts w:hint="eastAsia" w:ascii="宋体" w:hAnsi="宋体"/>
          <w:i/>
        </w:rPr>
        <w:t>H</w:t>
      </w:r>
      <w:r>
        <w:rPr>
          <w:rFonts w:hint="eastAsia" w:ascii="宋体" w:hAnsi="宋体"/>
          <w:vertAlign w:val="subscript"/>
        </w:rPr>
        <w:t>a</w:t>
      </w:r>
      <w:r>
        <w:rPr>
          <w:rFonts w:hint="eastAsia" w:ascii="宋体" w:hAnsi="宋体"/>
        </w:rPr>
        <w:t>，当</w:t>
      </w:r>
      <w:r>
        <w:rPr>
          <w:rFonts w:hint="eastAsia" w:ascii="宋体" w:hAnsi="宋体"/>
          <w:i/>
        </w:rPr>
        <w:t>μ</w:t>
      </w:r>
      <w:r>
        <w:rPr>
          <w:rFonts w:hint="eastAsia" w:ascii="宋体" w:hAnsi="宋体"/>
          <w:vertAlign w:val="subscript"/>
        </w:rPr>
        <w:t>1</w:t>
      </w:r>
      <w:r>
        <w:rPr>
          <w:rFonts w:ascii="宋体" w:hAnsi="宋体"/>
        </w:rPr>
        <w:sym w:font="Symbol" w:char="00B9"/>
      </w:r>
      <w:r>
        <w:rPr>
          <w:rFonts w:hint="eastAsia" w:ascii="宋体" w:hAnsi="宋体"/>
          <w:i/>
        </w:rPr>
        <w:t>μ</w:t>
      </w:r>
      <w:r>
        <w:rPr>
          <w:rFonts w:hint="eastAsia" w:ascii="宋体" w:hAnsi="宋体"/>
          <w:vertAlign w:val="subscript"/>
        </w:rPr>
        <w:t>2</w:t>
      </w:r>
    </w:p>
    <w:p>
      <w:pPr>
        <w:tabs>
          <w:tab w:val="left" w:pos="284"/>
          <w:tab w:val="left" w:pos="567"/>
        </w:tabs>
        <w:ind w:firstLine="420" w:firstLineChars="200"/>
        <w:rPr>
          <w:rFonts w:ascii="宋体" w:hAnsi="宋体"/>
        </w:rPr>
      </w:pPr>
      <w:r>
        <w:rPr>
          <w:rFonts w:hint="eastAsia" w:ascii="宋体" w:hAnsi="宋体"/>
        </w:rPr>
        <w:t>在这种情况下，实验者并不关心两个总体中哪一个的平均值更大，只关心它们可能不同。这将导致一个双侧检验。</w:t>
      </w:r>
    </w:p>
    <w:p>
      <w:pPr>
        <w:tabs>
          <w:tab w:val="left" w:pos="284"/>
          <w:tab w:val="left" w:pos="567"/>
        </w:tabs>
        <w:ind w:firstLine="420" w:firstLineChars="200"/>
        <w:rPr>
          <w:rFonts w:ascii="宋体" w:hAnsi="宋体"/>
        </w:rPr>
      </w:pPr>
      <w:r>
        <w:rPr>
          <w:rFonts w:hint="eastAsia" w:ascii="宋体" w:hAnsi="宋体"/>
        </w:rPr>
        <w:t>如果实验者想要证明一种新材料的平均强度比标准材料大，可以使用单侧检验，备择假设的形式如下:</w:t>
      </w:r>
    </w:p>
    <w:p>
      <w:pPr>
        <w:tabs>
          <w:tab w:val="left" w:pos="284"/>
          <w:tab w:val="left" w:pos="567"/>
        </w:tabs>
        <w:ind w:left="420" w:leftChars="200" w:firstLine="420" w:firstLineChars="200"/>
        <w:rPr>
          <w:rFonts w:ascii="宋体" w:hAnsi="宋体"/>
        </w:rPr>
      </w:pPr>
      <w:r>
        <w:rPr>
          <w:rFonts w:hint="eastAsia" w:ascii="宋体" w:hAnsi="宋体"/>
          <w:i/>
        </w:rPr>
        <w:t>H</w:t>
      </w:r>
      <w:r>
        <w:rPr>
          <w:rFonts w:hint="eastAsia" w:ascii="宋体" w:hAnsi="宋体"/>
          <w:vertAlign w:val="subscript"/>
        </w:rPr>
        <w:t>0</w:t>
      </w:r>
      <w:r>
        <w:rPr>
          <w:rFonts w:hint="eastAsia" w:ascii="宋体" w:hAnsi="宋体"/>
        </w:rPr>
        <w:t>，当</w:t>
      </w:r>
      <w:r>
        <w:rPr>
          <w:rFonts w:hint="eastAsia" w:ascii="宋体" w:hAnsi="宋体"/>
          <w:i/>
        </w:rPr>
        <w:t>μ</w:t>
      </w:r>
      <w:r>
        <w:rPr>
          <w:rFonts w:hint="eastAsia" w:ascii="宋体" w:hAnsi="宋体"/>
          <w:vertAlign w:val="subscript"/>
        </w:rPr>
        <w:t>1</w:t>
      </w:r>
      <w:r>
        <w:rPr>
          <w:rFonts w:hint="eastAsia" w:ascii="宋体" w:hAnsi="宋体"/>
        </w:rPr>
        <w:t>=</w:t>
      </w:r>
      <w:r>
        <w:rPr>
          <w:rFonts w:hint="eastAsia" w:ascii="宋体" w:hAnsi="宋体"/>
          <w:i/>
        </w:rPr>
        <w:t>μ</w:t>
      </w:r>
      <w:r>
        <w:rPr>
          <w:rFonts w:hint="eastAsia" w:ascii="宋体" w:hAnsi="宋体"/>
          <w:vertAlign w:val="subscript"/>
        </w:rPr>
        <w:t>2</w:t>
      </w:r>
    </w:p>
    <w:p>
      <w:pPr>
        <w:tabs>
          <w:tab w:val="left" w:pos="284"/>
          <w:tab w:val="left" w:pos="567"/>
        </w:tabs>
        <w:ind w:left="420" w:leftChars="200" w:firstLine="420" w:firstLineChars="200"/>
        <w:rPr>
          <w:rFonts w:ascii="宋体" w:hAnsi="宋体"/>
        </w:rPr>
      </w:pPr>
      <w:r>
        <w:rPr>
          <w:rFonts w:hint="eastAsia" w:ascii="宋体" w:hAnsi="宋体"/>
          <w:i/>
        </w:rPr>
        <w:t>H</w:t>
      </w:r>
      <w:r>
        <w:rPr>
          <w:rFonts w:hint="eastAsia" w:ascii="宋体" w:hAnsi="宋体"/>
          <w:vertAlign w:val="subscript"/>
        </w:rPr>
        <w:t>a</w:t>
      </w:r>
      <w:r>
        <w:rPr>
          <w:rFonts w:hint="eastAsia" w:ascii="宋体" w:hAnsi="宋体"/>
        </w:rPr>
        <w:t>，当</w:t>
      </w:r>
      <w:r>
        <w:rPr>
          <w:rFonts w:hint="eastAsia" w:ascii="宋体" w:hAnsi="宋体"/>
          <w:i/>
        </w:rPr>
        <w:t>μ</w:t>
      </w:r>
      <w:r>
        <w:rPr>
          <w:rFonts w:hint="eastAsia" w:ascii="宋体" w:hAnsi="宋体"/>
          <w:vertAlign w:val="subscript"/>
        </w:rPr>
        <w:t>1</w:t>
      </w:r>
      <w:r>
        <w:rPr>
          <w:rFonts w:hint="eastAsia" w:ascii="宋体" w:hAnsi="宋体"/>
        </w:rPr>
        <w:t>＞</w:t>
      </w:r>
      <w:r>
        <w:rPr>
          <w:rFonts w:hint="eastAsia" w:ascii="宋体" w:hAnsi="宋体"/>
          <w:i/>
        </w:rPr>
        <w:t>μ</w:t>
      </w:r>
      <w:r>
        <w:rPr>
          <w:rFonts w:hint="eastAsia" w:ascii="宋体" w:hAnsi="宋体"/>
          <w:vertAlign w:val="subscript"/>
        </w:rPr>
        <w:t>2</w:t>
      </w:r>
    </w:p>
    <w:p>
      <w:pPr>
        <w:tabs>
          <w:tab w:val="left" w:pos="284"/>
          <w:tab w:val="left" w:pos="567"/>
        </w:tabs>
        <w:ind w:firstLine="420" w:firstLineChars="200"/>
        <w:rPr>
          <w:rFonts w:ascii="宋体" w:hAnsi="宋体"/>
        </w:rPr>
      </w:pPr>
      <w:r>
        <w:rPr>
          <w:rFonts w:hint="eastAsia" w:ascii="宋体" w:hAnsi="宋体"/>
        </w:rPr>
        <w:t>在实验开始之前就宜做出区分。依据该区分计算样本大小。</w:t>
      </w:r>
    </w:p>
    <w:p>
      <w:pPr>
        <w:pStyle w:val="118"/>
        <w:ind w:left="0"/>
      </w:pPr>
      <w:r>
        <w:rPr>
          <w:rFonts w:hint="eastAsia"/>
        </w:rPr>
        <w:t>第二步，指定做出错误推断可接受的风险。错误的推断被称为第Ⅰ类错误和第Ⅱ类错误</w:t>
      </w:r>
      <w:r>
        <w:t>,</w:t>
      </w:r>
      <w:r>
        <w:rPr>
          <w:rFonts w:hint="eastAsia"/>
        </w:rPr>
        <w:t>其概率分别为</w:t>
      </w:r>
      <w:r>
        <w:rPr>
          <w:i/>
        </w:rPr>
        <w:t>α</w:t>
      </w:r>
      <w:r>
        <w:rPr>
          <w:rFonts w:hint="eastAsia"/>
        </w:rPr>
        <w:t>和</w:t>
      </w:r>
      <w:r>
        <w:rPr>
          <w:i/>
        </w:rPr>
        <w:t>β</w:t>
      </w:r>
      <w:r>
        <w:rPr>
          <w:rFonts w:hint="eastAsia"/>
        </w:rPr>
        <w:t>。</w:t>
      </w:r>
    </w:p>
    <w:p>
      <w:pPr>
        <w:pStyle w:val="23"/>
      </w:pPr>
      <w:r>
        <w:rPr>
          <w:rFonts w:hint="eastAsia"/>
        </w:rPr>
        <w:t>从表40中可以理解双侧检验得出的可能推断。</w:t>
      </w:r>
    </w:p>
    <w:p>
      <w:pPr>
        <w:pStyle w:val="127"/>
        <w:ind w:left="0"/>
      </w:pPr>
      <w:r>
        <w:rPr>
          <w:rFonts w:hint="eastAsia"/>
        </w:rPr>
        <w:t>双侧检验得出的可能推论</w:t>
      </w:r>
    </w:p>
    <w:tbl>
      <w:tblPr>
        <w:tblStyle w:val="33"/>
        <w:tblW w:w="5000" w:type="pct"/>
        <w:tblInd w:w="0" w:type="dxa"/>
        <w:tblLayout w:type="autofit"/>
        <w:tblCellMar>
          <w:top w:w="0" w:type="dxa"/>
          <w:left w:w="108" w:type="dxa"/>
          <w:bottom w:w="0" w:type="dxa"/>
          <w:right w:w="108" w:type="dxa"/>
        </w:tblCellMar>
      </w:tblPr>
      <w:tblGrid>
        <w:gridCol w:w="2256"/>
        <w:gridCol w:w="1777"/>
        <w:gridCol w:w="1616"/>
        <w:gridCol w:w="1777"/>
        <w:gridCol w:w="2144"/>
      </w:tblGrid>
      <w:tr>
        <w:tblPrEx>
          <w:tblCellMar>
            <w:top w:w="0" w:type="dxa"/>
            <w:left w:w="108" w:type="dxa"/>
            <w:bottom w:w="0" w:type="dxa"/>
            <w:right w:w="108" w:type="dxa"/>
          </w:tblCellMar>
        </w:tblPrEx>
        <w:trPr>
          <w:trHeight w:val="270" w:hRule="atLeast"/>
        </w:trPr>
        <w:tc>
          <w:tcPr>
            <w:tcW w:w="117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真 </w:t>
            </w:r>
          </w:p>
        </w:tc>
        <w:tc>
          <w:tcPr>
            <w:tcW w:w="928"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推断</w:t>
            </w:r>
          </w:p>
        </w:tc>
        <w:tc>
          <w:tcPr>
            <w:tcW w:w="844"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正确</w:t>
            </w:r>
          </w:p>
        </w:tc>
        <w:tc>
          <w:tcPr>
            <w:tcW w:w="928"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错误</w:t>
            </w:r>
          </w:p>
        </w:tc>
        <w:tc>
          <w:tcPr>
            <w:tcW w:w="112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概率</w:t>
            </w:r>
          </w:p>
        </w:tc>
      </w:tr>
      <w:tr>
        <w:tblPrEx>
          <w:tblCellMar>
            <w:top w:w="0" w:type="dxa"/>
            <w:left w:w="108" w:type="dxa"/>
            <w:bottom w:w="0" w:type="dxa"/>
            <w:right w:w="108" w:type="dxa"/>
          </w:tblCellMar>
        </w:tblPrEx>
        <w:trPr>
          <w:trHeight w:val="270" w:hRule="atLeast"/>
        </w:trPr>
        <w:tc>
          <w:tcPr>
            <w:tcW w:w="1179"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i/>
                <w:color w:val="000000"/>
                <w:kern w:val="0"/>
                <w:sz w:val="18"/>
                <w:szCs w:val="18"/>
              </w:rPr>
              <w:t>μ</w:t>
            </w:r>
            <w:r>
              <w:rPr>
                <w:rFonts w:hint="eastAsia" w:ascii="宋体" w:hAnsi="宋体" w:cs="宋体"/>
                <w:color w:val="000000"/>
                <w:kern w:val="0"/>
                <w:sz w:val="18"/>
                <w:szCs w:val="18"/>
                <w:vertAlign w:val="subscript"/>
              </w:rPr>
              <w:t>1</w:t>
            </w:r>
            <w:r>
              <w:rPr>
                <w:rFonts w:hint="eastAsia" w:ascii="宋体" w:hAnsi="宋体" w:cs="宋体"/>
                <w:color w:val="000000"/>
                <w:kern w:val="0"/>
                <w:sz w:val="18"/>
                <w:szCs w:val="18"/>
              </w:rPr>
              <w:t xml:space="preserve"> = </w:t>
            </w:r>
            <w:r>
              <w:rPr>
                <w:rFonts w:hint="eastAsia" w:ascii="宋体" w:hAnsi="宋体" w:cs="宋体"/>
                <w:i/>
                <w:color w:val="000000"/>
                <w:kern w:val="0"/>
                <w:sz w:val="18"/>
                <w:szCs w:val="18"/>
              </w:rPr>
              <w:t>μ</w:t>
            </w:r>
            <w:r>
              <w:rPr>
                <w:rFonts w:hint="eastAsia" w:ascii="宋体" w:hAnsi="宋体" w:cs="宋体"/>
                <w:color w:val="000000"/>
                <w:kern w:val="0"/>
                <w:sz w:val="18"/>
                <w:szCs w:val="18"/>
                <w:vertAlign w:val="subscript"/>
              </w:rPr>
              <w:t>2</w:t>
            </w:r>
            <w:r>
              <w:rPr>
                <w:rFonts w:hint="eastAsia" w:ascii="宋体" w:hAnsi="宋体" w:cs="宋体"/>
                <w:color w:val="000000"/>
                <w:kern w:val="0"/>
                <w:sz w:val="18"/>
                <w:szCs w:val="18"/>
              </w:rPr>
              <w:t xml:space="preserve"> </w:t>
            </w:r>
          </w:p>
        </w:tc>
        <w:tc>
          <w:tcPr>
            <w:tcW w:w="92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i/>
                <w:color w:val="000000"/>
                <w:kern w:val="0"/>
                <w:sz w:val="18"/>
                <w:szCs w:val="18"/>
              </w:rPr>
              <w:t>μ</w:t>
            </w:r>
            <w:r>
              <w:rPr>
                <w:rFonts w:hint="eastAsia" w:ascii="宋体" w:hAnsi="宋体" w:cs="宋体"/>
                <w:color w:val="000000"/>
                <w:kern w:val="0"/>
                <w:sz w:val="18"/>
                <w:szCs w:val="18"/>
                <w:vertAlign w:val="subscript"/>
              </w:rPr>
              <w:t>1</w:t>
            </w:r>
            <w:r>
              <w:rPr>
                <w:rFonts w:hint="eastAsia" w:ascii="宋体" w:hAnsi="宋体" w:cs="宋体"/>
                <w:color w:val="000000"/>
                <w:kern w:val="0"/>
                <w:sz w:val="18"/>
                <w:szCs w:val="18"/>
              </w:rPr>
              <w:t xml:space="preserve"> =</w:t>
            </w:r>
            <w:r>
              <w:rPr>
                <w:rFonts w:hint="eastAsia" w:ascii="宋体" w:hAnsi="宋体" w:cs="宋体"/>
                <w:i/>
                <w:color w:val="000000"/>
                <w:kern w:val="0"/>
                <w:sz w:val="18"/>
                <w:szCs w:val="18"/>
              </w:rPr>
              <w:t>μ</w:t>
            </w:r>
            <w:r>
              <w:rPr>
                <w:rFonts w:hint="eastAsia" w:ascii="宋体" w:hAnsi="宋体" w:cs="宋体"/>
                <w:color w:val="000000"/>
                <w:kern w:val="0"/>
                <w:sz w:val="18"/>
                <w:szCs w:val="18"/>
                <w:vertAlign w:val="subscript"/>
              </w:rPr>
              <w:t>2</w:t>
            </w:r>
          </w:p>
        </w:tc>
        <w:tc>
          <w:tcPr>
            <w:tcW w:w="84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Yes </w:t>
            </w:r>
          </w:p>
        </w:tc>
        <w:tc>
          <w:tcPr>
            <w:tcW w:w="92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w:t>
            </w:r>
          </w:p>
        </w:tc>
        <w:tc>
          <w:tcPr>
            <w:tcW w:w="112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(1-</w:t>
            </w:r>
            <w:r>
              <w:rPr>
                <w:rFonts w:hint="eastAsia" w:ascii="宋体" w:hAnsi="宋体" w:cs="宋体"/>
                <w:i/>
                <w:color w:val="000000"/>
                <w:kern w:val="0"/>
                <w:sz w:val="18"/>
                <w:szCs w:val="18"/>
              </w:rPr>
              <w:t>α</w:t>
            </w:r>
            <w:r>
              <w:rPr>
                <w:rFonts w:hint="eastAsia" w:ascii="宋体" w:hAnsi="宋体" w:cs="宋体"/>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1179"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i/>
                <w:color w:val="000000"/>
                <w:kern w:val="0"/>
                <w:sz w:val="18"/>
                <w:szCs w:val="18"/>
              </w:rPr>
              <w:t>μ</w:t>
            </w:r>
            <w:r>
              <w:rPr>
                <w:rFonts w:hint="eastAsia" w:ascii="宋体" w:hAnsi="宋体" w:cs="宋体"/>
                <w:color w:val="000000"/>
                <w:kern w:val="0"/>
                <w:sz w:val="18"/>
                <w:szCs w:val="18"/>
                <w:vertAlign w:val="subscript"/>
              </w:rPr>
              <w:t>1</w:t>
            </w:r>
            <w:r>
              <w:rPr>
                <w:rFonts w:hint="eastAsia" w:ascii="宋体" w:hAnsi="宋体" w:cs="宋体"/>
                <w:color w:val="000000"/>
                <w:kern w:val="0"/>
                <w:sz w:val="18"/>
                <w:szCs w:val="18"/>
              </w:rPr>
              <w:t xml:space="preserve"> ≠</w:t>
            </w:r>
            <w:r>
              <w:rPr>
                <w:rFonts w:hint="eastAsia" w:ascii="宋体" w:hAnsi="宋体" w:cs="宋体"/>
                <w:i/>
                <w:color w:val="000000"/>
                <w:kern w:val="0"/>
                <w:sz w:val="18"/>
                <w:szCs w:val="18"/>
              </w:rPr>
              <w:t>μ</w:t>
            </w:r>
            <w:r>
              <w:rPr>
                <w:rFonts w:hint="eastAsia" w:ascii="宋体" w:hAnsi="宋体" w:cs="宋体"/>
                <w:color w:val="000000"/>
                <w:kern w:val="0"/>
                <w:sz w:val="18"/>
                <w:szCs w:val="18"/>
                <w:vertAlign w:val="subscript"/>
              </w:rPr>
              <w:t>2</w:t>
            </w:r>
          </w:p>
        </w:tc>
        <w:tc>
          <w:tcPr>
            <w:tcW w:w="84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No </w:t>
            </w:r>
          </w:p>
        </w:tc>
        <w:tc>
          <w:tcPr>
            <w:tcW w:w="92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rPr>
              <w:t>Ⅰ</w:t>
            </w:r>
            <w:r>
              <w:rPr>
                <w:rFonts w:hint="eastAsia" w:ascii="宋体" w:hAnsi="宋体" w:cs="宋体"/>
                <w:color w:val="000000"/>
                <w:kern w:val="0"/>
                <w:sz w:val="18"/>
                <w:szCs w:val="18"/>
              </w:rPr>
              <w:t xml:space="preserve">类 </w:t>
            </w:r>
          </w:p>
        </w:tc>
        <w:tc>
          <w:tcPr>
            <w:tcW w:w="112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hint="eastAsia" w:ascii="宋体" w:hAnsi="宋体" w:cs="宋体"/>
                <w:i/>
                <w:color w:val="000000"/>
                <w:kern w:val="0"/>
                <w:sz w:val="18"/>
                <w:szCs w:val="18"/>
              </w:rPr>
              <w:t>α</w:t>
            </w:r>
            <w:r>
              <w:rPr>
                <w:rFonts w:hint="eastAsia" w:ascii="宋体" w:hAnsi="宋体" w:cs="宋体"/>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1179"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i/>
                <w:color w:val="000000"/>
                <w:kern w:val="0"/>
                <w:sz w:val="18"/>
                <w:szCs w:val="18"/>
              </w:rPr>
              <w:t>μ</w:t>
            </w:r>
            <w:r>
              <w:rPr>
                <w:rFonts w:hint="eastAsia" w:ascii="宋体" w:hAnsi="宋体" w:cs="宋体"/>
                <w:color w:val="000000"/>
                <w:kern w:val="0"/>
                <w:sz w:val="18"/>
                <w:szCs w:val="18"/>
                <w:vertAlign w:val="subscript"/>
              </w:rPr>
              <w:t>1</w:t>
            </w:r>
            <w:r>
              <w:rPr>
                <w:rFonts w:hint="eastAsia" w:ascii="宋体" w:hAnsi="宋体" w:cs="宋体"/>
                <w:color w:val="000000"/>
                <w:kern w:val="0"/>
                <w:sz w:val="18"/>
                <w:szCs w:val="18"/>
              </w:rPr>
              <w:t xml:space="preserve"> ≠</w:t>
            </w:r>
            <w:r>
              <w:rPr>
                <w:rFonts w:hint="eastAsia" w:ascii="宋体" w:hAnsi="宋体" w:cs="宋体"/>
                <w:i/>
                <w:color w:val="000000"/>
                <w:kern w:val="0"/>
                <w:sz w:val="18"/>
                <w:szCs w:val="18"/>
              </w:rPr>
              <w:t>μ</w:t>
            </w:r>
            <w:r>
              <w:rPr>
                <w:rFonts w:hint="eastAsia" w:ascii="宋体" w:hAnsi="宋体" w:cs="宋体"/>
                <w:color w:val="000000"/>
                <w:kern w:val="0"/>
                <w:sz w:val="18"/>
                <w:szCs w:val="18"/>
                <w:vertAlign w:val="subscript"/>
              </w:rPr>
              <w:t>2</w:t>
            </w:r>
            <w:r>
              <w:rPr>
                <w:rFonts w:hint="eastAsia" w:ascii="宋体" w:hAnsi="宋体" w:cs="宋体"/>
                <w:color w:val="000000"/>
                <w:kern w:val="0"/>
                <w:sz w:val="18"/>
                <w:szCs w:val="18"/>
              </w:rPr>
              <w:t xml:space="preserve"> </w:t>
            </w:r>
          </w:p>
        </w:tc>
        <w:tc>
          <w:tcPr>
            <w:tcW w:w="92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i/>
                <w:color w:val="000000"/>
                <w:kern w:val="0"/>
                <w:sz w:val="18"/>
                <w:szCs w:val="18"/>
              </w:rPr>
              <w:t>μ</w:t>
            </w:r>
            <w:r>
              <w:rPr>
                <w:rFonts w:hint="eastAsia" w:ascii="宋体" w:hAnsi="宋体" w:cs="宋体"/>
                <w:color w:val="000000"/>
                <w:kern w:val="0"/>
                <w:sz w:val="18"/>
                <w:szCs w:val="18"/>
                <w:vertAlign w:val="subscript"/>
              </w:rPr>
              <w:t>1</w:t>
            </w:r>
            <w:r>
              <w:rPr>
                <w:rFonts w:hint="eastAsia" w:ascii="宋体" w:hAnsi="宋体" w:cs="宋体"/>
                <w:color w:val="000000"/>
                <w:kern w:val="0"/>
                <w:sz w:val="18"/>
                <w:szCs w:val="18"/>
              </w:rPr>
              <w:t xml:space="preserve"> =</w:t>
            </w:r>
            <w:r>
              <w:rPr>
                <w:rFonts w:hint="eastAsia" w:ascii="宋体" w:hAnsi="宋体" w:cs="宋体"/>
                <w:i/>
                <w:color w:val="000000"/>
                <w:kern w:val="0"/>
                <w:sz w:val="18"/>
                <w:szCs w:val="18"/>
              </w:rPr>
              <w:t>μ</w:t>
            </w:r>
            <w:r>
              <w:rPr>
                <w:rFonts w:hint="eastAsia" w:ascii="宋体" w:hAnsi="宋体" w:cs="宋体"/>
                <w:color w:val="000000"/>
                <w:kern w:val="0"/>
                <w:sz w:val="18"/>
                <w:szCs w:val="18"/>
                <w:vertAlign w:val="subscript"/>
              </w:rPr>
              <w:t>2</w:t>
            </w:r>
          </w:p>
        </w:tc>
        <w:tc>
          <w:tcPr>
            <w:tcW w:w="84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No </w:t>
            </w:r>
          </w:p>
        </w:tc>
        <w:tc>
          <w:tcPr>
            <w:tcW w:w="92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rPr>
              <w:t>Ⅱ</w:t>
            </w:r>
            <w:r>
              <w:rPr>
                <w:rFonts w:hint="eastAsia" w:ascii="宋体" w:hAnsi="宋体" w:cs="宋体"/>
                <w:color w:val="000000"/>
                <w:kern w:val="0"/>
                <w:sz w:val="18"/>
                <w:szCs w:val="18"/>
              </w:rPr>
              <w:t>类</w:t>
            </w:r>
          </w:p>
        </w:tc>
        <w:tc>
          <w:tcPr>
            <w:tcW w:w="112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r>
              <w:rPr>
                <w:rFonts w:hint="eastAsia" w:ascii="宋体" w:hAnsi="宋体" w:cs="宋体"/>
                <w:i/>
                <w:color w:val="000000"/>
                <w:kern w:val="0"/>
                <w:sz w:val="18"/>
                <w:szCs w:val="18"/>
              </w:rPr>
              <w:t>β</w:t>
            </w:r>
            <w:r>
              <w:rPr>
                <w:rFonts w:hint="eastAsia" w:ascii="宋体" w:hAnsi="宋体" w:cs="宋体"/>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1179"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2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i/>
                <w:color w:val="000000"/>
                <w:kern w:val="0"/>
                <w:sz w:val="18"/>
                <w:szCs w:val="18"/>
              </w:rPr>
              <w:t>μ</w:t>
            </w:r>
            <w:r>
              <w:rPr>
                <w:rFonts w:hint="eastAsia" w:ascii="宋体" w:hAnsi="宋体" w:cs="宋体"/>
                <w:color w:val="000000"/>
                <w:kern w:val="0"/>
                <w:sz w:val="18"/>
                <w:szCs w:val="18"/>
                <w:vertAlign w:val="subscript"/>
              </w:rPr>
              <w:t>1</w:t>
            </w:r>
            <w:r>
              <w:rPr>
                <w:rFonts w:hint="eastAsia" w:ascii="宋体" w:hAnsi="宋体" w:cs="宋体"/>
                <w:color w:val="000000"/>
                <w:kern w:val="0"/>
                <w:sz w:val="18"/>
                <w:szCs w:val="18"/>
              </w:rPr>
              <w:t xml:space="preserve"> ≠</w:t>
            </w:r>
            <w:r>
              <w:rPr>
                <w:rFonts w:hint="eastAsia" w:ascii="宋体" w:hAnsi="宋体" w:cs="宋体"/>
                <w:i/>
                <w:color w:val="000000"/>
                <w:kern w:val="0"/>
                <w:sz w:val="18"/>
                <w:szCs w:val="18"/>
              </w:rPr>
              <w:t>μ</w:t>
            </w:r>
            <w:r>
              <w:rPr>
                <w:rFonts w:hint="eastAsia" w:ascii="宋体" w:hAnsi="宋体" w:cs="宋体"/>
                <w:color w:val="000000"/>
                <w:kern w:val="0"/>
                <w:sz w:val="18"/>
                <w:szCs w:val="18"/>
                <w:vertAlign w:val="subscript"/>
              </w:rPr>
              <w:t>2</w:t>
            </w:r>
          </w:p>
        </w:tc>
        <w:tc>
          <w:tcPr>
            <w:tcW w:w="84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Yes </w:t>
            </w:r>
          </w:p>
        </w:tc>
        <w:tc>
          <w:tcPr>
            <w:tcW w:w="92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w:t>
            </w:r>
          </w:p>
        </w:tc>
        <w:tc>
          <w:tcPr>
            <w:tcW w:w="112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hint="eastAsia" w:ascii="宋体" w:hAnsi="宋体" w:cs="宋体"/>
                <w:i/>
                <w:color w:val="000000"/>
                <w:kern w:val="0"/>
                <w:sz w:val="18"/>
                <w:szCs w:val="18"/>
              </w:rPr>
              <w:t>β</w:t>
            </w:r>
            <w:r>
              <w:rPr>
                <w:rFonts w:hint="eastAsia" w:ascii="宋体" w:hAnsi="宋体" w:cs="宋体"/>
                <w:color w:val="000000"/>
                <w:kern w:val="0"/>
                <w:sz w:val="18"/>
                <w:szCs w:val="18"/>
              </w:rPr>
              <w:t xml:space="preserve">) </w:t>
            </w:r>
          </w:p>
        </w:tc>
      </w:tr>
    </w:tbl>
    <w:p>
      <w:pPr>
        <w:pStyle w:val="23"/>
      </w:pPr>
    </w:p>
    <w:p>
      <w:pPr>
        <w:tabs>
          <w:tab w:val="left" w:pos="284"/>
          <w:tab w:val="left" w:pos="567"/>
        </w:tabs>
        <w:ind w:firstLine="420" w:firstLineChars="200"/>
      </w:pPr>
      <w:r>
        <w:rPr>
          <w:rFonts w:hAnsi="宋体"/>
        </w:rPr>
        <w:t>虽然原假设</w:t>
      </w:r>
      <w:r>
        <w:t>(</w:t>
      </w:r>
      <w:r>
        <w:rPr>
          <w:i/>
        </w:rPr>
        <w:t>H</w:t>
      </w:r>
      <w:r>
        <w:rPr>
          <w:vertAlign w:val="subscript"/>
        </w:rPr>
        <w:t>0</w:t>
      </w:r>
      <w:r>
        <w:t>)</w:t>
      </w:r>
      <w:r>
        <w:rPr>
          <w:rFonts w:hAnsi="宋体"/>
        </w:rPr>
        <w:t>为真，但实验者接受备择假设</w:t>
      </w:r>
      <w:r>
        <w:t>(</w:t>
      </w:r>
      <w:r>
        <w:rPr>
          <w:i/>
        </w:rPr>
        <w:t>H</w:t>
      </w:r>
      <w:r>
        <w:rPr>
          <w:vertAlign w:val="subscript"/>
        </w:rPr>
        <w:t>a</w:t>
      </w:r>
      <w:r>
        <w:t>)</w:t>
      </w:r>
      <w:r>
        <w:rPr>
          <w:rFonts w:hAnsi="宋体"/>
        </w:rPr>
        <w:t>，</w:t>
      </w:r>
      <w:r>
        <w:t xml:space="preserve"> </w:t>
      </w:r>
      <w:r>
        <w:rPr>
          <w:rFonts w:hAnsi="宋体"/>
        </w:rPr>
        <w:t>第</w:t>
      </w:r>
      <w:r>
        <w:rPr>
          <w:rFonts w:hint="eastAsia"/>
        </w:rPr>
        <w:t>Ⅰ</w:t>
      </w:r>
      <w:r>
        <w:rPr>
          <w:rFonts w:hAnsi="宋体"/>
        </w:rPr>
        <w:t>类错误发生。这种情况发生的概率是</w:t>
      </w:r>
      <w:r>
        <w:rPr>
          <w:i/>
        </w:rPr>
        <w:t>α</w:t>
      </w:r>
      <w:r>
        <w:rPr>
          <w:rFonts w:hAnsi="宋体"/>
        </w:rPr>
        <w:t>。这</w:t>
      </w:r>
      <w:r>
        <w:rPr>
          <w:rFonts w:hint="eastAsia" w:hAnsi="宋体"/>
        </w:rPr>
        <w:t>被称为</w:t>
      </w:r>
      <w:r>
        <w:rPr>
          <w:rFonts w:hAnsi="宋体"/>
        </w:rPr>
        <w:t>检验</w:t>
      </w:r>
      <w:r>
        <w:rPr>
          <w:rFonts w:hint="eastAsia" w:hAnsi="宋体"/>
        </w:rPr>
        <w:t>水平</w:t>
      </w:r>
      <w:r>
        <w:rPr>
          <w:rFonts w:hAnsi="宋体"/>
        </w:rPr>
        <w:t>。</w:t>
      </w:r>
    </w:p>
    <w:p>
      <w:pPr>
        <w:tabs>
          <w:tab w:val="left" w:pos="284"/>
          <w:tab w:val="left" w:pos="567"/>
        </w:tabs>
        <w:ind w:firstLine="420" w:firstLineChars="200"/>
      </w:pPr>
      <w:r>
        <w:t>通常，</w:t>
      </w:r>
      <w:r>
        <w:rPr>
          <w:i/>
        </w:rPr>
        <w:t>α</w:t>
      </w:r>
      <w:r>
        <w:t>指定为0.05（5%的</w:t>
      </w:r>
      <w:r>
        <w:rPr>
          <w:rFonts w:hint="eastAsia"/>
        </w:rPr>
        <w:t>机会</w:t>
      </w:r>
      <w:r>
        <w:t>）（见第7章）。</w:t>
      </w:r>
    </w:p>
    <w:p>
      <w:pPr>
        <w:tabs>
          <w:tab w:val="left" w:pos="284"/>
          <w:tab w:val="left" w:pos="567"/>
        </w:tabs>
        <w:ind w:firstLine="420" w:firstLineChars="200"/>
        <w:jc w:val="left"/>
        <w:rPr>
          <w:color w:val="000000"/>
          <w:kern w:val="0"/>
          <w:sz w:val="22"/>
        </w:rPr>
      </w:pPr>
      <w:r>
        <w:rPr>
          <w:rFonts w:hAnsi="宋体"/>
        </w:rPr>
        <w:t>虽然备择假设</w:t>
      </w:r>
      <w:r>
        <w:t>(</w:t>
      </w:r>
      <w:r>
        <w:rPr>
          <w:i/>
        </w:rPr>
        <w:t>H</w:t>
      </w:r>
      <w:r>
        <w:rPr>
          <w:vertAlign w:val="subscript"/>
        </w:rPr>
        <w:t>a</w:t>
      </w:r>
      <w:r>
        <w:t>)</w:t>
      </w:r>
      <w:r>
        <w:rPr>
          <w:rFonts w:hAnsi="宋体"/>
        </w:rPr>
        <w:t>为真，</w:t>
      </w:r>
      <w:r>
        <w:rPr>
          <w:rFonts w:hint="eastAsia" w:hAnsi="宋体"/>
        </w:rPr>
        <w:t>但</w:t>
      </w:r>
      <w:r>
        <w:rPr>
          <w:rFonts w:hAnsi="宋体"/>
        </w:rPr>
        <w:t>实验者接受原假设</w:t>
      </w:r>
      <w:r>
        <w:t>(</w:t>
      </w:r>
      <w:r>
        <w:rPr>
          <w:i/>
        </w:rPr>
        <w:t>H</w:t>
      </w:r>
      <w:r>
        <w:rPr>
          <w:vertAlign w:val="subscript"/>
        </w:rPr>
        <w:t>0</w:t>
      </w:r>
      <w:r>
        <w:t>)</w:t>
      </w:r>
      <w:r>
        <w:rPr>
          <w:rFonts w:hAnsi="宋体"/>
        </w:rPr>
        <w:t>，第</w:t>
      </w:r>
      <w:r>
        <w:rPr>
          <w:rFonts w:hint="eastAsia"/>
        </w:rPr>
        <w:t>Ⅱ</w:t>
      </w:r>
      <w:r>
        <w:rPr>
          <w:rFonts w:hAnsi="宋体"/>
        </w:rPr>
        <w:t>类错误发生。这种情况发生的概率是</w:t>
      </w:r>
      <w:r>
        <w:rPr>
          <w:i/>
          <w:color w:val="000000"/>
          <w:kern w:val="0"/>
          <w:sz w:val="22"/>
        </w:rPr>
        <w:t>β</w:t>
      </w:r>
      <w:r>
        <w:rPr>
          <w:rFonts w:hAnsi="宋体"/>
          <w:color w:val="000000"/>
          <w:kern w:val="0"/>
          <w:sz w:val="22"/>
        </w:rPr>
        <w:t>。通常，</w:t>
      </w:r>
      <w:r>
        <w:rPr>
          <w:i/>
          <w:color w:val="000000"/>
          <w:kern w:val="0"/>
          <w:sz w:val="22"/>
        </w:rPr>
        <w:t>β</w:t>
      </w:r>
      <w:r>
        <w:rPr>
          <w:rFonts w:hAnsi="宋体"/>
          <w:color w:val="000000"/>
          <w:kern w:val="0"/>
          <w:sz w:val="22"/>
        </w:rPr>
        <w:t>被指定为</w:t>
      </w:r>
      <w:r>
        <w:rPr>
          <w:color w:val="000000"/>
          <w:kern w:val="0"/>
          <w:sz w:val="22"/>
        </w:rPr>
        <w:t>0.05</w:t>
      </w:r>
      <w:r>
        <w:rPr>
          <w:rFonts w:hAnsi="宋体"/>
          <w:color w:val="000000"/>
          <w:kern w:val="0"/>
          <w:sz w:val="22"/>
        </w:rPr>
        <w:t>或</w:t>
      </w:r>
      <w:r>
        <w:rPr>
          <w:color w:val="000000"/>
          <w:kern w:val="0"/>
          <w:sz w:val="22"/>
        </w:rPr>
        <w:t>0.10</w:t>
      </w:r>
      <w:r>
        <w:rPr>
          <w:rFonts w:hAnsi="宋体"/>
          <w:color w:val="000000"/>
          <w:kern w:val="0"/>
          <w:sz w:val="22"/>
        </w:rPr>
        <w:t>。检测到</w:t>
      </w:r>
      <w:r>
        <w:rPr>
          <w:rFonts w:hint="eastAsia" w:hAnsi="宋体"/>
          <w:color w:val="000000"/>
          <w:kern w:val="0"/>
          <w:sz w:val="22"/>
        </w:rPr>
        <w:t>真</w:t>
      </w:r>
      <w:r>
        <w:rPr>
          <w:rFonts w:hAnsi="宋体"/>
          <w:color w:val="000000"/>
          <w:kern w:val="0"/>
          <w:sz w:val="22"/>
        </w:rPr>
        <w:t>实差异的概率是（</w:t>
      </w:r>
      <w:r>
        <w:rPr>
          <w:color w:val="000000"/>
          <w:kern w:val="0"/>
          <w:sz w:val="22"/>
        </w:rPr>
        <w:t>1-</w:t>
      </w:r>
      <w:r>
        <w:rPr>
          <w:i/>
          <w:color w:val="000000"/>
          <w:kern w:val="0"/>
          <w:sz w:val="22"/>
        </w:rPr>
        <w:t>β</w:t>
      </w:r>
      <w:r>
        <w:rPr>
          <w:rFonts w:hAnsi="宋体"/>
          <w:color w:val="000000"/>
          <w:kern w:val="0"/>
          <w:sz w:val="22"/>
        </w:rPr>
        <w:t>）。因此如果</w:t>
      </w:r>
      <w:r>
        <w:rPr>
          <w:i/>
          <w:color w:val="000000"/>
          <w:kern w:val="0"/>
          <w:sz w:val="22"/>
        </w:rPr>
        <w:t>β</w:t>
      </w:r>
      <w:r>
        <w:rPr>
          <w:rFonts w:hAnsi="宋体"/>
          <w:color w:val="000000"/>
          <w:kern w:val="0"/>
          <w:sz w:val="22"/>
        </w:rPr>
        <w:t>被指定为</w:t>
      </w:r>
      <w:r>
        <w:rPr>
          <w:color w:val="000000"/>
          <w:kern w:val="0"/>
          <w:sz w:val="22"/>
        </w:rPr>
        <w:t>0.05</w:t>
      </w:r>
      <w:r>
        <w:rPr>
          <w:rFonts w:hAnsi="宋体"/>
          <w:color w:val="000000"/>
          <w:kern w:val="0"/>
          <w:sz w:val="22"/>
        </w:rPr>
        <w:t>并由此设计实验</w:t>
      </w:r>
      <w:r>
        <w:rPr>
          <w:color w:val="000000"/>
          <w:kern w:val="0"/>
          <w:sz w:val="22"/>
        </w:rPr>
        <w:t>,</w:t>
      </w:r>
      <w:r>
        <w:rPr>
          <w:rFonts w:hAnsi="宋体"/>
          <w:color w:val="000000"/>
          <w:kern w:val="0"/>
          <w:sz w:val="22"/>
        </w:rPr>
        <w:t>就会有很大的机会</w:t>
      </w:r>
      <w:r>
        <w:rPr>
          <w:color w:val="000000"/>
          <w:kern w:val="0"/>
          <w:sz w:val="22"/>
        </w:rPr>
        <w:t>(0.95</w:t>
      </w:r>
      <w:r>
        <w:rPr>
          <w:rFonts w:hAnsi="宋体"/>
          <w:color w:val="000000"/>
          <w:kern w:val="0"/>
          <w:sz w:val="22"/>
        </w:rPr>
        <w:t>的概率</w:t>
      </w:r>
      <w:r>
        <w:rPr>
          <w:color w:val="000000"/>
          <w:kern w:val="0"/>
          <w:sz w:val="22"/>
        </w:rPr>
        <w:t>)</w:t>
      </w:r>
      <w:r>
        <w:rPr>
          <w:rFonts w:hAnsi="宋体"/>
          <w:color w:val="000000"/>
          <w:kern w:val="0"/>
          <w:sz w:val="22"/>
        </w:rPr>
        <w:t>检测到差异，如果差异真的存在的话。这被称之为检验</w:t>
      </w:r>
      <w:r>
        <w:rPr>
          <w:rFonts w:hint="eastAsia" w:hAnsi="宋体"/>
          <w:color w:val="000000"/>
          <w:kern w:val="0"/>
          <w:sz w:val="22"/>
        </w:rPr>
        <w:t>功效</w:t>
      </w:r>
      <w:r>
        <w:rPr>
          <w:rFonts w:hAnsi="宋体"/>
          <w:color w:val="000000"/>
          <w:kern w:val="0"/>
          <w:sz w:val="22"/>
        </w:rPr>
        <w:t>。</w:t>
      </w:r>
    </w:p>
    <w:p>
      <w:pPr>
        <w:tabs>
          <w:tab w:val="left" w:pos="284"/>
          <w:tab w:val="left" w:pos="567"/>
        </w:tabs>
        <w:ind w:firstLine="420" w:firstLineChars="200"/>
        <w:jc w:val="left"/>
      </w:pPr>
      <w:r>
        <w:t>不幸的是,常见的是实验没有考虑</w:t>
      </w:r>
      <w:r>
        <w:rPr>
          <w:i/>
        </w:rPr>
        <w:t>β</w:t>
      </w:r>
      <w:r>
        <w:t>或检验</w:t>
      </w:r>
      <w:r>
        <w:rPr>
          <w:rFonts w:hint="eastAsia"/>
        </w:rPr>
        <w:t>功效</w:t>
      </w:r>
      <w:r>
        <w:t>，结果不能发现真正的影响。例如，考虑6.3.2中混炼胶A和B的拉伸强度。假设实验的目的是统计上</w:t>
      </w:r>
      <w:r>
        <w:rPr>
          <w:rFonts w:hint="eastAsia"/>
        </w:rPr>
        <w:t>证明</w:t>
      </w:r>
      <w:r>
        <w:t>显著差异(α= 0.05)为1MPa。检验</w:t>
      </w:r>
      <w:r>
        <w:rPr>
          <w:rFonts w:hint="eastAsia"/>
        </w:rPr>
        <w:t>功效</w:t>
      </w:r>
      <w:r>
        <w:t>计算表明，如果存在这种差异，仅用每个混炼胶12个样本测量值计算，检测到这种差异的概率是0.75</w:t>
      </w:r>
      <w:r>
        <w:rPr>
          <w:rFonts w:hint="eastAsia"/>
        </w:rPr>
        <w:t>；</w:t>
      </w:r>
      <w:r>
        <w:t>检测到这种差异的概率</w:t>
      </w:r>
      <w:r>
        <w:rPr>
          <w:rFonts w:hint="eastAsia"/>
        </w:rPr>
        <w:t>达到</w:t>
      </w:r>
      <w:r>
        <w:t>0.95</w:t>
      </w:r>
      <w:r>
        <w:rPr>
          <w:rFonts w:hint="eastAsia"/>
        </w:rPr>
        <w:t>，</w:t>
      </w:r>
      <w:r>
        <w:t>则需要样本大小为</w:t>
      </w:r>
      <w:r>
        <w:rPr>
          <w:rFonts w:hint="eastAsia"/>
        </w:rPr>
        <w:t>23。</w:t>
      </w:r>
    </w:p>
    <w:p>
      <w:pPr>
        <w:pStyle w:val="118"/>
        <w:ind w:left="0"/>
      </w:pPr>
      <w:r>
        <w:rPr>
          <w:rFonts w:hint="eastAsia"/>
        </w:rPr>
        <w:t>第三步，指定可在统计学上证明有技术意义的差异。</w:t>
      </w:r>
    </w:p>
    <w:p>
      <w:pPr>
        <w:tabs>
          <w:tab w:val="left" w:pos="284"/>
          <w:tab w:val="left" w:pos="567"/>
        </w:tabs>
        <w:ind w:firstLine="420" w:firstLineChars="200"/>
        <w:rPr>
          <w:rFonts w:ascii="宋体" w:hAnsi="宋体"/>
        </w:rPr>
      </w:pPr>
      <w:r>
        <w:rPr>
          <w:rFonts w:hint="eastAsia" w:ascii="宋体" w:hAnsi="宋体"/>
        </w:rPr>
        <w:t>许多实验的目的是发现正在检测的材料性能的改进。在另外一些实验中，目的是能够表明，在不同的情况下，材料的性能没有区别。</w:t>
      </w:r>
    </w:p>
    <w:p>
      <w:pPr>
        <w:tabs>
          <w:tab w:val="left" w:pos="284"/>
          <w:tab w:val="left" w:pos="567"/>
        </w:tabs>
        <w:ind w:firstLine="420" w:firstLineChars="200"/>
        <w:rPr>
          <w:rFonts w:ascii="宋体" w:hAnsi="宋体"/>
        </w:rPr>
      </w:pPr>
      <w:r>
        <w:rPr>
          <w:rFonts w:hint="eastAsia" w:ascii="宋体" w:hAnsi="宋体"/>
        </w:rPr>
        <w:t>无论哪种情况下，实验者都最好能够陈述最小的差异，这种差异应该被认为是可能具有实际或技术意义的。例如，可以确定在拉伸强度方面，一种材料比另一种材料强多少，从而使其更适合于特定的应用。这个差异宜为1 MPa还是2 MPa，亦或是0.5 MPa，这取决于用途。</w:t>
      </w:r>
    </w:p>
    <w:p>
      <w:pPr>
        <w:tabs>
          <w:tab w:val="left" w:pos="284"/>
          <w:tab w:val="left" w:pos="567"/>
        </w:tabs>
        <w:ind w:firstLine="420" w:firstLineChars="200"/>
        <w:rPr>
          <w:rFonts w:ascii="宋体" w:hAnsi="宋体"/>
        </w:rPr>
      </w:pPr>
      <w:r>
        <w:rPr>
          <w:rFonts w:hint="eastAsia" w:ascii="宋体" w:hAnsi="宋体"/>
        </w:rPr>
        <w:t>规定这种</w:t>
      </w:r>
      <w:r>
        <w:rPr>
          <w:rFonts w:hint="eastAsia" w:ascii="宋体" w:hAnsi="宋体"/>
          <w:b/>
        </w:rPr>
        <w:t>最小差异</w:t>
      </w:r>
      <w:r>
        <w:rPr>
          <w:b/>
          <w:i/>
        </w:rPr>
        <w:t>δ</w:t>
      </w:r>
      <w:r>
        <w:rPr>
          <w:rFonts w:hint="eastAsia" w:ascii="宋体" w:hAnsi="宋体"/>
        </w:rPr>
        <w:t>对比较实验的设计是必不可少的。</w:t>
      </w:r>
    </w:p>
    <w:p>
      <w:pPr>
        <w:pStyle w:val="118"/>
        <w:ind w:left="0"/>
      </w:pPr>
      <w:r>
        <w:rPr>
          <w:rFonts w:hint="eastAsia"/>
        </w:rPr>
        <w:t>第四步，计算必要的样本</w:t>
      </w:r>
      <w:r>
        <w:t>量</w:t>
      </w:r>
      <w:r>
        <w:rPr>
          <w:rFonts w:hint="eastAsia"/>
        </w:rPr>
        <w:t>。</w:t>
      </w:r>
    </w:p>
    <w:p>
      <w:pPr>
        <w:pStyle w:val="23"/>
      </w:pPr>
      <w:r>
        <w:rPr>
          <w:rFonts w:hint="eastAsia"/>
        </w:rPr>
        <w:t>计算样本量有几个公式。公式的正确选择取决于比较实验的类型。它们可能是：</w:t>
      </w:r>
    </w:p>
    <w:p>
      <w:pPr>
        <w:pStyle w:val="59"/>
        <w:numPr>
          <w:ilvl w:val="0"/>
          <w:numId w:val="52"/>
        </w:numPr>
      </w:pPr>
      <w:r>
        <w:rPr>
          <w:rFonts w:hint="eastAsia"/>
        </w:rPr>
        <w:t>与标准的比较；</w:t>
      </w:r>
    </w:p>
    <w:p>
      <w:pPr>
        <w:pStyle w:val="59"/>
        <w:numPr>
          <w:ilvl w:val="0"/>
          <w:numId w:val="52"/>
        </w:numPr>
      </w:pPr>
      <w:r>
        <w:rPr>
          <w:rFonts w:hint="eastAsia"/>
          <w:color w:val="FF0000"/>
        </w:rPr>
        <w:t>两种材料独立样本的比较</w:t>
      </w:r>
    </w:p>
    <w:p>
      <w:pPr>
        <w:pStyle w:val="59"/>
        <w:numPr>
          <w:ilvl w:val="0"/>
          <w:numId w:val="52"/>
        </w:numPr>
      </w:pPr>
      <w:r>
        <w:rPr>
          <w:rFonts w:hint="eastAsia"/>
        </w:rPr>
        <w:t>两种材料成对样本的比较；</w:t>
      </w:r>
    </w:p>
    <w:p>
      <w:pPr>
        <w:tabs>
          <w:tab w:val="left" w:pos="284"/>
          <w:tab w:val="left" w:pos="567"/>
        </w:tabs>
        <w:ind w:firstLine="420" w:firstLineChars="200"/>
        <w:rPr>
          <w:rFonts w:ascii="宋体" w:hAnsi="宋体"/>
        </w:rPr>
      </w:pPr>
      <w:r>
        <w:rPr>
          <w:rFonts w:hint="eastAsia" w:ascii="宋体" w:hAnsi="宋体"/>
        </w:rPr>
        <w:t>也取决于建议的比较检验是单侧检验还是双侧检验（见17.2，17.3和表42）。</w:t>
      </w:r>
    </w:p>
    <w:p>
      <w:pPr>
        <w:tabs>
          <w:tab w:val="left" w:pos="284"/>
          <w:tab w:val="left" w:pos="567"/>
        </w:tabs>
        <w:ind w:firstLine="420" w:firstLineChars="200"/>
      </w:pPr>
      <w:r>
        <w:rPr>
          <w:rFonts w:hint="eastAsia"/>
        </w:rPr>
        <w:t>计算中所需的信息是</w:t>
      </w:r>
      <w:r>
        <w:rPr>
          <w:i/>
        </w:rPr>
        <w:t>α</w:t>
      </w:r>
      <w:r>
        <w:rPr>
          <w:rFonts w:hint="eastAsia"/>
        </w:rPr>
        <w:t>、</w:t>
      </w:r>
      <w:r>
        <w:rPr>
          <w:i/>
        </w:rPr>
        <w:t>β</w:t>
      </w:r>
      <w:r>
        <w:rPr>
          <w:rFonts w:hint="eastAsia"/>
          <w:i/>
        </w:rPr>
        <w:t>、</w:t>
      </w:r>
      <w:r>
        <w:rPr>
          <w:i/>
        </w:rPr>
        <w:t>δ</w:t>
      </w:r>
      <w:r>
        <w:rPr>
          <w:rFonts w:hint="eastAsia"/>
        </w:rPr>
        <w:t>的选择及整个标准材料的所有可能的试样的方差</w:t>
      </w:r>
      <w:r>
        <w:rPr>
          <w:i/>
        </w:rPr>
        <w:t>σ</w:t>
      </w:r>
      <w:r>
        <w:rPr>
          <w:vertAlign w:val="superscript"/>
        </w:rPr>
        <w:t>2</w:t>
      </w:r>
      <w:r>
        <w:rPr>
          <w:rFonts w:hint="eastAsia"/>
        </w:rPr>
        <w:t>估计。</w:t>
      </w:r>
    </w:p>
    <w:p>
      <w:pPr>
        <w:tabs>
          <w:tab w:val="left" w:pos="284"/>
          <w:tab w:val="left" w:pos="567"/>
        </w:tabs>
        <w:ind w:firstLine="420" w:firstLineChars="200"/>
      </w:pPr>
      <w:r>
        <w:rPr>
          <w:rFonts w:hint="eastAsia"/>
        </w:rPr>
        <w:t>正如已经解释的那样，</w:t>
      </w:r>
      <w:r>
        <w:rPr>
          <w:i/>
        </w:rPr>
        <w:t>α</w:t>
      </w:r>
      <w:r>
        <w:rPr>
          <w:rFonts w:hint="eastAsia"/>
        </w:rPr>
        <w:t>、</w:t>
      </w:r>
      <w:r>
        <w:rPr>
          <w:i/>
        </w:rPr>
        <w:t>β</w:t>
      </w:r>
      <w:r>
        <w:rPr>
          <w:rFonts w:hint="eastAsia"/>
        </w:rPr>
        <w:t>、</w:t>
      </w:r>
      <w:r>
        <w:rPr>
          <w:i/>
        </w:rPr>
        <w:t>δ</w:t>
      </w:r>
      <w:r>
        <w:rPr>
          <w:rFonts w:hint="eastAsia"/>
        </w:rPr>
        <w:t>的选择完全取决于实验者的目的和选择。</w:t>
      </w:r>
    </w:p>
    <w:p>
      <w:pPr>
        <w:tabs>
          <w:tab w:val="left" w:pos="284"/>
          <w:tab w:val="left" w:pos="567"/>
        </w:tabs>
        <w:ind w:firstLine="420" w:firstLineChars="200"/>
        <w:rPr>
          <w:rFonts w:ascii="宋体" w:hAnsi="宋体"/>
        </w:rPr>
      </w:pPr>
      <w:r>
        <w:rPr>
          <w:rFonts w:hint="eastAsia" w:ascii="宋体" w:hAnsi="宋体"/>
        </w:rPr>
        <w:t>总体方差</w:t>
      </w:r>
      <w:r>
        <w:rPr>
          <w:rFonts w:hint="eastAsia" w:ascii="宋体" w:hAnsi="宋体"/>
          <w:i/>
        </w:rPr>
        <w:t>σ</w:t>
      </w:r>
      <w:r>
        <w:rPr>
          <w:rFonts w:hint="eastAsia" w:ascii="宋体" w:hAnsi="宋体"/>
          <w:vertAlign w:val="superscript"/>
        </w:rPr>
        <w:t>2</w:t>
      </w:r>
      <w:r>
        <w:rPr>
          <w:rFonts w:hint="eastAsia" w:ascii="宋体" w:hAnsi="宋体"/>
        </w:rPr>
        <w:t>的估计,能够如下获得：</w:t>
      </w:r>
    </w:p>
    <w:p>
      <w:pPr>
        <w:pStyle w:val="54"/>
      </w:pPr>
      <w:r>
        <w:rPr>
          <w:rFonts w:hint="eastAsia"/>
        </w:rPr>
        <w:t>来自早期的实验;</w:t>
      </w:r>
    </w:p>
    <w:p>
      <w:pPr>
        <w:pStyle w:val="54"/>
      </w:pPr>
      <w:r>
        <w:rPr>
          <w:rFonts w:hint="eastAsia"/>
        </w:rPr>
        <w:t>从文献;</w:t>
      </w:r>
    </w:p>
    <w:p>
      <w:pPr>
        <w:pStyle w:val="54"/>
      </w:pPr>
      <w:r>
        <w:rPr>
          <w:rFonts w:hint="eastAsia"/>
        </w:rPr>
        <w:t>用至少5个试件进行的预实验。</w:t>
      </w:r>
    </w:p>
    <w:p>
      <w:pPr>
        <w:pStyle w:val="51"/>
        <w:spacing w:before="156" w:after="156"/>
      </w:pPr>
      <w:r>
        <w:rPr>
          <w:rFonts w:hint="eastAsia"/>
        </w:rPr>
        <w:t>响应实验</w:t>
      </w:r>
    </w:p>
    <w:p>
      <w:pPr>
        <w:pStyle w:val="55"/>
        <w:spacing w:before="156" w:after="156"/>
        <w:ind w:left="0"/>
      </w:pPr>
      <w:r>
        <w:rPr>
          <w:rFonts w:hint="eastAsia"/>
        </w:rPr>
        <w:t>性能和</w:t>
      </w:r>
      <w:r>
        <w:rPr>
          <w:rFonts w:hint="eastAsia"/>
          <w:highlight w:val="yellow"/>
        </w:rPr>
        <w:t>因素</w:t>
      </w:r>
    </w:p>
    <w:p>
      <w:pPr>
        <w:tabs>
          <w:tab w:val="left" w:pos="284"/>
          <w:tab w:val="left" w:pos="567"/>
        </w:tabs>
        <w:ind w:firstLine="420" w:firstLineChars="200"/>
        <w:rPr>
          <w:rFonts w:ascii="宋体" w:hAnsi="宋体"/>
        </w:rPr>
      </w:pPr>
      <w:r>
        <w:rPr>
          <w:rFonts w:hint="eastAsia" w:ascii="宋体" w:hAnsi="宋体"/>
        </w:rPr>
        <w:t>材料科学的许多研发都是为了建立材料的性能和技术人员在生产这些材料时能够控制的可疑影响因素之间的关系。</w:t>
      </w:r>
    </w:p>
    <w:p>
      <w:pPr>
        <w:tabs>
          <w:tab w:val="left" w:pos="284"/>
          <w:tab w:val="left" w:pos="567"/>
        </w:tabs>
        <w:ind w:firstLine="420" w:firstLineChars="200"/>
        <w:rPr>
          <w:rFonts w:ascii="宋体" w:hAnsi="宋体"/>
        </w:rPr>
      </w:pPr>
      <w:r>
        <w:rPr>
          <w:rFonts w:hint="eastAsia" w:ascii="宋体" w:hAnsi="宋体"/>
        </w:rPr>
        <w:t>这些性能被称为响应变量(它们也被称为因变量，因为它们被认为依赖于这些因素)。</w:t>
      </w:r>
    </w:p>
    <w:p>
      <w:pPr>
        <w:tabs>
          <w:tab w:val="left" w:pos="284"/>
          <w:tab w:val="left" w:pos="567"/>
        </w:tabs>
        <w:ind w:firstLine="420" w:firstLineChars="200"/>
        <w:rPr>
          <w:rFonts w:ascii="宋体" w:hAnsi="宋体"/>
        </w:rPr>
      </w:pPr>
      <w:r>
        <w:rPr>
          <w:rFonts w:hint="eastAsia" w:ascii="宋体" w:hAnsi="宋体"/>
        </w:rPr>
        <w:t>影响因素称为控制变量(也称为自变量)。控制变量通常是组成变量和过程变量。所有这些变量都应该是可测量的。</w:t>
      </w:r>
    </w:p>
    <w:p>
      <w:pPr>
        <w:tabs>
          <w:tab w:val="left" w:pos="284"/>
          <w:tab w:val="left" w:pos="567"/>
        </w:tabs>
        <w:ind w:firstLine="420" w:firstLineChars="200"/>
        <w:rPr>
          <w:rFonts w:ascii="宋体" w:hAnsi="宋体"/>
        </w:rPr>
      </w:pPr>
      <w:r>
        <w:rPr>
          <w:rFonts w:hint="eastAsia" w:ascii="宋体" w:hAnsi="宋体"/>
        </w:rPr>
        <w:t>有时，还有其他变量可以影响响应变量，但无法控制，虽然它们可以识别和测量。常见的例子是工厂车间的温度和湿度。这些变量被称为伴随变量(它们也被称为协变量)。</w:t>
      </w:r>
    </w:p>
    <w:p>
      <w:pPr>
        <w:pStyle w:val="55"/>
        <w:spacing w:before="156" w:after="156"/>
        <w:ind w:left="0"/>
      </w:pPr>
      <w:r>
        <w:rPr>
          <w:rFonts w:hint="eastAsia"/>
        </w:rPr>
        <w:t>实验设计</w:t>
      </w:r>
    </w:p>
    <w:p>
      <w:pPr>
        <w:tabs>
          <w:tab w:val="left" w:pos="284"/>
          <w:tab w:val="left" w:pos="567"/>
        </w:tabs>
        <w:ind w:firstLine="420" w:firstLineChars="200"/>
        <w:rPr>
          <w:rFonts w:ascii="宋体" w:hAnsi="宋体"/>
        </w:rPr>
      </w:pPr>
      <w:r>
        <w:rPr>
          <w:rFonts w:hint="eastAsia" w:ascii="宋体" w:hAnsi="宋体"/>
        </w:rPr>
        <w:t>实验设计是在实验开始之前规定测量响应变量的控制变量的值。实验宜根据响应变量与控制变量之间的期望关系进行设计。这种期望关系是一个假设。这个假设宜用公式表达为一个代数模型，这个模型能够用可测量变量来呈现。</w:t>
      </w:r>
    </w:p>
    <w:p>
      <w:pPr>
        <w:tabs>
          <w:tab w:val="left" w:pos="284"/>
          <w:tab w:val="left" w:pos="567"/>
        </w:tabs>
        <w:ind w:firstLine="420" w:firstLineChars="200"/>
        <w:rPr>
          <w:rFonts w:ascii="宋体" w:hAnsi="宋体"/>
        </w:rPr>
      </w:pPr>
      <w:r>
        <w:rPr>
          <w:rFonts w:hint="eastAsia" w:ascii="宋体" w:hAnsi="宋体"/>
        </w:rPr>
        <w:t>如果模型简单而准确，那么实验设计就会简单。提供模型系数的准确值就需要很少的试样。拟合后的模型可用于准确预测影响因素的任何设置的响应值。但是，有几个原因不能实现这一点，其中包括:</w:t>
      </w:r>
    </w:p>
    <w:p>
      <w:pPr>
        <w:pStyle w:val="59"/>
        <w:numPr>
          <w:ilvl w:val="0"/>
          <w:numId w:val="53"/>
        </w:numPr>
      </w:pPr>
      <w:r>
        <w:rPr>
          <w:rFonts w:hint="eastAsia"/>
        </w:rPr>
        <w:t>准确的关系永远不可能知道，因为模型只能是对现实的一种近似。</w:t>
      </w:r>
    </w:p>
    <w:p>
      <w:pPr>
        <w:pStyle w:val="59"/>
        <w:numPr>
          <w:ilvl w:val="0"/>
          <w:numId w:val="53"/>
        </w:numPr>
      </w:pPr>
      <w:r>
        <w:rPr>
          <w:rFonts w:hint="eastAsia"/>
        </w:rPr>
        <w:t>所有测量都受到无法确定的随时间变化的偏差的影响，但这些偏差通过响应变量的观测值的趋势显示出来。</w:t>
      </w:r>
    </w:p>
    <w:p>
      <w:pPr>
        <w:pStyle w:val="59"/>
        <w:numPr>
          <w:ilvl w:val="0"/>
          <w:numId w:val="53"/>
        </w:numPr>
      </w:pPr>
      <w:r>
        <w:rPr>
          <w:rFonts w:hint="eastAsia"/>
        </w:rPr>
        <w:t>所有的测量都有随机偏差。这些代表了其他未确认的变量，综合起来，没有任何模式或趋势。</w:t>
      </w:r>
    </w:p>
    <w:p>
      <w:pPr>
        <w:pStyle w:val="59"/>
        <w:numPr>
          <w:ilvl w:val="0"/>
          <w:numId w:val="53"/>
        </w:numPr>
      </w:pPr>
      <w:r>
        <w:rPr>
          <w:rFonts w:hint="eastAsia"/>
        </w:rPr>
        <w:t>伴生变量的影响，伴生变量是指那些被确定为可能的影响因素，但只能在实验中或实验后才能测量的变量。</w:t>
      </w:r>
    </w:p>
    <w:p>
      <w:pPr>
        <w:pStyle w:val="23"/>
      </w:pPr>
      <w:r>
        <w:rPr>
          <w:rFonts w:hint="eastAsia"/>
        </w:rPr>
        <w:t>因此，设计实验时宜减少这些未知因素的影响。</w:t>
      </w:r>
    </w:p>
    <w:p>
      <w:pPr>
        <w:pStyle w:val="55"/>
        <w:spacing w:before="156" w:after="156"/>
        <w:ind w:left="0"/>
      </w:pPr>
      <w:r>
        <w:rPr>
          <w:rFonts w:hint="eastAsia"/>
        </w:rPr>
        <w:t>统计目标</w:t>
      </w:r>
    </w:p>
    <w:p>
      <w:pPr>
        <w:pStyle w:val="23"/>
      </w:pPr>
      <w:r>
        <w:rPr>
          <w:rFonts w:hint="eastAsia"/>
        </w:rPr>
        <w:t>设计的响应实验的统计目标需规定：</w:t>
      </w:r>
    </w:p>
    <w:p>
      <w:pPr>
        <w:pStyle w:val="59"/>
        <w:numPr>
          <w:ilvl w:val="0"/>
          <w:numId w:val="54"/>
        </w:numPr>
      </w:pPr>
      <w:r>
        <w:rPr>
          <w:rFonts w:hint="eastAsia"/>
        </w:rPr>
        <w:t>响应变量与影响因素之间期望关系的代数模型；</w:t>
      </w:r>
    </w:p>
    <w:p>
      <w:pPr>
        <w:pStyle w:val="59"/>
        <w:numPr>
          <w:ilvl w:val="0"/>
          <w:numId w:val="54"/>
        </w:numPr>
      </w:pPr>
      <w:r>
        <w:rPr>
          <w:rFonts w:hint="eastAsia"/>
        </w:rPr>
        <w:t>观测次数；</w:t>
      </w:r>
    </w:p>
    <w:p>
      <w:pPr>
        <w:pStyle w:val="59"/>
        <w:numPr>
          <w:ilvl w:val="0"/>
          <w:numId w:val="54"/>
        </w:numPr>
      </w:pPr>
      <w:r>
        <w:rPr>
          <w:rFonts w:hint="eastAsia"/>
        </w:rPr>
        <w:t>每次观测的控制变量的值；</w:t>
      </w:r>
    </w:p>
    <w:p>
      <w:pPr>
        <w:pStyle w:val="59"/>
        <w:numPr>
          <w:ilvl w:val="0"/>
          <w:numId w:val="54"/>
        </w:numPr>
      </w:pPr>
      <w:r>
        <w:rPr>
          <w:rFonts w:hint="eastAsia"/>
        </w:rPr>
        <w:t>观测的顺序。</w:t>
      </w:r>
    </w:p>
    <w:p>
      <w:pPr>
        <w:pStyle w:val="23"/>
      </w:pPr>
      <w:r>
        <w:rPr>
          <w:rFonts w:hint="eastAsia"/>
        </w:rPr>
        <w:t>目的是：</w:t>
      </w:r>
    </w:p>
    <w:p>
      <w:pPr>
        <w:pStyle w:val="54"/>
      </w:pPr>
      <w:r>
        <w:rPr>
          <w:rFonts w:hint="eastAsia"/>
        </w:rPr>
        <w:t>保证模型中的所有影响都能够通过观测数据来估计;</w:t>
      </w:r>
    </w:p>
    <w:p>
      <w:pPr>
        <w:pStyle w:val="54"/>
      </w:pPr>
      <w:r>
        <w:rPr>
          <w:rFonts w:hint="eastAsia"/>
        </w:rPr>
        <w:t>通过与随机变化的比较来检验这些影响的真实性;</w:t>
      </w:r>
    </w:p>
    <w:p>
      <w:pPr>
        <w:pStyle w:val="54"/>
      </w:pPr>
      <w:r>
        <w:rPr>
          <w:rFonts w:hint="eastAsia"/>
        </w:rPr>
        <w:t>保证所有影响都能以尽可能高的精密度估计，从而减少随机变化的影响;</w:t>
      </w:r>
    </w:p>
    <w:p>
      <w:pPr>
        <w:pStyle w:val="54"/>
      </w:pPr>
      <w:r>
        <w:rPr>
          <w:rFonts w:hint="eastAsia"/>
        </w:rPr>
        <w:t>确保所有的影响都能以用最小的偏倚或最大的准确度来估计，从而减少随时间变化的误差的影响;</w:t>
      </w:r>
    </w:p>
    <w:p>
      <w:pPr>
        <w:pStyle w:val="54"/>
      </w:pPr>
      <w:r>
        <w:rPr>
          <w:rFonts w:hint="eastAsia"/>
        </w:rPr>
        <w:t>对模型提出改进建议;</w:t>
      </w:r>
    </w:p>
    <w:p>
      <w:pPr>
        <w:pStyle w:val="54"/>
      </w:pPr>
      <w:r>
        <w:rPr>
          <w:rFonts w:hint="eastAsia"/>
        </w:rPr>
        <w:t>把工作量和成本控制在预算之内。</w:t>
      </w:r>
    </w:p>
    <w:p>
      <w:pPr>
        <w:pStyle w:val="55"/>
        <w:spacing w:before="156" w:after="156"/>
        <w:ind w:left="0"/>
      </w:pPr>
      <w:r>
        <w:rPr>
          <w:rFonts w:hint="eastAsia"/>
        </w:rPr>
        <w:t>实验设计</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下述实验设计在17.1.2.4.5至17.1.2.4.7中讨论：</w:t>
      </w:r>
    </w:p>
    <w:p>
      <w:pPr>
        <w:pStyle w:val="59"/>
        <w:numPr>
          <w:ilvl w:val="0"/>
          <w:numId w:val="55"/>
        </w:numPr>
      </w:pPr>
      <w:r>
        <w:rPr>
          <w:rFonts w:hint="eastAsia"/>
        </w:rPr>
        <w:t>两水平因素实验设计；</w:t>
      </w:r>
    </w:p>
    <w:p>
      <w:pPr>
        <w:pStyle w:val="59"/>
        <w:numPr>
          <w:ilvl w:val="0"/>
          <w:numId w:val="55"/>
        </w:numPr>
      </w:pPr>
      <w:r>
        <w:rPr>
          <w:rFonts w:hint="eastAsia"/>
        </w:rPr>
        <w:t>两水平部分因素实验设计；</w:t>
      </w:r>
    </w:p>
    <w:p>
      <w:pPr>
        <w:pStyle w:val="59"/>
        <w:numPr>
          <w:ilvl w:val="0"/>
          <w:numId w:val="55"/>
        </w:numPr>
      </w:pPr>
      <w:r>
        <w:rPr>
          <w:rFonts w:hint="eastAsia"/>
        </w:rPr>
        <w:t>复合设计。</w:t>
      </w:r>
    </w:p>
    <w:p>
      <w:pPr>
        <w:pStyle w:val="55"/>
        <w:spacing w:before="156" w:after="156"/>
        <w:ind w:left="0"/>
      </w:pPr>
      <w:r>
        <w:rPr>
          <w:rFonts w:hint="eastAsia"/>
        </w:rPr>
        <w:t>两水平因素实验设计</w:t>
      </w:r>
    </w:p>
    <w:p>
      <w:pPr>
        <w:pStyle w:val="23"/>
      </w:pPr>
      <w:r>
        <w:rPr>
          <w:rFonts w:hint="eastAsia"/>
        </w:rPr>
        <w:t>两水平因素实验设计是物理科学实验设计的基础。本设计是基于这样一个假设，即在这些因素的某些限定范围内，线性模型将相当好地近似于真实的关系。其基本思想可以用基于单一影响因素的线性模型式（81）来说明(图9):</w:t>
      </w:r>
    </w:p>
    <w:p>
      <w:pPr>
        <w:pStyle w:val="23"/>
      </w:pPr>
      <m:oMath>
        <m:r>
          <m:rPr/>
          <w:rPr>
            <w:rFonts w:ascii="Cambria Math" w:hAnsi="Cambria Math"/>
          </w:rPr>
          <m:t>y</m:t>
        </m:r>
        <m:r>
          <m:rPr>
            <m:sty m:val="p"/>
          </m:rPr>
          <w:rPr>
            <w:rFonts w:ascii="Cambria Math" w:hAnsi="Cambria Math"/>
          </w:rPr>
          <m:t>=</m:t>
        </m:r>
        <m:r>
          <m:rPr/>
          <w:rPr>
            <w:rFonts w:ascii="Cambria Math" w:hAnsi="Cambria Math"/>
          </w:rPr>
          <m:t>a</m:t>
        </m:r>
        <m:r>
          <m:rPr>
            <m:sty m:val="p"/>
          </m:rPr>
          <w:rPr>
            <w:rFonts w:ascii="Cambria Math" w:hAnsi="Cambria Math"/>
          </w:rPr>
          <m:t>+</m:t>
        </m:r>
        <m:r>
          <m:rPr/>
          <w:rPr>
            <w:rFonts w:ascii="Cambria Math" w:hAnsi="Cambria Math"/>
          </w:rPr>
          <m:t>bx</m:t>
        </m:r>
      </m:oMath>
      <w:r>
        <w:rPr>
          <w:rFonts w:hint="eastAsia"/>
        </w:rPr>
        <w:t xml:space="preserve">                                                                       (81)</w:t>
      </w:r>
    </w:p>
    <w:p>
      <w:pPr>
        <w:tabs>
          <w:tab w:val="left" w:pos="284"/>
          <w:tab w:val="left" w:pos="567"/>
        </w:tabs>
        <w:rPr>
          <w:rFonts w:ascii="宋体" w:hAnsi="宋体"/>
        </w:rPr>
      </w:pPr>
      <w:r>
        <w:rPr>
          <w:rFonts w:hint="eastAsia" w:ascii="宋体" w:hAnsi="宋体"/>
        </w:rPr>
        <w:t>式中：</w:t>
      </w:r>
    </w:p>
    <w:p>
      <w:pPr>
        <w:tabs>
          <w:tab w:val="left" w:pos="284"/>
          <w:tab w:val="left" w:pos="567"/>
        </w:tabs>
        <w:ind w:left="420" w:leftChars="200"/>
      </w:pPr>
      <w:r>
        <w:rPr>
          <w:i/>
        </w:rPr>
        <w:t>y</w:t>
      </w:r>
      <w:r>
        <w:t xml:space="preserve"> </w:t>
      </w:r>
      <w:r>
        <w:rPr>
          <w:rFonts w:hint="eastAsia"/>
        </w:rPr>
        <w:t>是响应变量；</w:t>
      </w:r>
    </w:p>
    <w:p>
      <w:pPr>
        <w:tabs>
          <w:tab w:val="left" w:pos="284"/>
          <w:tab w:val="left" w:pos="567"/>
        </w:tabs>
        <w:ind w:left="420" w:leftChars="200"/>
      </w:pPr>
      <w:r>
        <w:rPr>
          <w:i/>
        </w:rPr>
        <w:t>x</w:t>
      </w:r>
      <w:r>
        <w:t xml:space="preserve"> </w:t>
      </w:r>
      <w:r>
        <w:rPr>
          <w:rFonts w:hint="eastAsia"/>
        </w:rPr>
        <w:t>是控制变量；</w:t>
      </w:r>
    </w:p>
    <w:p>
      <w:pPr>
        <w:tabs>
          <w:tab w:val="left" w:pos="284"/>
          <w:tab w:val="left" w:pos="567"/>
        </w:tabs>
        <w:ind w:left="420" w:leftChars="200"/>
      </w:pPr>
      <w:r>
        <w:rPr>
          <w:i/>
        </w:rPr>
        <w:t>a</w:t>
      </w:r>
      <w:r>
        <w:rPr>
          <w:rFonts w:hint="eastAsia"/>
        </w:rPr>
        <w:t>和</w:t>
      </w:r>
      <w:r>
        <w:rPr>
          <w:i/>
        </w:rPr>
        <w:t>b</w:t>
      </w:r>
      <w:r>
        <w:rPr>
          <w:rFonts w:hint="eastAsia"/>
        </w:rPr>
        <w:t>是需要估计的系数。</w:t>
      </w:r>
    </w:p>
    <w:p>
      <w:pPr>
        <w:pStyle w:val="23"/>
      </w:pPr>
    </w:p>
    <w:p>
      <w:pPr>
        <w:pStyle w:val="23"/>
        <w:jc w:val="center"/>
      </w:pPr>
      <w:r>
        <w:drawing>
          <wp:inline distT="0" distB="0" distL="0" distR="0">
            <wp:extent cx="3514090" cy="2756535"/>
            <wp:effectExtent l="0" t="0" r="0" b="5715"/>
            <wp:docPr id="1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514090" cy="2756535"/>
                    </a:xfrm>
                    <a:prstGeom prst="rect">
                      <a:avLst/>
                    </a:prstGeom>
                    <a:noFill/>
                    <a:ln>
                      <a:noFill/>
                    </a:ln>
                  </pic:spPr>
                </pic:pic>
              </a:graphicData>
            </a:graphic>
          </wp:inline>
        </w:drawing>
      </w:r>
    </w:p>
    <w:p>
      <w:pPr>
        <w:tabs>
          <w:tab w:val="left" w:pos="284"/>
          <w:tab w:val="left" w:pos="567"/>
        </w:tabs>
        <w:ind w:left="420" w:leftChars="200"/>
        <w:jc w:val="left"/>
        <w:rPr>
          <w:rFonts w:ascii="宋体" w:hAnsi="宋体"/>
          <w:sz w:val="18"/>
          <w:szCs w:val="18"/>
        </w:rPr>
      </w:pPr>
      <w:r>
        <w:rPr>
          <w:rFonts w:hint="eastAsia" w:ascii="宋体" w:hAnsi="宋体"/>
          <w:sz w:val="18"/>
          <w:szCs w:val="18"/>
        </w:rPr>
        <w:t>说明：</w:t>
      </w:r>
    </w:p>
    <w:p>
      <w:pPr>
        <w:tabs>
          <w:tab w:val="left" w:pos="284"/>
          <w:tab w:val="left" w:pos="567"/>
        </w:tabs>
        <w:ind w:left="840" w:leftChars="400"/>
        <w:rPr>
          <w:sz w:val="18"/>
          <w:szCs w:val="18"/>
        </w:rPr>
      </w:pPr>
      <w:r>
        <w:rPr>
          <w:sz w:val="18"/>
          <w:szCs w:val="18"/>
        </w:rPr>
        <w:t>X</w:t>
      </w:r>
      <w:r>
        <w:rPr>
          <w:rFonts w:hint="eastAsia"/>
          <w:sz w:val="18"/>
          <w:szCs w:val="18"/>
        </w:rPr>
        <w:t>是控制变量，</w:t>
      </w:r>
      <w:r>
        <w:rPr>
          <w:i/>
          <w:sz w:val="18"/>
          <w:szCs w:val="18"/>
        </w:rPr>
        <w:t>x</w:t>
      </w:r>
    </w:p>
    <w:p>
      <w:pPr>
        <w:tabs>
          <w:tab w:val="left" w:pos="284"/>
          <w:tab w:val="left" w:pos="567"/>
        </w:tabs>
        <w:ind w:left="840" w:leftChars="400"/>
        <w:jc w:val="left"/>
        <w:rPr>
          <w:sz w:val="18"/>
          <w:szCs w:val="18"/>
        </w:rPr>
      </w:pPr>
      <w:r>
        <w:rPr>
          <w:sz w:val="18"/>
          <w:szCs w:val="18"/>
        </w:rPr>
        <w:t>Y</w:t>
      </w:r>
      <w:r>
        <w:rPr>
          <w:rFonts w:hint="eastAsia"/>
          <w:sz w:val="18"/>
          <w:szCs w:val="18"/>
        </w:rPr>
        <w:t>是响应变量，</w:t>
      </w:r>
      <w:r>
        <w:rPr>
          <w:i/>
          <w:sz w:val="18"/>
          <w:szCs w:val="18"/>
        </w:rPr>
        <w:t>y</w:t>
      </w:r>
    </w:p>
    <w:p>
      <w:pPr>
        <w:pStyle w:val="129"/>
      </w:pPr>
      <w:r>
        <w:rPr>
          <w:rFonts w:hint="eastAsia"/>
        </w:rPr>
        <w:t>因变量和控制变量之间的线性关系</w:t>
      </w:r>
    </w:p>
    <w:p>
      <w:pPr>
        <w:pStyle w:val="23"/>
        <w:rPr>
          <w:rFonts w:ascii="Times New Roman"/>
        </w:rPr>
      </w:pPr>
      <w:r>
        <w:rPr>
          <w:rFonts w:ascii="Times New Roman"/>
        </w:rPr>
        <w:t>这个模型被认为大致足以近似</w:t>
      </w:r>
      <w:r>
        <w:rPr>
          <w:rFonts w:ascii="Times New Roman"/>
          <w:i/>
        </w:rPr>
        <w:t>x</w:t>
      </w:r>
      <w:r>
        <w:rPr>
          <w:rFonts w:ascii="Times New Roman"/>
          <w:vertAlign w:val="subscript"/>
        </w:rPr>
        <w:t>L</w:t>
      </w:r>
      <w:r>
        <w:rPr>
          <w:rFonts w:ascii="Times New Roman"/>
        </w:rPr>
        <w:t>至</w:t>
      </w:r>
      <w:r>
        <w:rPr>
          <w:rFonts w:ascii="Times New Roman"/>
          <w:i/>
        </w:rPr>
        <w:t>x</w:t>
      </w:r>
      <w:r>
        <w:rPr>
          <w:rFonts w:ascii="Times New Roman"/>
          <w:vertAlign w:val="subscript"/>
        </w:rPr>
        <w:t>U</w:t>
      </w:r>
      <w:r>
        <w:rPr>
          <w:rFonts w:hint="eastAsia" w:ascii="Times New Roman"/>
        </w:rPr>
        <w:t>范围</w:t>
      </w:r>
      <w:r>
        <w:rPr>
          <w:rFonts w:ascii="Times New Roman"/>
        </w:rPr>
        <w:t>内</w:t>
      </w:r>
      <w:r>
        <w:rPr>
          <w:rFonts w:ascii="Times New Roman"/>
          <w:i/>
        </w:rPr>
        <w:t>x</w:t>
      </w:r>
      <w:r>
        <w:rPr>
          <w:rFonts w:ascii="Times New Roman"/>
        </w:rPr>
        <w:t>的真实关系。期望值和观测值之间的偏差</w:t>
      </w:r>
      <w:r>
        <w:rPr>
          <w:rFonts w:hint="eastAsia" w:ascii="Times New Roman"/>
        </w:rPr>
        <w:t>能够</w:t>
      </w:r>
      <w:r>
        <w:rPr>
          <w:rFonts w:ascii="Times New Roman"/>
        </w:rPr>
        <w:t>通过在等式(81)的右侧添加一项</w:t>
      </w:r>
      <w:r>
        <w:rPr>
          <w:rFonts w:ascii="Times New Roman"/>
          <w:i/>
        </w:rPr>
        <w:t>e</w:t>
      </w:r>
      <w:r>
        <w:rPr>
          <w:rFonts w:ascii="Times New Roman"/>
        </w:rPr>
        <w:t>来描述。</w:t>
      </w:r>
    </w:p>
    <w:p>
      <w:pPr>
        <w:pStyle w:val="23"/>
        <w:rPr>
          <w:rFonts w:ascii="Times New Roman"/>
        </w:rPr>
      </w:pPr>
      <w:r>
        <w:rPr>
          <w:rFonts w:ascii="Times New Roman"/>
        </w:rPr>
        <w:t>如果所有观测值在</w:t>
      </w:r>
      <w:r>
        <w:rPr>
          <w:rFonts w:ascii="Times New Roman"/>
          <w:i/>
        </w:rPr>
        <w:t>x</w:t>
      </w:r>
      <w:r>
        <w:rPr>
          <w:rFonts w:hint="eastAsia" w:ascii="Times New Roman"/>
        </w:rPr>
        <w:t>范围</w:t>
      </w:r>
      <w:r>
        <w:rPr>
          <w:rFonts w:ascii="Times New Roman"/>
        </w:rPr>
        <w:t>的两端平均分配，那么目标就以最高精度估计</w:t>
      </w:r>
      <w:r>
        <w:rPr>
          <w:rFonts w:ascii="Times New Roman"/>
          <w:i/>
        </w:rPr>
        <w:t>a</w:t>
      </w:r>
      <w:r>
        <w:rPr>
          <w:rFonts w:ascii="Times New Roman"/>
        </w:rPr>
        <w:t>和</w:t>
      </w:r>
      <w:r>
        <w:rPr>
          <w:rFonts w:ascii="Times New Roman"/>
          <w:i/>
        </w:rPr>
        <w:t>b</w:t>
      </w:r>
      <w:r>
        <w:rPr>
          <w:rFonts w:ascii="Times New Roman"/>
        </w:rPr>
        <w:t>。实验者的一个常见</w:t>
      </w:r>
      <w:r>
        <w:rPr>
          <w:rFonts w:ascii="Times New Roman"/>
          <w:color w:val="FF0000"/>
        </w:rPr>
        <w:t>错误</w:t>
      </w:r>
      <w:r>
        <w:rPr>
          <w:rFonts w:ascii="Times New Roman"/>
        </w:rPr>
        <w:t>是将该</w:t>
      </w:r>
      <w:r>
        <w:rPr>
          <w:rFonts w:hint="eastAsia" w:ascii="Times New Roman"/>
        </w:rPr>
        <w:t>范围</w:t>
      </w:r>
      <w:r>
        <w:rPr>
          <w:rFonts w:ascii="Times New Roman"/>
        </w:rPr>
        <w:t>分成(</w:t>
      </w:r>
      <w:r>
        <w:rPr>
          <w:rFonts w:ascii="Times New Roman"/>
          <w:i/>
        </w:rPr>
        <w:t>N</w:t>
      </w:r>
      <w:r>
        <w:rPr>
          <w:rFonts w:ascii="Times New Roman"/>
        </w:rPr>
        <w:t>−1)个相等的部分(其中</w:t>
      </w:r>
      <w:r>
        <w:rPr>
          <w:rFonts w:ascii="Times New Roman"/>
          <w:i/>
        </w:rPr>
        <w:t>N</w:t>
      </w:r>
      <w:r>
        <w:rPr>
          <w:rFonts w:ascii="Times New Roman"/>
        </w:rPr>
        <w:t>是计划观测的数量)，并在两端和每个分割点进行一次观测。这种因</w:t>
      </w:r>
      <w:r>
        <w:rPr>
          <w:rFonts w:hint="eastAsia" w:ascii="Times New Roman"/>
        </w:rPr>
        <w:t>素</w:t>
      </w:r>
      <w:r>
        <w:rPr>
          <w:rFonts w:ascii="Times New Roman"/>
        </w:rPr>
        <w:t>值的选择是一种在存在</w:t>
      </w:r>
      <w:r>
        <w:rPr>
          <w:rFonts w:ascii="Times New Roman"/>
          <w:i/>
        </w:rPr>
        <w:t>e</w:t>
      </w:r>
      <w:r>
        <w:rPr>
          <w:rFonts w:ascii="Times New Roman"/>
        </w:rPr>
        <w:t>的情况下不会给出</w:t>
      </w:r>
      <w:r>
        <w:rPr>
          <w:rFonts w:ascii="Times New Roman"/>
          <w:i/>
        </w:rPr>
        <w:t>a</w:t>
      </w:r>
      <w:r>
        <w:rPr>
          <w:rFonts w:ascii="Times New Roman"/>
        </w:rPr>
        <w:t>和</w:t>
      </w:r>
      <w:r>
        <w:rPr>
          <w:rFonts w:ascii="Times New Roman"/>
          <w:i/>
        </w:rPr>
        <w:t>b</w:t>
      </w:r>
      <w:r>
        <w:rPr>
          <w:rFonts w:ascii="Times New Roman"/>
        </w:rPr>
        <w:t>的最精确估计的设计。最好是在</w:t>
      </w:r>
      <w:r>
        <w:rPr>
          <w:rFonts w:ascii="Times New Roman"/>
          <w:i/>
        </w:rPr>
        <w:t>x</w:t>
      </w:r>
      <w:r>
        <w:rPr>
          <w:rFonts w:ascii="Times New Roman"/>
          <w:vertAlign w:val="subscript"/>
        </w:rPr>
        <w:t>L</w:t>
      </w:r>
      <w:r>
        <w:rPr>
          <w:rFonts w:ascii="Times New Roman"/>
        </w:rPr>
        <w:t>和</w:t>
      </w:r>
      <w:r>
        <w:rPr>
          <w:rFonts w:ascii="Times New Roman"/>
          <w:i/>
        </w:rPr>
        <w:t>x</w:t>
      </w:r>
      <w:r>
        <w:rPr>
          <w:rFonts w:ascii="Times New Roman"/>
          <w:vertAlign w:val="subscript"/>
        </w:rPr>
        <w:t>U</w:t>
      </w:r>
      <w:r>
        <w:rPr>
          <w:rFonts w:ascii="Times New Roman"/>
        </w:rPr>
        <w:t>端各进行一半的试验。这就引出了“两</w:t>
      </w:r>
      <w:r>
        <w:rPr>
          <w:rFonts w:hint="eastAsia" w:ascii="Times New Roman"/>
        </w:rPr>
        <w:t>水平</w:t>
      </w:r>
      <w:r>
        <w:rPr>
          <w:rFonts w:ascii="Times New Roman"/>
        </w:rPr>
        <w:t>实验”的说法。</w:t>
      </w:r>
    </w:p>
    <w:p>
      <w:pPr>
        <w:pStyle w:val="23"/>
        <w:rPr>
          <w:rFonts w:ascii="Times New Roman"/>
        </w:rPr>
      </w:pPr>
      <w:r>
        <w:rPr>
          <w:rFonts w:ascii="Times New Roman"/>
        </w:rPr>
        <w:t>在公式(81)中，</w:t>
      </w:r>
      <w:r>
        <w:rPr>
          <w:rFonts w:ascii="Times New Roman"/>
          <w:i/>
        </w:rPr>
        <w:t>x</w:t>
      </w:r>
      <w:r>
        <w:rPr>
          <w:rFonts w:ascii="Times New Roman"/>
        </w:rPr>
        <w:t>变化一个单位对</w:t>
      </w:r>
      <w:r>
        <w:rPr>
          <w:rFonts w:ascii="Times New Roman"/>
          <w:i/>
        </w:rPr>
        <w:t>y</w:t>
      </w:r>
      <w:r>
        <w:rPr>
          <w:rFonts w:ascii="Times New Roman"/>
        </w:rPr>
        <w:t>的影响由系数</w:t>
      </w:r>
      <w:r>
        <w:rPr>
          <w:rFonts w:ascii="Times New Roman"/>
          <w:i/>
        </w:rPr>
        <w:t>b</w:t>
      </w:r>
      <w:r>
        <w:rPr>
          <w:rFonts w:ascii="Times New Roman"/>
        </w:rPr>
        <w:t>表示，系数</w:t>
      </w:r>
      <w:r>
        <w:rPr>
          <w:rFonts w:ascii="Times New Roman"/>
          <w:i/>
        </w:rPr>
        <w:t>b</w:t>
      </w:r>
      <w:r>
        <w:rPr>
          <w:rFonts w:ascii="Times New Roman"/>
        </w:rPr>
        <w:t>是直线的斜率。</w:t>
      </w:r>
    </w:p>
    <w:p>
      <w:pPr>
        <w:pStyle w:val="23"/>
        <w:rPr>
          <w:rFonts w:ascii="Times New Roman"/>
        </w:rPr>
      </w:pPr>
      <w:r>
        <w:rPr>
          <w:rFonts w:ascii="Times New Roman"/>
          <w:i/>
        </w:rPr>
        <w:t>x</w:t>
      </w:r>
      <w:r>
        <w:rPr>
          <w:rFonts w:ascii="Times New Roman"/>
        </w:rPr>
        <w:t>和</w:t>
      </w:r>
      <w:r>
        <w:rPr>
          <w:rFonts w:ascii="Times New Roman"/>
          <w:i/>
        </w:rPr>
        <w:t>y</w:t>
      </w:r>
      <w:r>
        <w:rPr>
          <w:rFonts w:ascii="Times New Roman"/>
        </w:rPr>
        <w:t>之间的关系也可以使用不同的符号来表示。在这种</w:t>
      </w:r>
      <w:r>
        <w:rPr>
          <w:rFonts w:hint="eastAsia" w:ascii="Times New Roman"/>
        </w:rPr>
        <w:t>表示</w:t>
      </w:r>
      <w:r>
        <w:rPr>
          <w:rFonts w:ascii="Times New Roman"/>
        </w:rPr>
        <w:t>法中，自变量(</w:t>
      </w:r>
      <w:r>
        <w:rPr>
          <w:rFonts w:ascii="Times New Roman"/>
          <w:i/>
        </w:rPr>
        <w:t>x</w:t>
      </w:r>
      <w:r>
        <w:rPr>
          <w:rFonts w:ascii="Times New Roman"/>
        </w:rPr>
        <w:t>)称为因</w:t>
      </w:r>
      <w:r>
        <w:rPr>
          <w:rFonts w:hint="eastAsia" w:ascii="Times New Roman"/>
        </w:rPr>
        <w:t>素</w:t>
      </w:r>
      <w:r>
        <w:rPr>
          <w:rFonts w:ascii="Times New Roman"/>
        </w:rPr>
        <w:t>A、B、C、…，其影响由符号</w:t>
      </w:r>
      <w:r>
        <w:rPr>
          <w:rFonts w:ascii="Times New Roman"/>
          <w:i/>
        </w:rPr>
        <w:t>A</w:t>
      </w:r>
      <w:r>
        <w:rPr>
          <w:rFonts w:ascii="Times New Roman"/>
        </w:rPr>
        <w:t>、</w:t>
      </w:r>
      <w:r>
        <w:rPr>
          <w:rFonts w:ascii="Times New Roman"/>
          <w:i/>
        </w:rPr>
        <w:t>B</w:t>
      </w:r>
      <w:r>
        <w:rPr>
          <w:rFonts w:ascii="Times New Roman"/>
        </w:rPr>
        <w:t>、</w:t>
      </w:r>
      <w:r>
        <w:rPr>
          <w:rFonts w:ascii="Times New Roman"/>
          <w:i/>
        </w:rPr>
        <w:t>C</w:t>
      </w:r>
      <w:r>
        <w:rPr>
          <w:rFonts w:ascii="Times New Roman"/>
        </w:rPr>
        <w:t>、…表示。</w:t>
      </w:r>
    </w:p>
    <w:p>
      <w:pPr>
        <w:pStyle w:val="23"/>
        <w:rPr>
          <w:rFonts w:ascii="Times New Roman"/>
        </w:rPr>
      </w:pPr>
      <w:r>
        <w:rPr>
          <w:rFonts w:ascii="Times New Roman"/>
        </w:rPr>
        <w:t>因</w:t>
      </w:r>
      <w:r>
        <w:rPr>
          <w:rFonts w:hint="eastAsia" w:ascii="Times New Roman"/>
        </w:rPr>
        <w:t>素</w:t>
      </w:r>
      <w:r>
        <w:rPr>
          <w:rFonts w:ascii="Times New Roman"/>
        </w:rPr>
        <w:t>的</w:t>
      </w:r>
      <w:r>
        <w:rPr>
          <w:rFonts w:hint="eastAsia" w:ascii="Times New Roman"/>
        </w:rPr>
        <w:t>范围</w:t>
      </w:r>
      <w:r>
        <w:rPr>
          <w:rFonts w:ascii="Times New Roman"/>
        </w:rPr>
        <w:t>由</w:t>
      </w:r>
      <w:r>
        <w:rPr>
          <w:rFonts w:hint="eastAsia" w:ascii="Times New Roman"/>
        </w:rPr>
        <w:t>范围</w:t>
      </w:r>
      <w:r>
        <w:rPr>
          <w:rFonts w:ascii="Times New Roman"/>
        </w:rPr>
        <w:t>的两端指定，即该因</w:t>
      </w:r>
      <w:r>
        <w:rPr>
          <w:rFonts w:hint="eastAsia" w:ascii="Times New Roman"/>
        </w:rPr>
        <w:t>素</w:t>
      </w:r>
      <w:r>
        <w:rPr>
          <w:rFonts w:ascii="Times New Roman"/>
        </w:rPr>
        <w:t>的最高值和最低值。它们由带后缀的小写字母表示。例如，在单因</w:t>
      </w:r>
      <w:r>
        <w:rPr>
          <w:rFonts w:hint="eastAsia" w:ascii="Times New Roman"/>
        </w:rPr>
        <w:t>素</w:t>
      </w:r>
      <w:r>
        <w:rPr>
          <w:rFonts w:ascii="Times New Roman"/>
        </w:rPr>
        <w:t>实验中，因</w:t>
      </w:r>
      <w:r>
        <w:rPr>
          <w:rFonts w:hint="eastAsia" w:ascii="Times New Roman"/>
        </w:rPr>
        <w:t>素</w:t>
      </w:r>
      <w:r>
        <w:rPr>
          <w:rFonts w:ascii="Times New Roman"/>
        </w:rPr>
        <w:t>A的高值和低值将分别为</w:t>
      </w:r>
      <w:r>
        <w:rPr>
          <w:rFonts w:ascii="Times New Roman"/>
          <w:i/>
        </w:rPr>
        <w:t>a</w:t>
      </w:r>
      <w:r>
        <w:rPr>
          <w:rFonts w:ascii="Times New Roman"/>
          <w:vertAlign w:val="subscript"/>
        </w:rPr>
        <w:t>1</w:t>
      </w:r>
      <w:r>
        <w:rPr>
          <w:rFonts w:ascii="Times New Roman"/>
        </w:rPr>
        <w:t>和</w:t>
      </w:r>
      <w:r>
        <w:rPr>
          <w:rFonts w:ascii="Times New Roman"/>
          <w:i/>
        </w:rPr>
        <w:t>a</w:t>
      </w:r>
      <w:r>
        <w:rPr>
          <w:rFonts w:ascii="Times New Roman"/>
          <w:vertAlign w:val="subscript"/>
        </w:rPr>
        <w:t>0</w:t>
      </w:r>
      <w:r>
        <w:rPr>
          <w:rFonts w:ascii="Times New Roman"/>
        </w:rPr>
        <w:t>。此小写符号还用于表示相应观测点的因变量的观测值[参见图10a]。</w:t>
      </w:r>
    </w:p>
    <w:p>
      <w:pPr>
        <w:pStyle w:val="23"/>
        <w:rPr>
          <w:rFonts w:ascii="Times New Roman"/>
        </w:rPr>
      </w:pPr>
      <w:r>
        <w:rPr>
          <w:rFonts w:ascii="Times New Roman"/>
        </w:rPr>
        <w:t>因此，在因</w:t>
      </w:r>
      <w:r>
        <w:rPr>
          <w:rFonts w:hint="eastAsia" w:ascii="Times New Roman"/>
        </w:rPr>
        <w:t>素</w:t>
      </w:r>
      <w:r>
        <w:rPr>
          <w:rFonts w:ascii="Times New Roman"/>
        </w:rPr>
        <w:t>A的整个</w:t>
      </w:r>
      <w:r>
        <w:rPr>
          <w:rFonts w:hint="eastAsia" w:ascii="Times New Roman"/>
        </w:rPr>
        <w:t>范围</w:t>
      </w:r>
      <w:r>
        <w:rPr>
          <w:rFonts w:ascii="Times New Roman"/>
        </w:rPr>
        <w:t>内，因</w:t>
      </w:r>
      <w:r>
        <w:rPr>
          <w:rFonts w:hint="eastAsia" w:ascii="Times New Roman"/>
        </w:rPr>
        <w:t>素</w:t>
      </w:r>
      <w:r>
        <w:rPr>
          <w:rFonts w:ascii="Times New Roman"/>
        </w:rPr>
        <w:t>A对因变量</w:t>
      </w:r>
      <w:r>
        <w:rPr>
          <w:rFonts w:ascii="Times New Roman"/>
          <w:i/>
        </w:rPr>
        <w:t>y</w:t>
      </w:r>
      <w:r>
        <w:rPr>
          <w:rFonts w:ascii="Times New Roman"/>
        </w:rPr>
        <w:t>的影响等于：</w:t>
      </w:r>
    </w:p>
    <w:p>
      <w:pPr>
        <w:pStyle w:val="23"/>
        <w:rPr>
          <w:rFonts w:ascii="Times New Roman"/>
        </w:rPr>
      </w:pPr>
      <w:r>
        <w:rPr>
          <w:rFonts w:ascii="Times New Roman"/>
        </w:rPr>
        <w:t>（</w:t>
      </w:r>
      <w:r>
        <w:rPr>
          <w:rFonts w:ascii="Times New Roman"/>
          <w:i/>
        </w:rPr>
        <w:t>y</w:t>
      </w:r>
      <w:r>
        <w:rPr>
          <w:rFonts w:ascii="Times New Roman"/>
        </w:rPr>
        <w:t>在</w:t>
      </w:r>
      <w:r>
        <w:rPr>
          <w:rFonts w:ascii="Times New Roman"/>
          <w:i/>
        </w:rPr>
        <w:t>a</w:t>
      </w:r>
      <w:r>
        <w:rPr>
          <w:rFonts w:ascii="Times New Roman"/>
          <w:vertAlign w:val="subscript"/>
        </w:rPr>
        <w:t>1</w:t>
      </w:r>
      <w:r>
        <w:rPr>
          <w:rFonts w:ascii="Times New Roman"/>
        </w:rPr>
        <w:t>点的值）-（</w:t>
      </w:r>
      <w:r>
        <w:rPr>
          <w:rFonts w:ascii="Times New Roman"/>
          <w:i/>
        </w:rPr>
        <w:t>y</w:t>
      </w:r>
      <w:r>
        <w:rPr>
          <w:rFonts w:ascii="Times New Roman"/>
        </w:rPr>
        <w:t>在</w:t>
      </w:r>
      <w:r>
        <w:rPr>
          <w:rFonts w:ascii="Times New Roman"/>
          <w:i/>
        </w:rPr>
        <w:t>a</w:t>
      </w:r>
      <w:r>
        <w:rPr>
          <w:rFonts w:ascii="Times New Roman"/>
          <w:vertAlign w:val="subscript"/>
        </w:rPr>
        <w:t>0</w:t>
      </w:r>
      <w:r>
        <w:rPr>
          <w:rFonts w:ascii="Times New Roman"/>
        </w:rPr>
        <w:t>点的值）</w:t>
      </w:r>
    </w:p>
    <w:p>
      <w:pPr>
        <w:pStyle w:val="23"/>
        <w:rPr>
          <w:rFonts w:ascii="Times New Roman"/>
        </w:rPr>
      </w:pPr>
      <w:r>
        <w:rPr>
          <w:rFonts w:ascii="Times New Roman"/>
        </w:rPr>
        <w:t>如图10b)所示，或更简化为式（</w:t>
      </w:r>
      <w:r>
        <w:rPr>
          <w:rFonts w:hint="eastAsia" w:ascii="Times New Roman"/>
        </w:rPr>
        <w:t>82）</w:t>
      </w:r>
      <w:r>
        <w:rPr>
          <w:rFonts w:ascii="Times New Roman"/>
        </w:rPr>
        <w:t>：</w:t>
      </w:r>
    </w:p>
    <w:p>
      <w:pPr>
        <w:pStyle w:val="23"/>
        <w:jc w:val="left"/>
        <w:rPr>
          <w:rFonts w:ascii="Times New Roman"/>
        </w:rPr>
      </w:pPr>
      <w:r>
        <w:rPr>
          <w:rFonts w:ascii="Times New Roman"/>
          <w:i/>
        </w:rPr>
        <w:t>A</w:t>
      </w:r>
      <w:r>
        <w:rPr>
          <w:rFonts w:ascii="Times New Roman"/>
        </w:rPr>
        <w:t>=</w:t>
      </w:r>
      <w:r>
        <w:rPr>
          <w:rFonts w:ascii="Times New Roman"/>
          <w:i/>
        </w:rPr>
        <w:t xml:space="preserve"> a</w:t>
      </w:r>
      <w:r>
        <w:rPr>
          <w:rFonts w:ascii="Times New Roman"/>
          <w:vertAlign w:val="subscript"/>
        </w:rPr>
        <w:t>1</w:t>
      </w:r>
      <w:r>
        <w:rPr>
          <w:rFonts w:ascii="Times New Roman"/>
        </w:rPr>
        <w:t xml:space="preserve">- </w:t>
      </w:r>
      <w:r>
        <w:rPr>
          <w:rFonts w:ascii="Times New Roman"/>
          <w:i/>
        </w:rPr>
        <w:t>a</w:t>
      </w:r>
      <w:r>
        <w:rPr>
          <w:rFonts w:ascii="Times New Roman"/>
          <w:vertAlign w:val="subscript"/>
        </w:rPr>
        <w:t xml:space="preserve">0 </w:t>
      </w:r>
      <w:r>
        <w:rPr>
          <w:rFonts w:ascii="Times New Roman"/>
        </w:rPr>
        <w:t xml:space="preserve">                                                              （</w:t>
      </w:r>
      <w:r>
        <w:rPr>
          <w:rFonts w:hint="eastAsia" w:ascii="Times New Roman"/>
        </w:rPr>
        <w:t>82）</w:t>
      </w:r>
    </w:p>
    <w:p>
      <w:pPr>
        <w:pStyle w:val="23"/>
        <w:ind w:firstLine="0" w:firstLineChars="0"/>
        <w:rPr>
          <w:rFonts w:ascii="Times New Roman"/>
        </w:rPr>
      </w:pPr>
      <w:r>
        <w:rPr>
          <w:rFonts w:ascii="Times New Roman"/>
        </w:rPr>
        <w:t>式中，符号</w:t>
      </w:r>
      <w:r>
        <w:rPr>
          <w:rFonts w:ascii="Times New Roman"/>
          <w:i/>
        </w:rPr>
        <w:t>A</w:t>
      </w:r>
      <w:r>
        <w:rPr>
          <w:rFonts w:ascii="Times New Roman"/>
        </w:rPr>
        <w:t>用于表示因</w:t>
      </w:r>
      <w:r>
        <w:rPr>
          <w:rFonts w:hint="eastAsia" w:ascii="Times New Roman"/>
        </w:rPr>
        <w:t>素</w:t>
      </w:r>
      <w:r>
        <w:rPr>
          <w:rFonts w:ascii="Times New Roman"/>
        </w:rPr>
        <w:t>A的影响。</w:t>
      </w:r>
    </w:p>
    <w:p>
      <w:pPr>
        <w:pStyle w:val="23"/>
        <w:rPr>
          <w:rFonts w:ascii="Times New Roman"/>
        </w:rPr>
      </w:pPr>
      <w:r>
        <w:rPr>
          <w:rFonts w:ascii="Times New Roman"/>
        </w:rPr>
        <w:t>相似地，</w:t>
      </w:r>
      <w:r>
        <w:rPr>
          <w:rFonts w:ascii="Times New Roman"/>
          <w:i/>
        </w:rPr>
        <w:t>y</w:t>
      </w:r>
      <w:r>
        <w:rPr>
          <w:rFonts w:ascii="Times New Roman"/>
        </w:rPr>
        <w:t>的均值[见图10c]简化为式（</w:t>
      </w:r>
      <w:r>
        <w:rPr>
          <w:rFonts w:hint="eastAsia" w:ascii="Times New Roman"/>
        </w:rPr>
        <w:t>83）</w:t>
      </w:r>
      <w:r>
        <w:rPr>
          <w:rFonts w:ascii="Times New Roman"/>
        </w:rPr>
        <w:t>：</w:t>
      </w:r>
    </w:p>
    <w:p>
      <w:pPr>
        <w:tabs>
          <w:tab w:val="left" w:pos="284"/>
          <w:tab w:val="left" w:pos="567"/>
        </w:tabs>
        <w:spacing w:before="156" w:beforeLines="50" w:after="156" w:afterLines="50"/>
        <w:ind w:left="210" w:leftChars="100" w:firstLine="420" w:firstLineChars="200"/>
      </w:pPr>
      <w:r>
        <w:rPr>
          <w:i/>
        </w:rPr>
        <w:t>M</w:t>
      </w:r>
      <w:r>
        <w:t xml:space="preserve"> = (</w:t>
      </w:r>
      <w:r>
        <w:rPr>
          <w:i/>
        </w:rPr>
        <w:t>a</w:t>
      </w:r>
      <w:r>
        <w:rPr>
          <w:vertAlign w:val="subscript"/>
        </w:rPr>
        <w:t>1</w:t>
      </w:r>
      <w:r>
        <w:t xml:space="preserve"> + </w:t>
      </w:r>
      <w:r>
        <w:rPr>
          <w:i/>
        </w:rPr>
        <w:t>a</w:t>
      </w:r>
      <w:r>
        <w:rPr>
          <w:vertAlign w:val="subscript"/>
        </w:rPr>
        <w:t>0</w:t>
      </w:r>
      <w:r>
        <w:t>)/2                                                        （</w:t>
      </w:r>
      <w:r>
        <w:rPr>
          <w:rFonts w:hint="eastAsia"/>
        </w:rPr>
        <w:t>8</w:t>
      </w:r>
      <w:r>
        <w:t>3</w:t>
      </w:r>
      <w:r>
        <w:rPr>
          <w:rFonts w:hint="eastAsia"/>
        </w:rPr>
        <w:t>）</w:t>
      </w:r>
    </w:p>
    <w:p>
      <w:pPr>
        <w:pStyle w:val="23"/>
      </w:pPr>
    </w:p>
    <w:p>
      <w:pPr>
        <w:pStyle w:val="23"/>
      </w:pPr>
      <w:r>
        <w:rPr>
          <w:rFonts w:hint="eastAsia"/>
        </w:rPr>
        <w:t xml:space="preserve">  </w:t>
      </w:r>
    </w:p>
    <w:tbl>
      <w:tblPr>
        <w:tblStyle w:val="33"/>
        <w:tblW w:w="0" w:type="auto"/>
        <w:tblInd w:w="0" w:type="dxa"/>
        <w:tblLayout w:type="autofit"/>
        <w:tblCellMar>
          <w:top w:w="0" w:type="dxa"/>
          <w:left w:w="108" w:type="dxa"/>
          <w:bottom w:w="0" w:type="dxa"/>
          <w:right w:w="108" w:type="dxa"/>
        </w:tblCellMar>
      </w:tblPr>
      <w:tblGrid>
        <w:gridCol w:w="4785"/>
        <w:gridCol w:w="4785"/>
      </w:tblGrid>
      <w:tr>
        <w:tblPrEx>
          <w:tblCellMar>
            <w:top w:w="0" w:type="dxa"/>
            <w:left w:w="108" w:type="dxa"/>
            <w:bottom w:w="0" w:type="dxa"/>
            <w:right w:w="108" w:type="dxa"/>
          </w:tblCellMar>
        </w:tblPrEx>
        <w:tc>
          <w:tcPr>
            <w:tcW w:w="4785" w:type="dxa"/>
          </w:tcPr>
          <w:p>
            <w:pPr>
              <w:pStyle w:val="23"/>
              <w:ind w:firstLine="0" w:firstLineChars="0"/>
              <w:rPr>
                <w:szCs w:val="18"/>
              </w:rPr>
            </w:pPr>
            <w:r>
              <w:rPr>
                <w:szCs w:val="18"/>
              </w:rPr>
              <w:drawing>
                <wp:inline distT="0" distB="0" distL="0" distR="0">
                  <wp:extent cx="2054225" cy="1644650"/>
                  <wp:effectExtent l="0" t="0" r="3175" b="0"/>
                  <wp:docPr id="1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54225" cy="1644650"/>
                          </a:xfrm>
                          <a:prstGeom prst="rect">
                            <a:avLst/>
                          </a:prstGeom>
                          <a:noFill/>
                          <a:ln>
                            <a:noFill/>
                          </a:ln>
                        </pic:spPr>
                      </pic:pic>
                    </a:graphicData>
                  </a:graphic>
                </wp:inline>
              </w:drawing>
            </w:r>
          </w:p>
        </w:tc>
        <w:tc>
          <w:tcPr>
            <w:tcW w:w="4785" w:type="dxa"/>
          </w:tcPr>
          <w:p>
            <w:pPr>
              <w:pStyle w:val="23"/>
              <w:ind w:firstLine="0" w:firstLineChars="0"/>
              <w:rPr>
                <w:szCs w:val="18"/>
              </w:rPr>
            </w:pPr>
            <w:r>
              <w:rPr>
                <w:szCs w:val="18"/>
              </w:rPr>
              <w:drawing>
                <wp:inline distT="0" distB="0" distL="0" distR="0">
                  <wp:extent cx="2019935" cy="1555750"/>
                  <wp:effectExtent l="0" t="0" r="0" b="6350"/>
                  <wp:docPr id="1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19935" cy="155575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785" w:type="dxa"/>
          </w:tcPr>
          <w:p>
            <w:pPr>
              <w:tabs>
                <w:tab w:val="left" w:pos="284"/>
                <w:tab w:val="left" w:pos="567"/>
              </w:tabs>
              <w:spacing w:before="156" w:beforeLines="50" w:after="156" w:afterLines="50" w:line="0" w:lineRule="atLeast"/>
              <w:rPr>
                <w:rFonts w:ascii="宋体" w:hAnsi="宋体"/>
                <w:sz w:val="18"/>
              </w:rPr>
            </w:pPr>
            <w:r>
              <w:rPr>
                <w:rFonts w:hint="eastAsia" w:ascii="宋体" w:hAnsi="宋体"/>
                <w:sz w:val="18"/>
              </w:rPr>
              <w:t>说明：</w:t>
            </w:r>
          </w:p>
          <w:p>
            <w:pPr>
              <w:tabs>
                <w:tab w:val="left" w:pos="284"/>
                <w:tab w:val="left" w:pos="567"/>
              </w:tabs>
              <w:spacing w:line="0" w:lineRule="atLeast"/>
              <w:ind w:firstLine="360" w:firstLineChars="200"/>
              <w:rPr>
                <w:sz w:val="18"/>
                <w:szCs w:val="18"/>
              </w:rPr>
            </w:pPr>
            <w:r>
              <w:rPr>
                <w:sz w:val="18"/>
                <w:szCs w:val="18"/>
              </w:rPr>
              <w:t xml:space="preserve">X </w:t>
            </w:r>
            <w:r>
              <w:rPr>
                <w:rFonts w:hint="eastAsia"/>
                <w:sz w:val="18"/>
                <w:szCs w:val="18"/>
              </w:rPr>
              <w:t>控制变量，</w:t>
            </w:r>
            <w:r>
              <w:rPr>
                <w:i/>
                <w:sz w:val="18"/>
                <w:szCs w:val="18"/>
              </w:rPr>
              <w:t>x</w:t>
            </w:r>
            <w:r>
              <w:rPr>
                <w:rFonts w:hint="eastAsia"/>
                <w:sz w:val="18"/>
                <w:szCs w:val="18"/>
              </w:rPr>
              <w:t>（因素</w:t>
            </w:r>
            <w:r>
              <w:rPr>
                <w:sz w:val="18"/>
                <w:szCs w:val="18"/>
              </w:rPr>
              <w:t>A</w:t>
            </w:r>
            <w:r>
              <w:rPr>
                <w:rFonts w:hint="eastAsia"/>
                <w:sz w:val="18"/>
                <w:szCs w:val="18"/>
              </w:rPr>
              <w:t>）</w:t>
            </w:r>
          </w:p>
          <w:p>
            <w:pPr>
              <w:tabs>
                <w:tab w:val="left" w:pos="284"/>
                <w:tab w:val="left" w:pos="567"/>
              </w:tabs>
              <w:spacing w:line="0" w:lineRule="atLeast"/>
              <w:ind w:firstLine="360" w:firstLineChars="200"/>
              <w:rPr>
                <w:sz w:val="18"/>
                <w:szCs w:val="18"/>
              </w:rPr>
            </w:pPr>
            <w:r>
              <w:rPr>
                <w:sz w:val="18"/>
                <w:szCs w:val="18"/>
              </w:rPr>
              <w:t xml:space="preserve">Y </w:t>
            </w:r>
            <w:r>
              <w:rPr>
                <w:rFonts w:hint="eastAsia"/>
                <w:sz w:val="18"/>
                <w:szCs w:val="18"/>
              </w:rPr>
              <w:t>响应变量，</w:t>
            </w:r>
            <w:r>
              <w:rPr>
                <w:i/>
                <w:sz w:val="18"/>
                <w:szCs w:val="18"/>
              </w:rPr>
              <w:t>y</w:t>
            </w:r>
          </w:p>
          <w:p>
            <w:pPr>
              <w:tabs>
                <w:tab w:val="left" w:pos="284"/>
                <w:tab w:val="left" w:pos="567"/>
              </w:tabs>
              <w:spacing w:line="0" w:lineRule="atLeast"/>
              <w:ind w:firstLine="360" w:firstLineChars="200"/>
              <w:rPr>
                <w:rFonts w:ascii="宋体" w:hAnsi="宋体"/>
                <w:sz w:val="18"/>
                <w:szCs w:val="18"/>
              </w:rPr>
            </w:pPr>
            <w:r>
              <w:rPr>
                <w:i/>
                <w:sz w:val="18"/>
              </w:rPr>
              <w:t>a</w:t>
            </w:r>
            <w:r>
              <w:rPr>
                <w:sz w:val="18"/>
                <w:vertAlign w:val="subscript"/>
              </w:rPr>
              <w:t>0</w:t>
            </w:r>
            <w:r>
              <w:rPr>
                <w:rFonts w:hint="eastAsia"/>
                <w:sz w:val="18"/>
                <w:szCs w:val="18"/>
              </w:rPr>
              <w:t>因素</w:t>
            </w:r>
            <w:r>
              <w:rPr>
                <w:sz w:val="18"/>
                <w:szCs w:val="18"/>
              </w:rPr>
              <w:t>A</w:t>
            </w:r>
            <w:r>
              <w:rPr>
                <w:rFonts w:hint="eastAsia"/>
                <w:sz w:val="18"/>
                <w:szCs w:val="18"/>
              </w:rPr>
              <w:t>的低值</w:t>
            </w:r>
          </w:p>
          <w:p>
            <w:pPr>
              <w:tabs>
                <w:tab w:val="left" w:pos="284"/>
                <w:tab w:val="left" w:pos="567"/>
              </w:tabs>
              <w:spacing w:line="0" w:lineRule="atLeast"/>
              <w:ind w:firstLine="360" w:firstLineChars="200"/>
              <w:rPr>
                <w:rFonts w:ascii="宋体" w:hAnsi="宋体"/>
                <w:sz w:val="18"/>
                <w:szCs w:val="18"/>
              </w:rPr>
            </w:pPr>
            <w:r>
              <w:rPr>
                <w:i/>
                <w:sz w:val="18"/>
              </w:rPr>
              <w:t>a</w:t>
            </w:r>
            <w:r>
              <w:rPr>
                <w:sz w:val="18"/>
                <w:vertAlign w:val="subscript"/>
              </w:rPr>
              <w:t>1</w:t>
            </w:r>
            <w:r>
              <w:rPr>
                <w:rFonts w:hint="eastAsia"/>
                <w:sz w:val="18"/>
                <w:szCs w:val="18"/>
              </w:rPr>
              <w:t>因素</w:t>
            </w:r>
            <w:r>
              <w:rPr>
                <w:sz w:val="18"/>
                <w:szCs w:val="18"/>
              </w:rPr>
              <w:t>A</w:t>
            </w:r>
            <w:r>
              <w:rPr>
                <w:rFonts w:hint="eastAsia"/>
                <w:sz w:val="18"/>
                <w:szCs w:val="18"/>
              </w:rPr>
              <w:t>的高值</w:t>
            </w:r>
          </w:p>
          <w:p>
            <w:pPr>
              <w:tabs>
                <w:tab w:val="left" w:pos="284"/>
                <w:tab w:val="left" w:pos="567"/>
              </w:tabs>
              <w:spacing w:line="0" w:lineRule="atLeast"/>
              <w:ind w:firstLine="360" w:firstLineChars="200"/>
              <w:rPr>
                <w:rFonts w:ascii="宋体" w:hAnsi="宋体"/>
                <w:sz w:val="18"/>
                <w:szCs w:val="18"/>
              </w:rPr>
            </w:pPr>
            <w:r>
              <w:rPr>
                <w:rFonts w:hint="eastAsia" w:ascii="宋体" w:hAnsi="宋体"/>
                <w:sz w:val="18"/>
                <w:szCs w:val="18"/>
              </w:rPr>
              <w:t>1 在</w:t>
            </w:r>
            <w:r>
              <w:rPr>
                <w:i/>
                <w:sz w:val="18"/>
              </w:rPr>
              <w:t>a</w:t>
            </w:r>
            <w:r>
              <w:rPr>
                <w:sz w:val="18"/>
                <w:vertAlign w:val="subscript"/>
              </w:rPr>
              <w:t>0</w:t>
            </w:r>
            <w:r>
              <w:rPr>
                <w:rFonts w:hint="eastAsia" w:ascii="宋体" w:hAnsi="宋体"/>
                <w:sz w:val="18"/>
                <w:szCs w:val="18"/>
              </w:rPr>
              <w:t>点的</w:t>
            </w:r>
            <w:r>
              <w:rPr>
                <w:i/>
                <w:sz w:val="18"/>
                <w:szCs w:val="18"/>
              </w:rPr>
              <w:t>y</w:t>
            </w:r>
            <w:r>
              <w:rPr>
                <w:rFonts w:hint="eastAsia" w:ascii="宋体" w:hAnsi="宋体"/>
                <w:sz w:val="18"/>
                <w:szCs w:val="18"/>
              </w:rPr>
              <w:t>值</w:t>
            </w:r>
          </w:p>
          <w:p>
            <w:pPr>
              <w:tabs>
                <w:tab w:val="left" w:pos="284"/>
                <w:tab w:val="left" w:pos="567"/>
              </w:tabs>
              <w:spacing w:line="0" w:lineRule="atLeast"/>
              <w:ind w:firstLine="360" w:firstLineChars="200"/>
              <w:rPr>
                <w:rFonts w:ascii="宋体" w:hAnsi="宋体"/>
                <w:sz w:val="18"/>
                <w:szCs w:val="18"/>
              </w:rPr>
            </w:pPr>
            <w:r>
              <w:rPr>
                <w:rFonts w:hint="eastAsia" w:ascii="宋体" w:hAnsi="宋体"/>
                <w:sz w:val="18"/>
                <w:szCs w:val="18"/>
              </w:rPr>
              <w:t>2 在</w:t>
            </w:r>
            <w:r>
              <w:rPr>
                <w:i/>
                <w:sz w:val="18"/>
              </w:rPr>
              <w:t>a</w:t>
            </w:r>
            <w:r>
              <w:rPr>
                <w:sz w:val="18"/>
                <w:vertAlign w:val="subscript"/>
              </w:rPr>
              <w:t>1</w:t>
            </w:r>
            <w:r>
              <w:rPr>
                <w:rFonts w:hint="eastAsia" w:ascii="宋体" w:hAnsi="宋体"/>
                <w:sz w:val="18"/>
                <w:szCs w:val="18"/>
              </w:rPr>
              <w:t>点的</w:t>
            </w:r>
            <w:r>
              <w:rPr>
                <w:i/>
                <w:sz w:val="18"/>
                <w:szCs w:val="18"/>
              </w:rPr>
              <w:t>y</w:t>
            </w:r>
            <w:r>
              <w:rPr>
                <w:rFonts w:hint="eastAsia" w:ascii="宋体" w:hAnsi="宋体"/>
                <w:sz w:val="18"/>
                <w:szCs w:val="18"/>
              </w:rPr>
              <w:t>值</w:t>
            </w:r>
          </w:p>
          <w:p>
            <w:pPr>
              <w:tabs>
                <w:tab w:val="left" w:pos="284"/>
                <w:tab w:val="left" w:pos="567"/>
              </w:tabs>
              <w:spacing w:line="0" w:lineRule="atLeast"/>
              <w:ind w:firstLine="360" w:firstLineChars="200"/>
              <w:rPr>
                <w:rFonts w:ascii="宋体" w:hAnsi="宋体"/>
                <w:sz w:val="18"/>
                <w:szCs w:val="18"/>
              </w:rPr>
            </w:pPr>
            <w:r>
              <w:rPr>
                <w:rFonts w:hint="eastAsia" w:ascii="宋体" w:hAnsi="宋体"/>
                <w:sz w:val="18"/>
                <w:szCs w:val="18"/>
              </w:rPr>
              <w:t xml:space="preserve">3 </w:t>
            </w:r>
            <w:r>
              <w:rPr>
                <w:rFonts w:hint="eastAsia"/>
                <w:sz w:val="18"/>
                <w:szCs w:val="18"/>
              </w:rPr>
              <w:t>因素</w:t>
            </w:r>
            <w:r>
              <w:rPr>
                <w:sz w:val="18"/>
                <w:szCs w:val="18"/>
              </w:rPr>
              <w:t>A</w:t>
            </w:r>
            <w:r>
              <w:rPr>
                <w:rFonts w:hint="eastAsia"/>
                <w:sz w:val="18"/>
                <w:szCs w:val="18"/>
              </w:rPr>
              <w:t>的影响</w:t>
            </w:r>
          </w:p>
          <w:p>
            <w:pPr>
              <w:tabs>
                <w:tab w:val="left" w:pos="284"/>
                <w:tab w:val="left" w:pos="567"/>
              </w:tabs>
              <w:spacing w:line="0" w:lineRule="atLeast"/>
              <w:ind w:firstLine="360" w:firstLineChars="200"/>
              <w:rPr>
                <w:rFonts w:ascii="宋体" w:hAnsi="宋体"/>
                <w:sz w:val="18"/>
                <w:szCs w:val="18"/>
              </w:rPr>
            </w:pPr>
            <w:r>
              <w:rPr>
                <w:rFonts w:hint="eastAsia" w:ascii="宋体" w:hAnsi="宋体"/>
                <w:sz w:val="18"/>
                <w:szCs w:val="18"/>
              </w:rPr>
              <w:t>4 在</w:t>
            </w:r>
            <w:r>
              <w:rPr>
                <w:i/>
                <w:sz w:val="18"/>
              </w:rPr>
              <w:t>a</w:t>
            </w:r>
            <w:r>
              <w:rPr>
                <w:sz w:val="18"/>
                <w:vertAlign w:val="subscript"/>
              </w:rPr>
              <w:t>0</w:t>
            </w:r>
            <w:r>
              <w:rPr>
                <w:rFonts w:hint="eastAsia"/>
                <w:sz w:val="18"/>
              </w:rPr>
              <w:t>和</w:t>
            </w:r>
            <w:r>
              <w:rPr>
                <w:i/>
                <w:sz w:val="18"/>
              </w:rPr>
              <w:t>a</w:t>
            </w:r>
            <w:r>
              <w:rPr>
                <w:sz w:val="18"/>
                <w:vertAlign w:val="subscript"/>
              </w:rPr>
              <w:t>1</w:t>
            </w:r>
            <w:r>
              <w:rPr>
                <w:rFonts w:hint="eastAsia"/>
                <w:sz w:val="18"/>
              </w:rPr>
              <w:t>点的均值</w:t>
            </w:r>
          </w:p>
          <w:p>
            <w:pPr>
              <w:pStyle w:val="23"/>
              <w:ind w:firstLine="0" w:firstLineChars="0"/>
              <w:rPr>
                <w:szCs w:val="18"/>
              </w:rPr>
            </w:pPr>
          </w:p>
        </w:tc>
        <w:tc>
          <w:tcPr>
            <w:tcW w:w="4785" w:type="dxa"/>
          </w:tcPr>
          <w:p>
            <w:pPr>
              <w:pStyle w:val="23"/>
              <w:ind w:firstLine="0" w:firstLineChars="0"/>
              <w:rPr>
                <w:szCs w:val="18"/>
              </w:rPr>
            </w:pPr>
            <w:r>
              <w:rPr>
                <w:szCs w:val="18"/>
              </w:rPr>
              <w:drawing>
                <wp:inline distT="0" distB="0" distL="0" distR="0">
                  <wp:extent cx="2087880" cy="1719580"/>
                  <wp:effectExtent l="0" t="0" r="7620" b="0"/>
                  <wp:docPr id="1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87880" cy="1719580"/>
                          </a:xfrm>
                          <a:prstGeom prst="rect">
                            <a:avLst/>
                          </a:prstGeom>
                          <a:noFill/>
                          <a:ln>
                            <a:noFill/>
                          </a:ln>
                        </pic:spPr>
                      </pic:pic>
                    </a:graphicData>
                  </a:graphic>
                </wp:inline>
              </w:drawing>
            </w:r>
          </w:p>
        </w:tc>
      </w:tr>
    </w:tbl>
    <w:p>
      <w:pPr>
        <w:pStyle w:val="129"/>
      </w:pPr>
      <w:r>
        <w:rPr>
          <w:rFonts w:hint="eastAsia" w:hAnsi="黑体"/>
        </w:rPr>
        <w:t>两水平单因素实验设计</w:t>
      </w:r>
    </w:p>
    <w:p>
      <w:pPr>
        <w:pStyle w:val="23"/>
        <w:rPr>
          <w:rFonts w:ascii="Times New Roman"/>
        </w:rPr>
      </w:pPr>
      <w:r>
        <w:rPr>
          <w:rFonts w:ascii="Times New Roman"/>
        </w:rPr>
        <w:t>现在考虑</w:t>
      </w:r>
      <w:r>
        <w:rPr>
          <w:rFonts w:hint="eastAsia" w:ascii="Times New Roman"/>
        </w:rPr>
        <w:t>双因素</w:t>
      </w:r>
      <w:r>
        <w:rPr>
          <w:rFonts w:ascii="Times New Roman"/>
        </w:rPr>
        <w:t>A和B, 它们可以表示为平面中的两个变量，其因变量</w:t>
      </w:r>
      <w:r>
        <w:rPr>
          <w:rFonts w:ascii="Times New Roman"/>
          <w:i/>
        </w:rPr>
        <w:t>y</w:t>
      </w:r>
      <w:r>
        <w:rPr>
          <w:rFonts w:ascii="Times New Roman"/>
        </w:rPr>
        <w:t>是垂直于该平面的第三维[参见图11a]。B的高、低值是</w:t>
      </w:r>
      <w:r>
        <w:rPr>
          <w:rFonts w:ascii="Times New Roman"/>
          <w:i/>
        </w:rPr>
        <w:t>b</w:t>
      </w:r>
      <w:r>
        <w:rPr>
          <w:rFonts w:ascii="Times New Roman"/>
          <w:vertAlign w:val="subscript"/>
        </w:rPr>
        <w:t>1</w:t>
      </w:r>
      <w:r>
        <w:rPr>
          <w:rFonts w:ascii="Times New Roman"/>
        </w:rPr>
        <w:t>和</w:t>
      </w:r>
      <w:r>
        <w:rPr>
          <w:rFonts w:ascii="Times New Roman"/>
          <w:i/>
        </w:rPr>
        <w:t>b</w:t>
      </w:r>
      <w:r>
        <w:rPr>
          <w:rFonts w:ascii="Times New Roman"/>
          <w:vertAlign w:val="subscript"/>
        </w:rPr>
        <w:t>0</w:t>
      </w:r>
      <w:r>
        <w:rPr>
          <w:rFonts w:ascii="Times New Roman"/>
        </w:rPr>
        <w:t>。如果只在由这两个因</w:t>
      </w:r>
      <w:r>
        <w:rPr>
          <w:rFonts w:hint="eastAsia" w:ascii="Times New Roman"/>
        </w:rPr>
        <w:t>素</w:t>
      </w:r>
      <w:r>
        <w:rPr>
          <w:rFonts w:ascii="Times New Roman"/>
        </w:rPr>
        <w:t>的</w:t>
      </w:r>
      <w:r>
        <w:rPr>
          <w:rFonts w:hint="eastAsia" w:ascii="Times New Roman"/>
        </w:rPr>
        <w:t>最大范围</w:t>
      </w:r>
      <w:r>
        <w:rPr>
          <w:rFonts w:ascii="Times New Roman"/>
        </w:rPr>
        <w:t>所</w:t>
      </w:r>
      <w:r>
        <w:rPr>
          <w:rFonts w:hint="eastAsia" w:ascii="Times New Roman"/>
        </w:rPr>
        <w:t>界定</w:t>
      </w:r>
      <w:r>
        <w:rPr>
          <w:rFonts w:ascii="Times New Roman"/>
        </w:rPr>
        <w:t>的点上进行y的观测，则有四个点可以由字母</w:t>
      </w:r>
      <w:r>
        <w:rPr>
          <w:rFonts w:ascii="Times New Roman"/>
          <w:i/>
        </w:rPr>
        <w:t>a</w:t>
      </w:r>
      <w:r>
        <w:rPr>
          <w:rFonts w:ascii="Times New Roman"/>
          <w:vertAlign w:val="subscript"/>
        </w:rPr>
        <w:t>0</w:t>
      </w:r>
      <w:r>
        <w:rPr>
          <w:rFonts w:ascii="Times New Roman"/>
          <w:i/>
        </w:rPr>
        <w:t>b</w:t>
      </w:r>
      <w:r>
        <w:rPr>
          <w:rFonts w:ascii="Times New Roman"/>
          <w:vertAlign w:val="subscript"/>
        </w:rPr>
        <w:t>0</w:t>
      </w:r>
      <w:r>
        <w:rPr>
          <w:rFonts w:ascii="Times New Roman"/>
        </w:rPr>
        <w:t>、</w:t>
      </w:r>
      <w:r>
        <w:rPr>
          <w:rFonts w:ascii="Times New Roman"/>
          <w:i/>
        </w:rPr>
        <w:t>a</w:t>
      </w:r>
      <w:r>
        <w:rPr>
          <w:rFonts w:ascii="Times New Roman"/>
          <w:vertAlign w:val="subscript"/>
        </w:rPr>
        <w:t>1</w:t>
      </w:r>
      <w:r>
        <w:rPr>
          <w:rFonts w:ascii="Times New Roman"/>
          <w:i/>
        </w:rPr>
        <w:t>b</w:t>
      </w:r>
      <w:r>
        <w:rPr>
          <w:rFonts w:ascii="Times New Roman"/>
          <w:vertAlign w:val="subscript"/>
        </w:rPr>
        <w:t>0</w:t>
      </w:r>
      <w:r>
        <w:rPr>
          <w:rFonts w:ascii="Times New Roman"/>
        </w:rPr>
        <w:t>、</w:t>
      </w:r>
      <w:r>
        <w:rPr>
          <w:rFonts w:ascii="Times New Roman"/>
          <w:i/>
        </w:rPr>
        <w:t>a</w:t>
      </w:r>
      <w:r>
        <w:rPr>
          <w:rFonts w:ascii="Times New Roman"/>
          <w:vertAlign w:val="subscript"/>
        </w:rPr>
        <w:t>0</w:t>
      </w:r>
      <w:r>
        <w:rPr>
          <w:rFonts w:ascii="Times New Roman"/>
          <w:i/>
        </w:rPr>
        <w:t>b</w:t>
      </w:r>
      <w:r>
        <w:rPr>
          <w:rFonts w:ascii="Times New Roman"/>
          <w:vertAlign w:val="subscript"/>
        </w:rPr>
        <w:t>1</w:t>
      </w:r>
      <w:r>
        <w:rPr>
          <w:rFonts w:ascii="Times New Roman"/>
        </w:rPr>
        <w:t>和</w:t>
      </w:r>
      <w:r>
        <w:rPr>
          <w:rFonts w:ascii="Times New Roman"/>
          <w:i/>
        </w:rPr>
        <w:t>a</w:t>
      </w:r>
      <w:r>
        <w:rPr>
          <w:rFonts w:ascii="Times New Roman"/>
          <w:vertAlign w:val="subscript"/>
        </w:rPr>
        <w:t>1</w:t>
      </w:r>
      <w:r>
        <w:rPr>
          <w:rFonts w:ascii="Times New Roman"/>
          <w:i/>
        </w:rPr>
        <w:t>b</w:t>
      </w:r>
      <w:r>
        <w:rPr>
          <w:rFonts w:ascii="Times New Roman"/>
          <w:vertAlign w:val="subscript"/>
        </w:rPr>
        <w:t>1</w:t>
      </w:r>
      <w:r>
        <w:rPr>
          <w:rFonts w:ascii="Times New Roman"/>
        </w:rPr>
        <w:t>的组合表示。符号可以进一步缩写，以表示这四个点：</w:t>
      </w:r>
    </w:p>
    <w:p>
      <w:pPr>
        <w:pStyle w:val="23"/>
        <w:rPr>
          <w:rFonts w:ascii="Times New Roman"/>
          <w:b/>
        </w:rPr>
      </w:pPr>
      <w:r>
        <w:rPr>
          <w:rFonts w:hint="eastAsia" w:hAnsi="宋体" w:cs="宋体"/>
        </w:rPr>
        <w:t>⑴</w:t>
      </w:r>
      <w:r>
        <w:rPr>
          <w:rFonts w:ascii="Times New Roman"/>
        </w:rPr>
        <w:t>，</w:t>
      </w:r>
      <w:r>
        <w:rPr>
          <w:rFonts w:ascii="Times New Roman"/>
          <w:i/>
        </w:rPr>
        <w:t>a</w:t>
      </w:r>
      <w:r>
        <w:rPr>
          <w:rFonts w:ascii="Times New Roman"/>
        </w:rPr>
        <w:t>，</w:t>
      </w:r>
      <w:r>
        <w:rPr>
          <w:rFonts w:ascii="Times New Roman"/>
          <w:i/>
        </w:rPr>
        <w:t>b</w:t>
      </w:r>
      <w:r>
        <w:rPr>
          <w:rFonts w:ascii="Times New Roman"/>
        </w:rPr>
        <w:t>，</w:t>
      </w:r>
      <w:r>
        <w:rPr>
          <w:rFonts w:ascii="Times New Roman"/>
          <w:i/>
        </w:rPr>
        <w:t>ab</w:t>
      </w:r>
    </w:p>
    <w:p>
      <w:pPr>
        <w:pStyle w:val="23"/>
        <w:ind w:firstLine="0" w:firstLineChars="0"/>
        <w:rPr>
          <w:rFonts w:ascii="Times New Roman"/>
        </w:rPr>
      </w:pPr>
      <w:r>
        <w:rPr>
          <w:rFonts w:ascii="Times New Roman"/>
        </w:rPr>
        <w:t>其中，</w:t>
      </w:r>
    </w:p>
    <w:p>
      <w:pPr>
        <w:pStyle w:val="23"/>
        <w:rPr>
          <w:rFonts w:ascii="Times New Roman"/>
        </w:rPr>
      </w:pPr>
      <w:r>
        <w:rPr>
          <w:rFonts w:ascii="Times New Roman"/>
        </w:rPr>
        <w:t>符号</w:t>
      </w:r>
      <w:r>
        <w:rPr>
          <w:rFonts w:hint="eastAsia" w:hAnsi="宋体" w:cs="宋体"/>
        </w:rPr>
        <w:t>⑴</w:t>
      </w:r>
      <w:r>
        <w:rPr>
          <w:rFonts w:ascii="Times New Roman"/>
        </w:rPr>
        <w:t xml:space="preserve"> 表示所有因</w:t>
      </w:r>
      <w:r>
        <w:rPr>
          <w:rFonts w:hint="eastAsia" w:ascii="Times New Roman"/>
        </w:rPr>
        <w:t>素都</w:t>
      </w:r>
      <w:r>
        <w:rPr>
          <w:rFonts w:ascii="Times New Roman"/>
        </w:rPr>
        <w:t>处于其低水平的观察点(见图11b)；</w:t>
      </w:r>
    </w:p>
    <w:p>
      <w:pPr>
        <w:pStyle w:val="23"/>
        <w:rPr>
          <w:rFonts w:ascii="Times New Roman"/>
        </w:rPr>
      </w:pPr>
      <w:r>
        <w:rPr>
          <w:rFonts w:ascii="Times New Roman"/>
        </w:rPr>
        <w:t>点</w:t>
      </w:r>
      <w:r>
        <w:rPr>
          <w:rFonts w:ascii="Times New Roman"/>
          <w:i/>
        </w:rPr>
        <w:t>a</w:t>
      </w:r>
      <w:r>
        <w:rPr>
          <w:rFonts w:ascii="Times New Roman"/>
        </w:rPr>
        <w:t xml:space="preserve"> 是因</w:t>
      </w:r>
      <w:r>
        <w:rPr>
          <w:rFonts w:hint="eastAsia" w:ascii="Times New Roman"/>
        </w:rPr>
        <w:t>素</w:t>
      </w:r>
      <w:r>
        <w:rPr>
          <w:rFonts w:ascii="Times New Roman"/>
        </w:rPr>
        <w:t>A处于高水平，而因</w:t>
      </w:r>
      <w:r>
        <w:rPr>
          <w:rFonts w:hint="eastAsia" w:ascii="Times New Roman"/>
        </w:rPr>
        <w:t>素</w:t>
      </w:r>
      <w:r>
        <w:rPr>
          <w:rFonts w:ascii="Times New Roman"/>
        </w:rPr>
        <w:t>B处于低水平；</w:t>
      </w:r>
    </w:p>
    <w:p>
      <w:pPr>
        <w:pStyle w:val="23"/>
        <w:rPr>
          <w:rFonts w:ascii="Times New Roman"/>
        </w:rPr>
      </w:pPr>
      <w:r>
        <w:rPr>
          <w:rFonts w:ascii="Times New Roman"/>
        </w:rPr>
        <w:t>点</w:t>
      </w:r>
      <w:r>
        <w:rPr>
          <w:rFonts w:ascii="Times New Roman"/>
          <w:i/>
        </w:rPr>
        <w:t>ab</w:t>
      </w:r>
      <w:r>
        <w:rPr>
          <w:rFonts w:ascii="Times New Roman"/>
        </w:rPr>
        <w:t>是这两个因</w:t>
      </w:r>
      <w:r>
        <w:rPr>
          <w:rFonts w:hint="eastAsia" w:ascii="Times New Roman"/>
        </w:rPr>
        <w:t>素</w:t>
      </w:r>
      <w:r>
        <w:rPr>
          <w:rFonts w:ascii="Times New Roman"/>
        </w:rPr>
        <w:t>都处于高水平的地方。</w:t>
      </w:r>
    </w:p>
    <w:tbl>
      <w:tblPr>
        <w:tblStyle w:val="33"/>
        <w:tblW w:w="0" w:type="auto"/>
        <w:tblInd w:w="0" w:type="dxa"/>
        <w:tblLayout w:type="autofit"/>
        <w:tblCellMar>
          <w:top w:w="0" w:type="dxa"/>
          <w:left w:w="108" w:type="dxa"/>
          <w:bottom w:w="0" w:type="dxa"/>
          <w:right w:w="108" w:type="dxa"/>
        </w:tblCellMar>
      </w:tblPr>
      <w:tblGrid>
        <w:gridCol w:w="3954"/>
        <w:gridCol w:w="5616"/>
      </w:tblGrid>
      <w:tr>
        <w:tblPrEx>
          <w:tblCellMar>
            <w:top w:w="0" w:type="dxa"/>
            <w:left w:w="108" w:type="dxa"/>
            <w:bottom w:w="0" w:type="dxa"/>
            <w:right w:w="108" w:type="dxa"/>
          </w:tblCellMar>
        </w:tblPrEx>
        <w:tc>
          <w:tcPr>
            <w:tcW w:w="3954" w:type="dxa"/>
          </w:tcPr>
          <w:p>
            <w:pPr>
              <w:pStyle w:val="23"/>
              <w:ind w:firstLine="0" w:firstLineChars="0"/>
              <w:rPr>
                <w:szCs w:val="18"/>
              </w:rPr>
            </w:pPr>
          </w:p>
        </w:tc>
        <w:tc>
          <w:tcPr>
            <w:tcW w:w="5616" w:type="dxa"/>
          </w:tcPr>
          <w:p>
            <w:pPr>
              <w:pStyle w:val="23"/>
              <w:ind w:firstLine="0" w:firstLineChars="0"/>
              <w:rPr>
                <w:szCs w:val="18"/>
              </w:rPr>
            </w:pPr>
            <w:r>
              <w:rPr>
                <w:szCs w:val="18"/>
              </w:rPr>
              <w:drawing>
                <wp:inline distT="0" distB="0" distL="0" distR="0">
                  <wp:extent cx="3425825" cy="2313305"/>
                  <wp:effectExtent l="0" t="0" r="3175" b="0"/>
                  <wp:docPr id="1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425825" cy="231330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3954" w:type="dxa"/>
          </w:tcPr>
          <w:p>
            <w:pPr>
              <w:tabs>
                <w:tab w:val="left" w:pos="284"/>
                <w:tab w:val="left" w:pos="567"/>
              </w:tabs>
              <w:spacing w:line="0" w:lineRule="atLeast"/>
              <w:ind w:firstLine="360" w:firstLineChars="200"/>
              <w:rPr>
                <w:rFonts w:ascii="宋体" w:hAnsi="宋体"/>
                <w:sz w:val="18"/>
                <w:szCs w:val="18"/>
              </w:rPr>
            </w:pPr>
          </w:p>
          <w:p>
            <w:pPr>
              <w:tabs>
                <w:tab w:val="left" w:pos="284"/>
                <w:tab w:val="left" w:pos="567"/>
              </w:tabs>
              <w:spacing w:line="0" w:lineRule="atLeast"/>
              <w:ind w:firstLine="360" w:firstLineChars="200"/>
              <w:rPr>
                <w:rFonts w:ascii="宋体" w:hAnsi="宋体"/>
                <w:sz w:val="18"/>
                <w:szCs w:val="18"/>
              </w:rPr>
            </w:pPr>
          </w:p>
          <w:p>
            <w:pPr>
              <w:tabs>
                <w:tab w:val="left" w:pos="284"/>
                <w:tab w:val="left" w:pos="567"/>
              </w:tabs>
              <w:spacing w:line="0" w:lineRule="atLeast"/>
              <w:ind w:firstLine="360" w:firstLineChars="200"/>
              <w:rPr>
                <w:rFonts w:ascii="宋体" w:hAnsi="宋体"/>
                <w:sz w:val="18"/>
                <w:szCs w:val="18"/>
              </w:rPr>
            </w:pPr>
          </w:p>
          <w:p>
            <w:pPr>
              <w:tabs>
                <w:tab w:val="left" w:pos="284"/>
                <w:tab w:val="left" w:pos="567"/>
              </w:tabs>
              <w:spacing w:line="0" w:lineRule="atLeast"/>
              <w:ind w:firstLine="360" w:firstLineChars="200"/>
              <w:rPr>
                <w:rFonts w:ascii="宋体" w:hAnsi="宋体"/>
                <w:sz w:val="18"/>
                <w:szCs w:val="18"/>
              </w:rPr>
            </w:pPr>
          </w:p>
          <w:p>
            <w:pPr>
              <w:tabs>
                <w:tab w:val="left" w:pos="284"/>
                <w:tab w:val="left" w:pos="567"/>
              </w:tabs>
              <w:spacing w:line="0" w:lineRule="atLeast"/>
              <w:ind w:firstLine="360" w:firstLineChars="200"/>
              <w:rPr>
                <w:rFonts w:ascii="宋体" w:hAnsi="宋体"/>
                <w:sz w:val="18"/>
                <w:szCs w:val="18"/>
              </w:rPr>
            </w:pPr>
            <w:r>
              <w:rPr>
                <w:rFonts w:hint="eastAsia" w:ascii="宋体" w:hAnsi="宋体"/>
                <w:sz w:val="18"/>
                <w:szCs w:val="18"/>
              </w:rPr>
              <w:t>说明：</w:t>
            </w:r>
          </w:p>
          <w:p>
            <w:pPr>
              <w:tabs>
                <w:tab w:val="left" w:pos="284"/>
                <w:tab w:val="left" w:pos="567"/>
              </w:tabs>
              <w:spacing w:line="0" w:lineRule="atLeast"/>
              <w:ind w:firstLine="360" w:firstLineChars="200"/>
              <w:rPr>
                <w:rFonts w:ascii="宋体" w:hAnsi="宋体"/>
                <w:sz w:val="18"/>
                <w:szCs w:val="18"/>
              </w:rPr>
            </w:pPr>
            <w:r>
              <w:rPr>
                <w:rFonts w:hint="eastAsia" w:ascii="宋体" w:hAnsi="宋体"/>
                <w:sz w:val="18"/>
                <w:szCs w:val="18"/>
              </w:rPr>
              <w:t>X 因素A</w:t>
            </w:r>
          </w:p>
          <w:p>
            <w:pPr>
              <w:tabs>
                <w:tab w:val="left" w:pos="284"/>
                <w:tab w:val="left" w:pos="567"/>
              </w:tabs>
              <w:spacing w:line="0" w:lineRule="atLeast"/>
              <w:ind w:firstLine="360" w:firstLineChars="200"/>
              <w:rPr>
                <w:rFonts w:ascii="宋体" w:hAnsi="宋体"/>
                <w:sz w:val="18"/>
                <w:szCs w:val="18"/>
              </w:rPr>
            </w:pPr>
            <w:r>
              <w:rPr>
                <w:rFonts w:hint="eastAsia" w:ascii="宋体" w:hAnsi="宋体"/>
                <w:sz w:val="18"/>
                <w:szCs w:val="18"/>
              </w:rPr>
              <w:t>Y 因素B</w:t>
            </w:r>
          </w:p>
          <w:p>
            <w:pPr>
              <w:tabs>
                <w:tab w:val="left" w:pos="284"/>
                <w:tab w:val="left" w:pos="567"/>
              </w:tabs>
              <w:spacing w:line="0" w:lineRule="atLeast"/>
              <w:ind w:firstLine="360" w:firstLineChars="200"/>
              <w:rPr>
                <w:rFonts w:ascii="宋体" w:hAnsi="宋体"/>
                <w:sz w:val="18"/>
                <w:szCs w:val="18"/>
              </w:rPr>
            </w:pPr>
            <w:r>
              <w:rPr>
                <w:i/>
                <w:sz w:val="18"/>
              </w:rPr>
              <w:t>a</w:t>
            </w:r>
            <w:r>
              <w:rPr>
                <w:sz w:val="18"/>
                <w:vertAlign w:val="subscript"/>
              </w:rPr>
              <w:t>0</w:t>
            </w:r>
            <w:r>
              <w:rPr>
                <w:sz w:val="18"/>
              </w:rPr>
              <w:t xml:space="preserve"> </w:t>
            </w:r>
            <w:r>
              <w:rPr>
                <w:rFonts w:hint="eastAsia"/>
                <w:sz w:val="18"/>
              </w:rPr>
              <w:t>因</w:t>
            </w:r>
            <w:r>
              <w:rPr>
                <w:rFonts w:hint="eastAsia" w:ascii="宋体" w:hAnsi="宋体"/>
                <w:sz w:val="18"/>
                <w:szCs w:val="18"/>
              </w:rPr>
              <w:t>素</w:t>
            </w:r>
            <w:r>
              <w:rPr>
                <w:sz w:val="18"/>
              </w:rPr>
              <w:t>A</w:t>
            </w:r>
            <w:r>
              <w:rPr>
                <w:rFonts w:hint="eastAsia"/>
                <w:sz w:val="18"/>
              </w:rPr>
              <w:t>的低值</w:t>
            </w:r>
          </w:p>
          <w:p>
            <w:pPr>
              <w:tabs>
                <w:tab w:val="left" w:pos="284"/>
                <w:tab w:val="left" w:pos="567"/>
              </w:tabs>
              <w:spacing w:line="0" w:lineRule="atLeast"/>
              <w:ind w:firstLine="360" w:firstLineChars="200"/>
              <w:rPr>
                <w:rFonts w:ascii="宋体" w:hAnsi="宋体"/>
                <w:sz w:val="18"/>
                <w:szCs w:val="18"/>
              </w:rPr>
            </w:pPr>
            <w:r>
              <w:rPr>
                <w:i/>
                <w:sz w:val="18"/>
              </w:rPr>
              <w:t>a</w:t>
            </w:r>
            <w:r>
              <w:rPr>
                <w:sz w:val="18"/>
                <w:vertAlign w:val="subscript"/>
              </w:rPr>
              <w:t>1</w:t>
            </w:r>
            <w:r>
              <w:rPr>
                <w:sz w:val="18"/>
              </w:rPr>
              <w:t xml:space="preserve"> </w:t>
            </w:r>
            <w:r>
              <w:rPr>
                <w:rFonts w:hint="eastAsia"/>
                <w:sz w:val="18"/>
              </w:rPr>
              <w:t>因</w:t>
            </w:r>
            <w:r>
              <w:rPr>
                <w:rFonts w:hint="eastAsia" w:ascii="宋体" w:hAnsi="宋体"/>
                <w:sz w:val="18"/>
                <w:szCs w:val="18"/>
              </w:rPr>
              <w:t>素</w:t>
            </w:r>
            <w:r>
              <w:rPr>
                <w:sz w:val="18"/>
              </w:rPr>
              <w:t>A</w:t>
            </w:r>
            <w:r>
              <w:rPr>
                <w:rFonts w:hint="eastAsia"/>
                <w:sz w:val="18"/>
              </w:rPr>
              <w:t>的高值</w:t>
            </w:r>
          </w:p>
          <w:p>
            <w:pPr>
              <w:tabs>
                <w:tab w:val="left" w:pos="284"/>
                <w:tab w:val="left" w:pos="567"/>
              </w:tabs>
              <w:spacing w:line="0" w:lineRule="atLeast"/>
              <w:ind w:firstLine="360" w:firstLineChars="200"/>
              <w:rPr>
                <w:rFonts w:ascii="宋体" w:hAnsi="宋体"/>
                <w:sz w:val="18"/>
                <w:szCs w:val="18"/>
              </w:rPr>
            </w:pPr>
            <w:r>
              <w:rPr>
                <w:i/>
                <w:sz w:val="18"/>
              </w:rPr>
              <w:t>b</w:t>
            </w:r>
            <w:r>
              <w:rPr>
                <w:sz w:val="18"/>
                <w:vertAlign w:val="subscript"/>
              </w:rPr>
              <w:t>0</w:t>
            </w:r>
            <w:r>
              <w:rPr>
                <w:sz w:val="18"/>
              </w:rPr>
              <w:t xml:space="preserve"> </w:t>
            </w:r>
            <w:r>
              <w:rPr>
                <w:rFonts w:hint="eastAsia"/>
                <w:sz w:val="18"/>
              </w:rPr>
              <w:t>因</w:t>
            </w:r>
            <w:r>
              <w:rPr>
                <w:rFonts w:hint="eastAsia" w:ascii="宋体" w:hAnsi="宋体"/>
                <w:sz w:val="18"/>
                <w:szCs w:val="18"/>
              </w:rPr>
              <w:t>素</w:t>
            </w:r>
            <w:r>
              <w:rPr>
                <w:sz w:val="18"/>
              </w:rPr>
              <w:t>B</w:t>
            </w:r>
            <w:r>
              <w:rPr>
                <w:rFonts w:hint="eastAsia"/>
                <w:sz w:val="18"/>
              </w:rPr>
              <w:t>的低值</w:t>
            </w:r>
          </w:p>
          <w:p>
            <w:pPr>
              <w:tabs>
                <w:tab w:val="left" w:pos="284"/>
                <w:tab w:val="left" w:pos="567"/>
              </w:tabs>
              <w:spacing w:line="0" w:lineRule="atLeast"/>
              <w:ind w:firstLine="360" w:firstLineChars="200"/>
              <w:rPr>
                <w:rFonts w:ascii="宋体" w:hAnsi="宋体"/>
                <w:sz w:val="18"/>
                <w:szCs w:val="18"/>
              </w:rPr>
            </w:pPr>
            <w:r>
              <w:rPr>
                <w:i/>
                <w:sz w:val="18"/>
              </w:rPr>
              <w:t>b</w:t>
            </w:r>
            <w:r>
              <w:rPr>
                <w:sz w:val="18"/>
                <w:vertAlign w:val="subscript"/>
              </w:rPr>
              <w:t>1</w:t>
            </w:r>
            <w:r>
              <w:rPr>
                <w:sz w:val="18"/>
              </w:rPr>
              <w:t xml:space="preserve"> </w:t>
            </w:r>
            <w:r>
              <w:rPr>
                <w:rFonts w:hint="eastAsia"/>
                <w:sz w:val="18"/>
              </w:rPr>
              <w:t>因</w:t>
            </w:r>
            <w:r>
              <w:rPr>
                <w:rFonts w:hint="eastAsia" w:ascii="宋体" w:hAnsi="宋体"/>
                <w:sz w:val="18"/>
                <w:szCs w:val="18"/>
              </w:rPr>
              <w:t>素</w:t>
            </w:r>
            <w:r>
              <w:rPr>
                <w:sz w:val="18"/>
              </w:rPr>
              <w:t>B</w:t>
            </w:r>
            <w:r>
              <w:rPr>
                <w:rFonts w:hint="eastAsia"/>
                <w:sz w:val="18"/>
              </w:rPr>
              <w:t>的高值</w:t>
            </w:r>
          </w:p>
          <w:p>
            <w:pPr>
              <w:tabs>
                <w:tab w:val="left" w:pos="284"/>
                <w:tab w:val="left" w:pos="567"/>
              </w:tabs>
              <w:spacing w:line="0" w:lineRule="atLeast"/>
              <w:ind w:firstLine="360" w:firstLineChars="200"/>
              <w:rPr>
                <w:rFonts w:ascii="宋体" w:hAnsi="宋体"/>
                <w:sz w:val="18"/>
                <w:szCs w:val="18"/>
              </w:rPr>
            </w:pPr>
          </w:p>
          <w:p>
            <w:pPr>
              <w:tabs>
                <w:tab w:val="left" w:pos="284"/>
                <w:tab w:val="left" w:pos="567"/>
              </w:tabs>
              <w:spacing w:before="156" w:beforeLines="50" w:after="156" w:afterLines="50" w:line="0" w:lineRule="atLeast"/>
              <w:ind w:firstLine="360" w:firstLineChars="200"/>
              <w:rPr>
                <w:rFonts w:ascii="宋体"/>
                <w:sz w:val="18"/>
              </w:rPr>
            </w:pPr>
            <w:r>
              <w:rPr>
                <w:rFonts w:hint="eastAsia" w:ascii="宋体" w:hAnsi="宋体"/>
                <w:sz w:val="18"/>
              </w:rPr>
              <w:t>注：下方的图使用了简化的(缩写)符号。</w:t>
            </w:r>
          </w:p>
        </w:tc>
        <w:tc>
          <w:tcPr>
            <w:tcW w:w="5616" w:type="dxa"/>
          </w:tcPr>
          <w:p>
            <w:pPr>
              <w:pStyle w:val="23"/>
              <w:ind w:firstLine="0" w:firstLineChars="0"/>
              <w:rPr>
                <w:szCs w:val="18"/>
              </w:rPr>
            </w:pPr>
            <w:r>
              <w:rPr>
                <w:szCs w:val="18"/>
              </w:rPr>
              <w:drawing>
                <wp:inline distT="0" distB="0" distL="0" distR="0">
                  <wp:extent cx="3404870" cy="2313305"/>
                  <wp:effectExtent l="0" t="0" r="5080" b="0"/>
                  <wp:docPr id="1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404870" cy="2313305"/>
                          </a:xfrm>
                          <a:prstGeom prst="rect">
                            <a:avLst/>
                          </a:prstGeom>
                          <a:noFill/>
                          <a:ln>
                            <a:noFill/>
                          </a:ln>
                        </pic:spPr>
                      </pic:pic>
                    </a:graphicData>
                  </a:graphic>
                </wp:inline>
              </w:drawing>
            </w:r>
          </w:p>
        </w:tc>
      </w:tr>
    </w:tbl>
    <w:p>
      <w:pPr>
        <w:pStyle w:val="129"/>
      </w:pPr>
      <w:r>
        <w:rPr>
          <w:rFonts w:hint="eastAsia" w:hAnsi="黑体"/>
        </w:rPr>
        <w:t>两水平双因素实验设计</w:t>
      </w:r>
    </w:p>
    <w:p>
      <w:pPr>
        <w:pStyle w:val="23"/>
      </w:pPr>
      <w:r>
        <w:rPr>
          <w:rFonts w:hint="eastAsia"/>
        </w:rPr>
        <w:t>规则是，因素的高水平和低水平分别由小写字母的存在或不存在来表示。</w:t>
      </w:r>
    </w:p>
    <w:p>
      <w:pPr>
        <w:pStyle w:val="23"/>
      </w:pPr>
      <w:r>
        <w:rPr>
          <w:rFonts w:hint="eastAsia"/>
        </w:rPr>
        <w:t>分析几乎和单因素情况一样简单，可以得出以下结论：</w:t>
      </w:r>
    </w:p>
    <w:p>
      <w:pPr>
        <w:pStyle w:val="59"/>
        <w:numPr>
          <w:ilvl w:val="0"/>
          <w:numId w:val="56"/>
        </w:numPr>
      </w:pPr>
      <w:r>
        <w:rPr>
          <w:rFonts w:hint="eastAsia"/>
        </w:rPr>
        <w:t>使用小写字母的组合来表示在对应点观察到的y值，因子A的平均影响为式（84）：</w:t>
      </w:r>
    </w:p>
    <w:p>
      <w:pPr>
        <w:pStyle w:val="23"/>
        <w:ind w:firstLine="840" w:firstLineChars="400"/>
      </w:pPr>
      <m:oMath>
        <m:r>
          <m:rPr/>
          <w:rPr>
            <w:rFonts w:ascii="Cambria Math" w:hAnsi="Cambria Math"/>
          </w:rPr>
          <m:t>A</m:t>
        </m:r>
        <m:r>
          <m:rPr>
            <m:sty m:val="p"/>
          </m:rPr>
          <w:rPr>
            <w:rFonts w:ascii="Cambria Math" w:hAnsi="Cambria Math"/>
          </w:rPr>
          <m:t>=</m:t>
        </m:r>
        <m:f>
          <m:fPr>
            <m:ctrlPr>
              <w:rPr>
                <w:rFonts w:ascii="Cambria Math" w:hAnsi="Cambria Math"/>
                <w:szCs w:val="22"/>
              </w:rPr>
            </m:ctrlPr>
          </m:fPr>
          <m:num>
            <m:r>
              <m:rPr/>
              <w:rPr>
                <w:rFonts w:ascii="Cambria Math" w:hAnsi="Cambria Math"/>
              </w:rPr>
              <m:t>a+ab</m:t>
            </m:r>
            <m:ctrlPr>
              <w:rPr>
                <w:rFonts w:ascii="Cambria Math" w:hAnsi="Cambria Math"/>
                <w:szCs w:val="22"/>
              </w:rPr>
            </m:ctrlPr>
          </m:num>
          <m:den>
            <m:r>
              <m:rPr/>
              <w:rPr>
                <w:rFonts w:ascii="Cambria Math" w:hAnsi="Cambria Math"/>
              </w:rPr>
              <m:t>2</m:t>
            </m:r>
            <m:ctrlPr>
              <w:rPr>
                <w:rFonts w:ascii="Cambria Math" w:hAnsi="Cambria Math"/>
                <w:szCs w:val="22"/>
              </w:rPr>
            </m:ctrlPr>
          </m:den>
        </m:f>
        <m:r>
          <m:rPr/>
          <w:rPr>
            <w:rFonts w:ascii="Cambria Math" w:hAnsi="Cambria Math"/>
          </w:rPr>
          <m:t>−</m:t>
        </m:r>
        <m:f>
          <m:fPr>
            <m:ctrlPr>
              <w:rPr>
                <w:rFonts w:ascii="Cambria Math" w:hAnsi="Cambria Math"/>
                <w:i/>
                <w:szCs w:val="22"/>
              </w:rPr>
            </m:ctrlPr>
          </m:fPr>
          <m:num>
            <m:d>
              <m:dPr>
                <m:ctrlPr>
                  <w:rPr>
                    <w:rFonts w:ascii="Cambria Math" w:hAnsi="Cambria Math"/>
                    <w:i/>
                    <w:szCs w:val="22"/>
                  </w:rPr>
                </m:ctrlPr>
              </m:dPr>
              <m:e>
                <m:r>
                  <m:rPr/>
                  <w:rPr>
                    <w:rFonts w:ascii="Cambria Math" w:hAnsi="Cambria Math"/>
                  </w:rPr>
                  <m:t>1</m:t>
                </m:r>
                <m:ctrlPr>
                  <w:rPr>
                    <w:rFonts w:ascii="Cambria Math" w:hAnsi="Cambria Math"/>
                    <w:i/>
                    <w:szCs w:val="22"/>
                  </w:rPr>
                </m:ctrlPr>
              </m:e>
            </m:d>
            <m:r>
              <m:rPr/>
              <w:rPr>
                <w:rFonts w:ascii="Cambria Math" w:hAnsi="Cambria Math"/>
              </w:rPr>
              <m:t>+b</m:t>
            </m:r>
            <m:ctrlPr>
              <w:rPr>
                <w:rFonts w:ascii="Cambria Math" w:hAnsi="Cambria Math"/>
                <w:i/>
                <w:szCs w:val="22"/>
              </w:rPr>
            </m:ctrlPr>
          </m:num>
          <m:den>
            <m:r>
              <m:rPr/>
              <w:rPr>
                <w:rFonts w:ascii="Cambria Math" w:hAnsi="Cambria Math"/>
              </w:rPr>
              <m:t>2</m:t>
            </m:r>
            <m:ctrlPr>
              <w:rPr>
                <w:rFonts w:ascii="Cambria Math" w:hAnsi="Cambria Math"/>
                <w:i/>
                <w:szCs w:val="22"/>
              </w:rPr>
            </m:ctrlPr>
          </m:den>
        </m:f>
      </m:oMath>
      <w:r>
        <w:rPr>
          <w:rFonts w:hint="eastAsia"/>
        </w:rPr>
        <w:t xml:space="preserve">                                                              (84)</w:t>
      </w:r>
    </w:p>
    <w:p>
      <w:pPr>
        <w:pStyle w:val="23"/>
      </w:pPr>
      <w:r>
        <w:rPr>
          <w:rFonts w:hint="eastAsia"/>
        </w:rPr>
        <w:t>也就是说，</w:t>
      </w:r>
      <w:r>
        <w:t>A</w:t>
      </w:r>
      <w:r>
        <w:rPr>
          <w:rFonts w:hint="eastAsia"/>
        </w:rPr>
        <w:t>的影响是在</w:t>
      </w:r>
      <w:r>
        <w:t>A</w:t>
      </w:r>
      <w:r>
        <w:rPr>
          <w:rFonts w:hint="eastAsia"/>
        </w:rPr>
        <w:t>处于其高水平的所有点观察到的</w:t>
      </w:r>
      <w:r>
        <w:rPr>
          <w:i/>
        </w:rPr>
        <w:t>y</w:t>
      </w:r>
      <w:r>
        <w:rPr>
          <w:rFonts w:hint="eastAsia"/>
        </w:rPr>
        <w:t>的平均值与在</w:t>
      </w:r>
      <w:r>
        <w:t>A</w:t>
      </w:r>
      <w:r>
        <w:rPr>
          <w:rFonts w:hint="eastAsia"/>
        </w:rPr>
        <w:t>处于其低水平的所有点观察到的</w:t>
      </w:r>
      <w:r>
        <w:rPr>
          <w:i/>
        </w:rPr>
        <w:t>y</w:t>
      </w:r>
      <w:r>
        <w:rPr>
          <w:rFonts w:hint="eastAsia"/>
        </w:rPr>
        <w:t>的平均值之间的差。</w:t>
      </w:r>
    </w:p>
    <w:p>
      <w:pPr>
        <w:pStyle w:val="59"/>
      </w:pPr>
      <w:r>
        <w:rPr>
          <w:rFonts w:hint="eastAsia"/>
        </w:rPr>
        <w:t>B的影响的计算方式与A的相似，并由式（85）给出：</w:t>
      </w:r>
    </w:p>
    <w:p>
      <w:pPr>
        <w:pStyle w:val="23"/>
        <w:ind w:firstLine="735" w:firstLineChars="350"/>
      </w:pPr>
      <m:oMath>
        <m:r>
          <m:rPr/>
          <w:rPr>
            <w:rFonts w:ascii="Cambria Math" w:hAnsi="Cambria Math"/>
          </w:rPr>
          <m:t>B</m:t>
        </m:r>
        <m:r>
          <m:rPr>
            <m:sty m:val="p"/>
          </m:rPr>
          <w:rPr>
            <w:rFonts w:ascii="Cambria Math" w:hAnsi="Cambria Math"/>
          </w:rPr>
          <m:t>=</m:t>
        </m:r>
        <m:f>
          <m:fPr>
            <m:ctrlPr>
              <w:rPr>
                <w:rFonts w:ascii="Cambria Math" w:hAnsi="Cambria Math"/>
                <w:szCs w:val="22"/>
              </w:rPr>
            </m:ctrlPr>
          </m:fPr>
          <m:num>
            <m:r>
              <m:rPr/>
              <w:rPr>
                <w:rFonts w:ascii="Cambria Math" w:hAnsi="Cambria Math"/>
              </w:rPr>
              <m:t>b+ab</m:t>
            </m:r>
            <m:ctrlPr>
              <w:rPr>
                <w:rFonts w:ascii="Cambria Math" w:hAnsi="Cambria Math"/>
                <w:szCs w:val="22"/>
              </w:rPr>
            </m:ctrlPr>
          </m:num>
          <m:den>
            <m:r>
              <m:rPr/>
              <w:rPr>
                <w:rFonts w:ascii="Cambria Math" w:hAnsi="Cambria Math"/>
              </w:rPr>
              <m:t>2</m:t>
            </m:r>
            <m:ctrlPr>
              <w:rPr>
                <w:rFonts w:ascii="Cambria Math" w:hAnsi="Cambria Math"/>
                <w:szCs w:val="22"/>
              </w:rPr>
            </m:ctrlPr>
          </m:den>
        </m:f>
        <m:r>
          <m:rPr/>
          <w:rPr>
            <w:rFonts w:ascii="Cambria Math" w:hAnsi="Cambria Math"/>
          </w:rPr>
          <m:t>−</m:t>
        </m:r>
        <m:f>
          <m:fPr>
            <m:ctrlPr>
              <w:rPr>
                <w:rFonts w:ascii="Cambria Math" w:hAnsi="Cambria Math"/>
                <w:i/>
                <w:szCs w:val="22"/>
              </w:rPr>
            </m:ctrlPr>
          </m:fPr>
          <m:num>
            <m:d>
              <m:dPr>
                <m:ctrlPr>
                  <w:rPr>
                    <w:rFonts w:ascii="Cambria Math" w:hAnsi="Cambria Math"/>
                    <w:i/>
                    <w:szCs w:val="22"/>
                  </w:rPr>
                </m:ctrlPr>
              </m:dPr>
              <m:e>
                <m:r>
                  <m:rPr/>
                  <w:rPr>
                    <w:rFonts w:ascii="Cambria Math" w:hAnsi="Cambria Math"/>
                  </w:rPr>
                  <m:t>1</m:t>
                </m:r>
                <m:ctrlPr>
                  <w:rPr>
                    <w:rFonts w:ascii="Cambria Math" w:hAnsi="Cambria Math"/>
                    <w:i/>
                    <w:szCs w:val="22"/>
                  </w:rPr>
                </m:ctrlPr>
              </m:e>
            </m:d>
            <m:r>
              <m:rPr/>
              <w:rPr>
                <w:rFonts w:ascii="Cambria Math" w:hAnsi="Cambria Math"/>
              </w:rPr>
              <m:t>+a</m:t>
            </m:r>
            <m:ctrlPr>
              <w:rPr>
                <w:rFonts w:ascii="Cambria Math" w:hAnsi="Cambria Math"/>
                <w:i/>
                <w:szCs w:val="22"/>
              </w:rPr>
            </m:ctrlPr>
          </m:num>
          <m:den>
            <m:r>
              <m:rPr/>
              <w:rPr>
                <w:rFonts w:ascii="Cambria Math" w:hAnsi="Cambria Math"/>
              </w:rPr>
              <m:t>2</m:t>
            </m:r>
            <m:ctrlPr>
              <w:rPr>
                <w:rFonts w:ascii="Cambria Math" w:hAnsi="Cambria Math"/>
                <w:i/>
                <w:szCs w:val="22"/>
              </w:rPr>
            </m:ctrlPr>
          </m:den>
        </m:f>
      </m:oMath>
      <w:r>
        <w:rPr>
          <w:rFonts w:hint="eastAsia"/>
        </w:rPr>
        <w:t xml:space="preserve">                                                               (85)</w:t>
      </w:r>
    </w:p>
    <w:p>
      <w:pPr>
        <w:pStyle w:val="59"/>
      </w:pPr>
      <w:r>
        <w:rPr>
          <w:rFonts w:hint="eastAsia"/>
        </w:rPr>
        <w:t>因素</w:t>
      </w:r>
      <w:r>
        <w:t>A</w:t>
      </w:r>
      <w:r>
        <w:rPr>
          <w:rFonts w:hint="eastAsia"/>
        </w:rPr>
        <w:t>和</w:t>
      </w:r>
      <w:r>
        <w:t>B</w:t>
      </w:r>
      <w:r>
        <w:rPr>
          <w:rFonts w:hint="eastAsia"/>
        </w:rPr>
        <w:t>的相互作用可以定义为</w:t>
      </w:r>
      <w:r>
        <w:t>A</w:t>
      </w:r>
      <w:r>
        <w:rPr>
          <w:rFonts w:hint="eastAsia"/>
        </w:rPr>
        <w:t>在</w:t>
      </w:r>
      <w:r>
        <w:t>B</w:t>
      </w:r>
      <w:r>
        <w:rPr>
          <w:rFonts w:hint="eastAsia"/>
        </w:rPr>
        <w:t>的高水平上的影响与</w:t>
      </w:r>
      <w:r>
        <w:t>A</w:t>
      </w:r>
      <w:r>
        <w:rPr>
          <w:rFonts w:hint="eastAsia"/>
        </w:rPr>
        <w:t>在</w:t>
      </w:r>
      <w:r>
        <w:t>B</w:t>
      </w:r>
      <w:r>
        <w:rPr>
          <w:rFonts w:hint="eastAsia"/>
        </w:rPr>
        <w:t>的低水平上的影响之差，用</w:t>
      </w:r>
      <w:r>
        <w:t>AB</w:t>
      </w:r>
      <w:r>
        <w:rPr>
          <w:rFonts w:hint="eastAsia"/>
        </w:rPr>
        <w:t>表示。因此有式（86）：</w:t>
      </w:r>
    </w:p>
    <w:p>
      <w:pPr>
        <w:pStyle w:val="23"/>
        <w:ind w:firstLine="840" w:firstLineChars="400"/>
      </w:pPr>
      <m:oMath>
        <m:r>
          <m:rPr/>
          <w:rPr>
            <w:rFonts w:ascii="Cambria Math" w:hAnsi="Cambria Math"/>
          </w:rPr>
          <m:t>AB</m:t>
        </m:r>
        <m:r>
          <m:rPr>
            <m:sty m:val="p"/>
          </m:rPr>
          <w:rPr>
            <w:rFonts w:ascii="Cambria Math" w:hAnsi="Cambria Math"/>
          </w:rPr>
          <m:t>=</m:t>
        </m:r>
        <m:d>
          <m:dPr>
            <m:ctrlPr>
              <w:rPr>
                <w:rFonts w:ascii="Cambria Math" w:hAnsi="Cambria Math"/>
                <w:szCs w:val="22"/>
              </w:rPr>
            </m:ctrlPr>
          </m:dPr>
          <m:e>
            <m:r>
              <m:rPr/>
              <w:rPr>
                <w:rFonts w:ascii="Cambria Math" w:hAnsi="Cambria Math"/>
              </w:rPr>
              <m:t>ab</m:t>
            </m:r>
            <m:r>
              <m:rPr>
                <m:sty m:val="p"/>
              </m:rPr>
              <w:rPr>
                <w:rFonts w:ascii="Cambria Math" w:hAnsi="Cambria Math"/>
              </w:rPr>
              <m:t>−</m:t>
            </m:r>
            <m:r>
              <m:rPr/>
              <w:rPr>
                <w:rFonts w:ascii="Cambria Math" w:hAnsi="Cambria Math"/>
              </w:rPr>
              <m:t>b</m:t>
            </m:r>
            <m:ctrlPr>
              <w:rPr>
                <w:rFonts w:ascii="Cambria Math" w:hAnsi="Cambria Math"/>
                <w:szCs w:val="22"/>
              </w:rPr>
            </m:ctrlPr>
          </m:e>
        </m:d>
        <m:r>
          <m:rPr>
            <m:sty m:val="p"/>
          </m:rPr>
          <w:rPr>
            <w:rFonts w:ascii="Cambria Math" w:hAnsi="Cambria Math"/>
          </w:rPr>
          <m:t>−[</m:t>
        </m:r>
        <m:r>
          <m:rPr/>
          <w:rPr>
            <w:rFonts w:ascii="Cambria Math" w:hAnsi="Cambria Math"/>
          </w:rPr>
          <m:t>a</m:t>
        </m:r>
        <m:r>
          <m:rPr>
            <m:sty m:val="p"/>
          </m:rPr>
          <w:rPr>
            <w:rFonts w:ascii="Cambria Math" w:hAnsi="Cambria Math"/>
          </w:rPr>
          <m:t>−</m:t>
        </m:r>
        <m:d>
          <m:dPr>
            <m:ctrlPr>
              <w:rPr>
                <w:rFonts w:ascii="Cambria Math" w:hAnsi="Cambria Math"/>
                <w:szCs w:val="22"/>
              </w:rPr>
            </m:ctrlPr>
          </m:dPr>
          <m:e>
            <m:r>
              <m:rPr>
                <m:sty m:val="p"/>
              </m:rPr>
              <w:rPr>
                <w:rFonts w:ascii="Cambria Math" w:hAnsi="Cambria Math"/>
              </w:rPr>
              <m:t>1</m:t>
            </m:r>
            <m:ctrlPr>
              <w:rPr>
                <w:rFonts w:ascii="Cambria Math" w:hAnsi="Cambria Math"/>
                <w:szCs w:val="22"/>
              </w:rPr>
            </m:ctrlPr>
          </m:e>
        </m:d>
        <m:r>
          <m:rPr>
            <m:sty m:val="p"/>
          </m:rPr>
          <w:rPr>
            <w:rFonts w:ascii="Cambria Math" w:hAnsi="Cambria Math"/>
          </w:rPr>
          <m:t>]</m:t>
        </m:r>
      </m:oMath>
      <w:r>
        <w:t xml:space="preserve">                       </w:t>
      </w:r>
      <w:r>
        <w:rPr>
          <w:rFonts w:hint="eastAsia"/>
        </w:rPr>
        <w:t xml:space="preserve">              </w:t>
      </w:r>
      <w:r>
        <w:t xml:space="preserve">                 (86)</w:t>
      </w:r>
    </w:p>
    <w:p>
      <w:pPr>
        <w:pStyle w:val="23"/>
      </w:pPr>
      <w:r>
        <w:rPr>
          <w:rFonts w:hint="eastAsia"/>
        </w:rPr>
        <w:t>这完全等同于：B在A的高水平上的影响与B在A的低水平上的影响之差。</w:t>
      </w:r>
    </w:p>
    <w:p>
      <w:pPr>
        <w:pStyle w:val="23"/>
      </w:pPr>
      <w:r>
        <w:rPr>
          <w:rFonts w:hint="eastAsia"/>
        </w:rPr>
        <w:t>这些影响的估计相当于拟合代数模型式（87）：</w:t>
      </w:r>
    </w:p>
    <w:p>
      <w:pPr>
        <w:pStyle w:val="23"/>
        <w:ind w:firstLine="840" w:firstLineChars="400"/>
      </w:pPr>
      <m:oMath>
        <m:r>
          <m:rPr>
            <m:sty m:val="p"/>
          </m:rPr>
          <w:rPr>
            <w:rFonts w:ascii="Cambria Math" w:hAnsi="Cambria Math"/>
          </w:rPr>
          <m:t>y=</m:t>
        </m:r>
        <m:sSub>
          <m:sSubPr>
            <m:ctrlPr>
              <w:rPr>
                <w:rFonts w:ascii="Cambria Math" w:hAnsi="Cambria Math"/>
                <w:szCs w:val="22"/>
              </w:rPr>
            </m:ctrlPr>
          </m:sSubPr>
          <m:e>
            <m:r>
              <m:rPr/>
              <w:rPr>
                <w:rFonts w:ascii="Cambria Math" w:hAnsi="Cambria Math"/>
              </w:rPr>
              <m:t>a</m:t>
            </m:r>
            <m:ctrlPr>
              <w:rPr>
                <w:rFonts w:ascii="Cambria Math" w:hAnsi="Cambria Math"/>
                <w:szCs w:val="22"/>
              </w:rPr>
            </m:ctrlPr>
          </m:e>
          <m:sub>
            <m:r>
              <m:rPr/>
              <w:rPr>
                <w:rFonts w:ascii="Cambria Math" w:hAnsi="Cambria Math"/>
              </w:rPr>
              <m:t>0</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a</m:t>
            </m:r>
            <m:ctrlPr>
              <w:rPr>
                <w:rFonts w:ascii="Cambria Math" w:hAnsi="Cambria Math"/>
                <w:i/>
                <w:szCs w:val="22"/>
              </w:rPr>
            </m:ctrlPr>
          </m:e>
          <m:sub>
            <m:r>
              <m:rPr/>
              <w:rPr>
                <w:rFonts w:ascii="Cambria Math" w:hAnsi="Cambria Math"/>
              </w:rPr>
              <m:t>1</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a</m:t>
            </m:r>
            <m:ctrlPr>
              <w:rPr>
                <w:rFonts w:ascii="Cambria Math" w:hAnsi="Cambria Math"/>
                <w:i/>
                <w:szCs w:val="22"/>
              </w:rPr>
            </m:ctrlPr>
          </m:e>
          <m:sub>
            <m:r>
              <m:rPr/>
              <w:rPr>
                <w:rFonts w:ascii="Cambria Math" w:hAnsi="Cambria Math"/>
              </w:rPr>
              <m:t>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a</m:t>
            </m:r>
            <m:ctrlPr>
              <w:rPr>
                <w:rFonts w:ascii="Cambria Math" w:hAnsi="Cambria Math"/>
                <w:i/>
                <w:szCs w:val="22"/>
              </w:rPr>
            </m:ctrlPr>
          </m:e>
          <m:sub>
            <m:r>
              <m:rPr/>
              <w:rPr>
                <w:rFonts w:ascii="Cambria Math" w:hAnsi="Cambria Math"/>
              </w:rPr>
              <m:t>12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m:t>
            </m:r>
            <m:ctrlPr>
              <w:rPr>
                <w:rFonts w:ascii="Cambria Math" w:hAnsi="Cambria Math"/>
                <w:i/>
                <w:szCs w:val="22"/>
              </w:rPr>
            </m:ctrlPr>
          </m:sub>
        </m:sSub>
      </m:oMath>
      <w:r>
        <w:rPr>
          <w:rFonts w:hint="eastAsia"/>
        </w:rPr>
        <w:t xml:space="preserve">                                                 (87)</w:t>
      </w:r>
    </w:p>
    <w:p>
      <w:pPr>
        <w:pStyle w:val="23"/>
        <w:rPr>
          <w:rFonts w:ascii="Times New Roman"/>
        </w:rPr>
      </w:pPr>
      <w:r>
        <w:rPr>
          <w:rFonts w:ascii="Times New Roman"/>
        </w:rPr>
        <w:t>式中，</w:t>
      </w:r>
      <w:r>
        <w:rPr>
          <w:rFonts w:ascii="Times New Roman"/>
          <w:i/>
        </w:rPr>
        <w:t>y</w:t>
      </w:r>
      <w:r>
        <w:rPr>
          <w:rFonts w:ascii="Times New Roman"/>
        </w:rPr>
        <w:t>是响应变量，</w:t>
      </w:r>
      <w:r>
        <w:rPr>
          <w:rFonts w:ascii="Times New Roman"/>
          <w:i/>
        </w:rPr>
        <w:t>x</w:t>
      </w:r>
      <w:r>
        <w:rPr>
          <w:rFonts w:ascii="Times New Roman"/>
          <w:vertAlign w:val="subscript"/>
        </w:rPr>
        <w:t>1</w:t>
      </w:r>
      <w:r>
        <w:rPr>
          <w:rFonts w:ascii="Times New Roman"/>
        </w:rPr>
        <w:t>和</w:t>
      </w:r>
      <w:r>
        <w:rPr>
          <w:rFonts w:ascii="Times New Roman"/>
          <w:i/>
        </w:rPr>
        <w:t>x</w:t>
      </w:r>
      <w:r>
        <w:rPr>
          <w:rFonts w:ascii="Times New Roman"/>
          <w:vertAlign w:val="subscript"/>
        </w:rPr>
        <w:t>2</w:t>
      </w:r>
      <w:r>
        <w:rPr>
          <w:rFonts w:ascii="Times New Roman"/>
        </w:rPr>
        <w:t>是两个控制变量，</w:t>
      </w:r>
      <w:r>
        <w:rPr>
          <w:rFonts w:ascii="Times New Roman"/>
          <w:i/>
        </w:rPr>
        <w:t>a</w:t>
      </w:r>
      <w:r>
        <w:rPr>
          <w:rFonts w:ascii="Times New Roman"/>
          <w:vertAlign w:val="subscript"/>
        </w:rPr>
        <w:t>0</w:t>
      </w:r>
      <w:r>
        <w:rPr>
          <w:rFonts w:ascii="Times New Roman"/>
        </w:rPr>
        <w:t>、</w:t>
      </w:r>
      <w:r>
        <w:rPr>
          <w:rFonts w:ascii="Times New Roman"/>
          <w:i/>
        </w:rPr>
        <w:t>a</w:t>
      </w:r>
      <w:r>
        <w:rPr>
          <w:rFonts w:ascii="Times New Roman"/>
          <w:vertAlign w:val="subscript"/>
        </w:rPr>
        <w:t>1</w:t>
      </w:r>
      <w:r>
        <w:rPr>
          <w:rFonts w:ascii="Times New Roman"/>
        </w:rPr>
        <w:t>、</w:t>
      </w:r>
      <w:r>
        <w:rPr>
          <w:rFonts w:ascii="Times New Roman"/>
          <w:i/>
        </w:rPr>
        <w:t>a</w:t>
      </w:r>
      <w:r>
        <w:rPr>
          <w:rFonts w:ascii="Times New Roman"/>
          <w:vertAlign w:val="subscript"/>
        </w:rPr>
        <w:t>2</w:t>
      </w:r>
      <w:r>
        <w:rPr>
          <w:rFonts w:ascii="Times New Roman"/>
        </w:rPr>
        <w:t>和</w:t>
      </w:r>
      <w:r>
        <w:rPr>
          <w:rFonts w:ascii="Times New Roman"/>
          <w:i/>
        </w:rPr>
        <w:t>a</w:t>
      </w:r>
      <w:r>
        <w:rPr>
          <w:rFonts w:ascii="Times New Roman"/>
          <w:vertAlign w:val="subscript"/>
        </w:rPr>
        <w:t>12</w:t>
      </w:r>
      <w:r>
        <w:rPr>
          <w:rFonts w:ascii="Times New Roman"/>
        </w:rPr>
        <w:t>是代数系数。[这些不要与公式（82）至（86）中表示变量的</w:t>
      </w:r>
      <w:r>
        <w:rPr>
          <w:rFonts w:ascii="Times New Roman"/>
          <w:i/>
        </w:rPr>
        <w:t>a</w:t>
      </w:r>
      <w:r>
        <w:rPr>
          <w:rFonts w:ascii="Times New Roman"/>
        </w:rPr>
        <w:t>弄混了。]</w:t>
      </w:r>
    </w:p>
    <w:p>
      <w:pPr>
        <w:pStyle w:val="23"/>
      </w:pPr>
      <w:r>
        <w:rPr>
          <w:rFonts w:ascii="Times New Roman"/>
        </w:rPr>
        <w:t>最小二乘回归分析(第11章)被广泛用</w:t>
      </w:r>
      <w:r>
        <w:rPr>
          <w:rFonts w:hint="eastAsia"/>
        </w:rPr>
        <w:t>于这些和将要描述的其他实验的分析。计算机软件可用于该分析，该分析包括对诸如公式(87)中的系数的估计和检验。</w:t>
      </w:r>
    </w:p>
    <w:p>
      <w:pPr>
        <w:pStyle w:val="55"/>
        <w:spacing w:before="156" w:after="156"/>
        <w:ind w:left="0"/>
      </w:pPr>
      <w:r>
        <w:rPr>
          <w:rFonts w:hint="eastAsia"/>
        </w:rPr>
        <w:t>两水平部分因素实验设计</w:t>
      </w:r>
    </w:p>
    <w:p>
      <w:pPr>
        <w:pStyle w:val="23"/>
        <w:rPr>
          <w:rFonts w:ascii="Times New Roman"/>
        </w:rPr>
      </w:pPr>
      <w:r>
        <w:rPr>
          <w:rFonts w:ascii="Times New Roman"/>
        </w:rPr>
        <w:t>这些设计和分析两水平因素</w:t>
      </w:r>
      <w:r>
        <w:rPr>
          <w:rFonts w:ascii="Times New Roman" w:hAnsi="Arial"/>
          <w:color w:val="333333"/>
          <w:szCs w:val="21"/>
          <w:shd w:val="clear" w:color="auto" w:fill="F7F8FA"/>
        </w:rPr>
        <w:t>实验</w:t>
      </w:r>
      <w:r>
        <w:rPr>
          <w:rFonts w:ascii="Times New Roman"/>
        </w:rPr>
        <w:t>的原则可以推广到涉及任何数量因</w:t>
      </w:r>
      <w:r>
        <w:rPr>
          <w:rFonts w:hint="eastAsia" w:ascii="Times New Roman"/>
        </w:rPr>
        <w:t>素</w:t>
      </w:r>
      <w:r>
        <w:rPr>
          <w:rFonts w:ascii="Times New Roman"/>
        </w:rPr>
        <w:t>的实验。</w:t>
      </w:r>
    </w:p>
    <w:p>
      <w:pPr>
        <w:pStyle w:val="23"/>
        <w:rPr>
          <w:rFonts w:ascii="Times New Roman"/>
        </w:rPr>
      </w:pPr>
      <w:r>
        <w:rPr>
          <w:rFonts w:ascii="Times New Roman"/>
        </w:rPr>
        <w:t>有关三因</w:t>
      </w:r>
      <w:r>
        <w:rPr>
          <w:rFonts w:hint="eastAsia" w:ascii="Times New Roman"/>
        </w:rPr>
        <w:t>素</w:t>
      </w:r>
      <w:r>
        <w:rPr>
          <w:rFonts w:ascii="Times New Roman"/>
        </w:rPr>
        <w:t>情况的说明，请参见图12。然而，在这样的实验中，观察的数量随着因</w:t>
      </w:r>
      <w:r>
        <w:rPr>
          <w:rFonts w:hint="eastAsia" w:ascii="Times New Roman"/>
        </w:rPr>
        <w:t>素</w:t>
      </w:r>
      <w:r>
        <w:rPr>
          <w:rFonts w:ascii="Times New Roman"/>
        </w:rPr>
        <w:t>的数量呈指数增长。如果有</w:t>
      </w:r>
      <w:r>
        <w:rPr>
          <w:rFonts w:ascii="Times New Roman"/>
          <w:i/>
        </w:rPr>
        <w:t>n</w:t>
      </w:r>
      <w:r>
        <w:rPr>
          <w:rFonts w:ascii="Times New Roman"/>
        </w:rPr>
        <w:t>个因</w:t>
      </w:r>
      <w:r>
        <w:rPr>
          <w:rFonts w:hint="eastAsia" w:ascii="Times New Roman"/>
        </w:rPr>
        <w:t>素</w:t>
      </w:r>
      <w:r>
        <w:rPr>
          <w:rFonts w:ascii="Times New Roman"/>
        </w:rPr>
        <w:t>，实验中需要的试样的数量与2</w:t>
      </w:r>
      <w:r>
        <w:rPr>
          <w:rFonts w:ascii="Times New Roman"/>
          <w:i/>
          <w:vertAlign w:val="superscript"/>
        </w:rPr>
        <w:t>n</w:t>
      </w:r>
      <w:r>
        <w:rPr>
          <w:rFonts w:ascii="Times New Roman"/>
        </w:rPr>
        <w:t>成</w:t>
      </w:r>
      <w:r>
        <w:rPr>
          <w:rFonts w:hint="eastAsia" w:ascii="Times New Roman"/>
        </w:rPr>
        <w:t>正比</w:t>
      </w:r>
      <w:r>
        <w:rPr>
          <w:rFonts w:ascii="Times New Roman"/>
        </w:rPr>
        <w:t>。表41说明了这种指数增长。</w:t>
      </w:r>
    </w:p>
    <w:p>
      <w:pPr>
        <w:pStyle w:val="127"/>
        <w:ind w:left="0"/>
      </w:pPr>
      <w:r>
        <w:rPr>
          <w:rFonts w:hint="eastAsia"/>
        </w:rPr>
        <w:t>观测点</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37"/>
        <w:gridCol w:w="4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rFonts w:hint="eastAsia"/>
                <w:sz w:val="18"/>
                <w:szCs w:val="18"/>
              </w:rPr>
              <w:t>因素数</w:t>
            </w:r>
          </w:p>
        </w:tc>
        <w:tc>
          <w:tcPr>
            <w:tcW w:w="252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rFonts w:hint="eastAsia"/>
                <w:sz w:val="18"/>
                <w:szCs w:val="18"/>
              </w:rPr>
              <w:t>观测点数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1</w:t>
            </w:r>
          </w:p>
        </w:tc>
        <w:tc>
          <w:tcPr>
            <w:tcW w:w="252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2</w:t>
            </w:r>
          </w:p>
        </w:tc>
        <w:tc>
          <w:tcPr>
            <w:tcW w:w="252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3</w:t>
            </w:r>
          </w:p>
        </w:tc>
        <w:tc>
          <w:tcPr>
            <w:tcW w:w="252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4</w:t>
            </w:r>
          </w:p>
        </w:tc>
        <w:tc>
          <w:tcPr>
            <w:tcW w:w="252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5</w:t>
            </w:r>
          </w:p>
        </w:tc>
        <w:tc>
          <w:tcPr>
            <w:tcW w:w="252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47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6</w:t>
            </w:r>
          </w:p>
        </w:tc>
        <w:tc>
          <w:tcPr>
            <w:tcW w:w="252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7</w:t>
            </w:r>
          </w:p>
        </w:tc>
        <w:tc>
          <w:tcPr>
            <w:tcW w:w="252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128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8</w:t>
            </w:r>
          </w:p>
        </w:tc>
        <w:tc>
          <w:tcPr>
            <w:tcW w:w="252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9</w:t>
            </w:r>
          </w:p>
        </w:tc>
        <w:tc>
          <w:tcPr>
            <w:tcW w:w="252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512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10</w:t>
            </w:r>
          </w:p>
        </w:tc>
        <w:tc>
          <w:tcPr>
            <w:tcW w:w="2525" w:type="pct"/>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ind w:firstLine="360" w:firstLineChars="200"/>
              <w:jc w:val="center"/>
              <w:rPr>
                <w:sz w:val="18"/>
                <w:szCs w:val="18"/>
              </w:rPr>
            </w:pPr>
            <w:r>
              <w:rPr>
                <w:sz w:val="18"/>
                <w:szCs w:val="18"/>
              </w:rPr>
              <w:t>1 024</w:t>
            </w:r>
          </w:p>
        </w:tc>
      </w:tr>
    </w:tbl>
    <w:p>
      <w:pPr>
        <w:pStyle w:val="23"/>
      </w:pPr>
    </w:p>
    <w:p>
      <w:pPr>
        <w:tabs>
          <w:tab w:val="left" w:pos="284"/>
          <w:tab w:val="left" w:pos="567"/>
        </w:tabs>
        <w:spacing w:line="0" w:lineRule="atLeast"/>
        <w:ind w:firstLine="420" w:firstLineChars="200"/>
        <w:rPr>
          <w:rFonts w:ascii="宋体" w:hAnsi="宋体"/>
        </w:rPr>
      </w:pPr>
      <w:r>
        <w:rPr>
          <w:rFonts w:hint="eastAsia" w:ascii="宋体" w:hAnsi="宋体"/>
        </w:rPr>
        <w:t>有七个或七个以上因素(控制变量)的实验并不少见。从节约的角度，只需要一个完整设计中的一小部分实验，但它仍然可以提供关于模型的重要特征的信息。如果能找到一个合适部分，这个实验就叫做两水平部分因素试验。</w:t>
      </w:r>
    </w:p>
    <w:p>
      <w:pPr>
        <w:tabs>
          <w:tab w:val="left" w:pos="284"/>
          <w:tab w:val="left" w:pos="567"/>
        </w:tabs>
        <w:spacing w:line="0" w:lineRule="atLeast"/>
        <w:ind w:firstLine="420" w:firstLineChars="200"/>
        <w:rPr>
          <w:rFonts w:ascii="宋体" w:hAnsi="宋体"/>
        </w:rPr>
      </w:pPr>
      <w:r>
        <w:rPr>
          <w:rFonts w:hint="eastAsia" w:ascii="宋体" w:hAnsi="宋体"/>
        </w:rPr>
        <w:t>建立这些部分实验的理论和方法在教科书中有描述。也有软件可用于这些实验的自动设计和分析(见参考文献)。</w:t>
      </w:r>
    </w:p>
    <w:p>
      <w:pPr>
        <w:pStyle w:val="23"/>
      </w:pPr>
    </w:p>
    <w:p>
      <w:pPr>
        <w:pStyle w:val="23"/>
        <w:jc w:val="center"/>
      </w:pPr>
      <w:r>
        <w:drawing>
          <wp:inline distT="0" distB="0" distL="0" distR="0">
            <wp:extent cx="3828415" cy="3705225"/>
            <wp:effectExtent l="0" t="0" r="635" b="9525"/>
            <wp:docPr id="2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828415" cy="3705225"/>
                    </a:xfrm>
                    <a:prstGeom prst="rect">
                      <a:avLst/>
                    </a:prstGeom>
                    <a:noFill/>
                    <a:ln>
                      <a:noFill/>
                    </a:ln>
                  </pic:spPr>
                </pic:pic>
              </a:graphicData>
            </a:graphic>
          </wp:inline>
        </w:drawing>
      </w:r>
    </w:p>
    <w:p>
      <w:pPr>
        <w:tabs>
          <w:tab w:val="left" w:pos="284"/>
          <w:tab w:val="left" w:pos="567"/>
        </w:tabs>
        <w:spacing w:line="0" w:lineRule="atLeast"/>
        <w:ind w:left="420" w:leftChars="200"/>
        <w:jc w:val="left"/>
        <w:rPr>
          <w:rFonts w:ascii="黑体" w:hAnsi="黑体" w:eastAsia="黑体"/>
          <w:sz w:val="18"/>
          <w:szCs w:val="18"/>
        </w:rPr>
      </w:pPr>
      <w:r>
        <w:rPr>
          <w:rFonts w:hint="eastAsia" w:ascii="黑体" w:hAnsi="黑体" w:eastAsia="黑体"/>
          <w:sz w:val="18"/>
          <w:szCs w:val="18"/>
        </w:rPr>
        <w:t>说明：</w:t>
      </w:r>
    </w:p>
    <w:p>
      <w:pPr>
        <w:tabs>
          <w:tab w:val="left" w:pos="284"/>
          <w:tab w:val="left" w:pos="567"/>
        </w:tabs>
        <w:spacing w:line="0" w:lineRule="atLeast"/>
        <w:ind w:left="840" w:leftChars="400"/>
        <w:jc w:val="left"/>
        <w:rPr>
          <w:sz w:val="18"/>
          <w:szCs w:val="18"/>
        </w:rPr>
      </w:pPr>
      <w:r>
        <w:rPr>
          <w:sz w:val="18"/>
          <w:szCs w:val="18"/>
        </w:rPr>
        <w:t xml:space="preserve">X </w:t>
      </w:r>
      <w:r>
        <w:rPr>
          <w:rFonts w:hint="eastAsia"/>
          <w:sz w:val="18"/>
          <w:szCs w:val="18"/>
        </w:rPr>
        <w:t>因素</w:t>
      </w:r>
      <w:r>
        <w:rPr>
          <w:sz w:val="18"/>
          <w:szCs w:val="18"/>
        </w:rPr>
        <w:t>A</w:t>
      </w:r>
    </w:p>
    <w:p>
      <w:pPr>
        <w:tabs>
          <w:tab w:val="left" w:pos="284"/>
          <w:tab w:val="left" w:pos="567"/>
        </w:tabs>
        <w:spacing w:line="0" w:lineRule="atLeast"/>
        <w:ind w:left="840" w:leftChars="400"/>
        <w:jc w:val="left"/>
        <w:rPr>
          <w:sz w:val="18"/>
          <w:szCs w:val="18"/>
        </w:rPr>
      </w:pPr>
      <w:r>
        <w:rPr>
          <w:sz w:val="18"/>
          <w:szCs w:val="18"/>
        </w:rPr>
        <w:t xml:space="preserve">Y </w:t>
      </w:r>
      <w:r>
        <w:rPr>
          <w:rFonts w:hint="eastAsia"/>
          <w:sz w:val="18"/>
          <w:szCs w:val="18"/>
        </w:rPr>
        <w:t>因素</w:t>
      </w:r>
      <w:r>
        <w:rPr>
          <w:sz w:val="18"/>
          <w:szCs w:val="18"/>
        </w:rPr>
        <w:t>B</w:t>
      </w:r>
    </w:p>
    <w:p>
      <w:pPr>
        <w:tabs>
          <w:tab w:val="left" w:pos="284"/>
          <w:tab w:val="left" w:pos="567"/>
        </w:tabs>
        <w:spacing w:line="0" w:lineRule="atLeast"/>
        <w:ind w:left="840" w:leftChars="400"/>
        <w:jc w:val="left"/>
        <w:rPr>
          <w:sz w:val="18"/>
          <w:szCs w:val="18"/>
        </w:rPr>
      </w:pPr>
      <w:r>
        <w:rPr>
          <w:sz w:val="18"/>
          <w:szCs w:val="18"/>
        </w:rPr>
        <w:t xml:space="preserve">Z </w:t>
      </w:r>
      <w:r>
        <w:rPr>
          <w:rFonts w:hint="eastAsia"/>
          <w:sz w:val="18"/>
          <w:szCs w:val="18"/>
        </w:rPr>
        <w:t>因素</w:t>
      </w:r>
      <w:r>
        <w:rPr>
          <w:sz w:val="18"/>
          <w:szCs w:val="18"/>
        </w:rPr>
        <w:t>C</w:t>
      </w:r>
    </w:p>
    <w:p>
      <w:pPr>
        <w:pStyle w:val="129"/>
      </w:pPr>
      <w:r>
        <w:rPr>
          <w:rFonts w:hint="eastAsia" w:hAnsi="黑体"/>
        </w:rPr>
        <w:t>两水平三因子实验设计</w:t>
      </w:r>
    </w:p>
    <w:p>
      <w:pPr>
        <w:pStyle w:val="55"/>
        <w:spacing w:before="156" w:after="156"/>
        <w:ind w:left="0"/>
      </w:pPr>
      <w:r>
        <w:rPr>
          <w:rFonts w:hint="eastAsia"/>
        </w:rPr>
        <w:t>复合设计</w:t>
      </w:r>
    </w:p>
    <w:p>
      <w:pPr>
        <w:tabs>
          <w:tab w:val="left" w:pos="284"/>
          <w:tab w:val="left" w:pos="567"/>
        </w:tabs>
        <w:ind w:firstLine="420" w:firstLineChars="200"/>
      </w:pPr>
      <w:r>
        <w:rPr>
          <w:rFonts w:hint="eastAsia"/>
        </w:rPr>
        <w:t>尽管两水平因素实验及其部分适合于拟合主影响为线性且包含相互作用的模型，但不适用于估计存在的响应曲率。例如，如果只有一个单一控制变量，方程</w:t>
      </w:r>
      <w:r>
        <w:t>(81)</w:t>
      </w:r>
      <w:r>
        <w:rPr>
          <w:rFonts w:hint="eastAsia"/>
        </w:rPr>
        <w:t>既可以适用于所有</w:t>
      </w:r>
      <w:r>
        <w:t>x</w:t>
      </w:r>
      <w:r>
        <w:rPr>
          <w:rFonts w:hint="eastAsia"/>
        </w:rPr>
        <w:t>值的线性关系</w:t>
      </w:r>
      <w:r>
        <w:t>(</w:t>
      </w:r>
      <w:r>
        <w:rPr>
          <w:rFonts w:hint="eastAsia"/>
        </w:rPr>
        <w:t>见图</w:t>
      </w:r>
      <w:r>
        <w:t>13 a))</w:t>
      </w:r>
      <w:r>
        <w:rPr>
          <w:rFonts w:hint="eastAsia"/>
        </w:rPr>
        <w:t>，也可以适用于二次响应的上升或下降斜率</w:t>
      </w:r>
      <w:r>
        <w:t>(</w:t>
      </w:r>
      <w:r>
        <w:rPr>
          <w:rFonts w:hint="eastAsia"/>
        </w:rPr>
        <w:t>见图</w:t>
      </w:r>
      <w:r>
        <w:t>13 b))</w:t>
      </w:r>
      <w:r>
        <w:rPr>
          <w:rFonts w:hint="eastAsia"/>
        </w:rPr>
        <w:t>。</w:t>
      </w:r>
    </w:p>
    <w:p>
      <w:pPr>
        <w:tabs>
          <w:tab w:val="left" w:pos="284"/>
          <w:tab w:val="left" w:pos="567"/>
        </w:tabs>
        <w:ind w:firstLine="420" w:firstLineChars="200"/>
      </w:pPr>
      <w:r>
        <w:rPr>
          <w:rFonts w:hint="eastAsia"/>
        </w:rPr>
        <w:t>然而，如果要在一个接近二次响应的峰</w:t>
      </w:r>
      <w:r>
        <w:t>(</w:t>
      </w:r>
      <w:r>
        <w:rPr>
          <w:rFonts w:hint="eastAsia"/>
        </w:rPr>
        <w:t>或谷</w:t>
      </w:r>
      <w:r>
        <w:t>)</w:t>
      </w:r>
      <w:r>
        <w:rPr>
          <w:rFonts w:hint="eastAsia"/>
        </w:rPr>
        <w:t>的</w:t>
      </w:r>
      <w:r>
        <w:rPr>
          <w:i/>
        </w:rPr>
        <w:t>x</w:t>
      </w:r>
      <w:r>
        <w:rPr>
          <w:rFonts w:hint="eastAsia"/>
        </w:rPr>
        <w:t>范围内做实验，如图</w:t>
      </w:r>
      <w:r>
        <w:t>13c</w:t>
      </w:r>
      <w:r>
        <w:rPr>
          <w:rFonts w:hint="eastAsia"/>
        </w:rPr>
        <w:t>所示，曲率将有一个主影响，宜</w:t>
      </w:r>
      <w:r>
        <w:t>对曲率</w:t>
      </w:r>
      <w:r>
        <w:rPr>
          <w:rFonts w:hint="eastAsia"/>
        </w:rPr>
        <w:t>进行估计。如果实验的目的是估计</w:t>
      </w:r>
      <w:r>
        <w:rPr>
          <w:i/>
        </w:rPr>
        <w:t>y</w:t>
      </w:r>
      <w:r>
        <w:rPr>
          <w:rFonts w:hint="eastAsia"/>
        </w:rPr>
        <w:t>为最大值</w:t>
      </w:r>
      <w:r>
        <w:t>(</w:t>
      </w:r>
      <w:r>
        <w:rPr>
          <w:rFonts w:hint="eastAsia"/>
        </w:rPr>
        <w:t>或最小值</w:t>
      </w:r>
      <w:r>
        <w:t>)</w:t>
      </w:r>
      <w:r>
        <w:rPr>
          <w:rFonts w:hint="eastAsia"/>
        </w:rPr>
        <w:t>时</w:t>
      </w:r>
      <w:r>
        <w:rPr>
          <w:i/>
        </w:rPr>
        <w:t>x</w:t>
      </w:r>
      <w:r>
        <w:rPr>
          <w:rFonts w:hint="eastAsia"/>
        </w:rPr>
        <w:t>的值，这一点就尤其重要。</w:t>
      </w:r>
    </w:p>
    <w:p>
      <w:pPr>
        <w:tabs>
          <w:tab w:val="left" w:pos="284"/>
          <w:tab w:val="left" w:pos="567"/>
        </w:tabs>
        <w:ind w:firstLine="420" w:firstLineChars="200"/>
      </w:pPr>
      <w:r>
        <w:rPr>
          <w:rFonts w:hint="eastAsia"/>
        </w:rPr>
        <w:t>式</w:t>
      </w:r>
      <w:r>
        <w:t>(81)</w:t>
      </w:r>
      <w:r>
        <w:rPr>
          <w:rFonts w:hint="eastAsia"/>
        </w:rPr>
        <w:t>宜扩增为：</w:t>
      </w:r>
    </w:p>
    <w:p>
      <w:pPr>
        <w:tabs>
          <w:tab w:val="left" w:pos="284"/>
          <w:tab w:val="left" w:pos="567"/>
        </w:tabs>
        <w:ind w:firstLine="735" w:firstLineChars="350"/>
      </w:pPr>
      <m:oMath>
        <m:r>
          <m:rPr/>
          <w:rPr>
            <w:rFonts w:ascii="Cambria Math" w:hAnsi="Cambria Math"/>
          </w:rPr>
          <m:t>y</m:t>
        </m:r>
        <m:r>
          <m:rPr>
            <m:sty m:val="p"/>
          </m:rPr>
          <w:rPr>
            <w:rFonts w:ascii="Cambria Math" w:hAnsi="Cambria Math"/>
          </w:rPr>
          <m:t>=</m:t>
        </m:r>
        <m:r>
          <m:rPr/>
          <w:rPr>
            <w:rFonts w:ascii="Cambria Math" w:hAnsi="Cambria Math"/>
          </w:rPr>
          <m:t>a</m:t>
        </m:r>
        <m:r>
          <m:rPr>
            <m:sty m:val="p"/>
          </m:rPr>
          <w:rPr>
            <w:rFonts w:ascii="Cambria Math" w:hAnsi="Cambria Math"/>
          </w:rPr>
          <m:t>+</m:t>
        </m:r>
        <m:r>
          <m:rPr/>
          <w:rPr>
            <w:rFonts w:ascii="Cambria Math" w:hAnsi="Cambria Math"/>
          </w:rPr>
          <m:t>b</m:t>
        </m:r>
        <m:r>
          <m:rPr>
            <m:sty m:val="p"/>
          </m:rPr>
          <w:rPr>
            <w:rFonts w:ascii="Cambria Math" w:hAnsi="Cambria Math"/>
          </w:rPr>
          <m:t>x+</m:t>
        </m:r>
        <m:r>
          <m:rPr/>
          <w:rPr>
            <w:rFonts w:ascii="Cambria Math" w:hAnsi="Cambria Math"/>
          </w:rPr>
          <m:t>c</m:t>
        </m:r>
        <m:sSup>
          <m:sSupPr>
            <m:ctrlPr>
              <w:rPr>
                <w:rFonts w:ascii="Cambria Math" w:hAnsi="Cambria Math"/>
                <w:szCs w:val="22"/>
              </w:rPr>
            </m:ctrlPr>
          </m:sSupPr>
          <m:e>
            <m:r>
              <m:rPr/>
              <w:rPr>
                <w:rFonts w:ascii="Cambria Math" w:hAnsi="Cambria Math"/>
              </w:rPr>
              <m:t>x</m:t>
            </m:r>
            <m:ctrlPr>
              <w:rPr>
                <w:rFonts w:ascii="Cambria Math" w:hAnsi="Cambria Math"/>
                <w:szCs w:val="22"/>
              </w:rPr>
            </m:ctrlPr>
          </m:e>
          <m:sup>
            <m:r>
              <m:rPr/>
              <w:rPr>
                <w:rFonts w:ascii="Cambria Math" w:hAnsi="Cambria Math"/>
              </w:rPr>
              <m:t>2</m:t>
            </m:r>
            <m:ctrlPr>
              <w:rPr>
                <w:rFonts w:ascii="Cambria Math" w:hAnsi="Cambria Math"/>
                <w:szCs w:val="22"/>
              </w:rPr>
            </m:ctrlPr>
          </m:sup>
        </m:sSup>
      </m:oMath>
      <w:r>
        <w:t xml:space="preserve">     </w:t>
      </w:r>
      <w:r>
        <w:rPr>
          <w:rFonts w:hint="eastAsia"/>
        </w:rPr>
        <w:t xml:space="preserve">       </w:t>
      </w:r>
      <w:r>
        <w:t xml:space="preserve">                               </w:t>
      </w:r>
      <w:r>
        <w:rPr>
          <w:rFonts w:hint="eastAsia"/>
        </w:rPr>
        <w:t xml:space="preserve">   </w:t>
      </w:r>
      <w:r>
        <w:t xml:space="preserve">                (88) </w:t>
      </w:r>
    </w:p>
    <w:p>
      <w:pPr>
        <w:tabs>
          <w:tab w:val="left" w:pos="284"/>
          <w:tab w:val="left" w:pos="567"/>
        </w:tabs>
        <w:ind w:firstLine="420" w:firstLineChars="200"/>
      </w:pPr>
      <w:r>
        <w:rPr>
          <w:rFonts w:hint="eastAsia"/>
        </w:rPr>
        <w:t>相似地，式（</w:t>
      </w:r>
      <w:r>
        <w:t>87</w:t>
      </w:r>
      <w:r>
        <w:rPr>
          <w:rFonts w:hint="eastAsia"/>
        </w:rPr>
        <w:t>）宜扩增为：</w:t>
      </w:r>
    </w:p>
    <w:p>
      <w:pPr>
        <w:tabs>
          <w:tab w:val="left" w:pos="284"/>
          <w:tab w:val="left" w:pos="567"/>
        </w:tabs>
        <w:ind w:firstLine="735" w:firstLineChars="350"/>
      </w:pPr>
      <m:oMath>
        <m:r>
          <m:rPr/>
          <w:rPr>
            <w:rFonts w:ascii="Cambria Math" w:hAnsi="Cambria Math"/>
          </w:rPr>
          <m:t>y</m:t>
        </m:r>
        <m:r>
          <m:rPr>
            <m:sty m:val="p"/>
          </m:rPr>
          <w:rPr>
            <w:rFonts w:ascii="Cambria Math" w:hAnsi="Cambria Math"/>
          </w:rPr>
          <m:t>=</m:t>
        </m:r>
        <m:sSub>
          <m:sSubPr>
            <m:ctrlPr>
              <w:rPr>
                <w:rFonts w:ascii="Cambria Math" w:hAnsi="Cambria Math"/>
                <w:szCs w:val="22"/>
              </w:rPr>
            </m:ctrlPr>
          </m:sSubPr>
          <m:e>
            <m:r>
              <m:rPr/>
              <w:rPr>
                <w:rFonts w:ascii="Cambria Math" w:hAnsi="Cambria Math"/>
              </w:rPr>
              <m:t>a</m:t>
            </m:r>
            <m:ctrlPr>
              <w:rPr>
                <w:rFonts w:ascii="Cambria Math" w:hAnsi="Cambria Math"/>
                <w:szCs w:val="22"/>
              </w:rPr>
            </m:ctrlPr>
          </m:e>
          <m:sub>
            <m:r>
              <m:rPr/>
              <w:rPr>
                <w:rFonts w:ascii="Cambria Math" w:hAnsi="Cambria Math"/>
              </w:rPr>
              <m:t>0</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a</m:t>
            </m:r>
            <m:ctrlPr>
              <w:rPr>
                <w:rFonts w:ascii="Cambria Math" w:hAnsi="Cambria Math"/>
                <w:i/>
                <w:szCs w:val="22"/>
              </w:rPr>
            </m:ctrlPr>
          </m:e>
          <m:sub>
            <m:r>
              <m:rPr/>
              <w:rPr>
                <w:rFonts w:ascii="Cambria Math" w:hAnsi="Cambria Math"/>
              </w:rPr>
              <m:t>1</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a</m:t>
            </m:r>
            <m:ctrlPr>
              <w:rPr>
                <w:rFonts w:ascii="Cambria Math" w:hAnsi="Cambria Math"/>
                <w:i/>
                <w:szCs w:val="22"/>
              </w:rPr>
            </m:ctrlPr>
          </m:e>
          <m:sub>
            <m:r>
              <m:rPr/>
              <w:rPr>
                <w:rFonts w:ascii="Cambria Math" w:hAnsi="Cambria Math"/>
              </w:rPr>
              <m:t>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a</m:t>
            </m:r>
            <m:ctrlPr>
              <w:rPr>
                <w:rFonts w:ascii="Cambria Math" w:hAnsi="Cambria Math"/>
                <w:i/>
                <w:szCs w:val="22"/>
              </w:rPr>
            </m:ctrlPr>
          </m:e>
          <m:sub>
            <m:r>
              <m:rPr/>
              <w:rPr>
                <w:rFonts w:ascii="Cambria Math" w:hAnsi="Cambria Math"/>
              </w:rPr>
              <m:t>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a</m:t>
            </m:r>
            <m:ctrlPr>
              <w:rPr>
                <w:rFonts w:ascii="Cambria Math" w:hAnsi="Cambria Math"/>
                <w:i/>
                <w:szCs w:val="22"/>
              </w:rPr>
            </m:ctrlPr>
          </m:e>
          <m:sub>
            <m:r>
              <m:rPr/>
              <w:rPr>
                <w:rFonts w:ascii="Cambria Math" w:hAnsi="Cambria Math"/>
              </w:rPr>
              <m:t>12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a</m:t>
            </m:r>
            <m:ctrlPr>
              <w:rPr>
                <w:rFonts w:ascii="Cambria Math" w:hAnsi="Cambria Math"/>
                <w:i/>
                <w:szCs w:val="22"/>
              </w:rPr>
            </m:ctrlPr>
          </m:e>
          <m:sub>
            <m:r>
              <m:rPr/>
              <w:rPr>
                <w:rFonts w:ascii="Cambria Math" w:hAnsi="Cambria Math"/>
              </w:rPr>
              <m:t>11</m:t>
            </m:r>
            <m:ctrlPr>
              <w:rPr>
                <w:rFonts w:ascii="Cambria Math" w:hAnsi="Cambria Math"/>
                <w:i/>
                <w:szCs w:val="22"/>
              </w:rPr>
            </m:ctrlPr>
          </m:sub>
        </m:sSub>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b>
          <m:sSubPr>
            <m:ctrlPr>
              <w:rPr>
                <w:rFonts w:ascii="Cambria Math" w:hAnsi="Cambria Math"/>
                <w:i/>
                <w:szCs w:val="22"/>
              </w:rPr>
            </m:ctrlPr>
          </m:sSubPr>
          <m:e>
            <m:r>
              <m:rPr/>
              <w:rPr>
                <w:rFonts w:ascii="Cambria Math" w:hAnsi="Cambria Math"/>
              </w:rPr>
              <m:t>a</m:t>
            </m:r>
            <m:ctrlPr>
              <w:rPr>
                <w:rFonts w:ascii="Cambria Math" w:hAnsi="Cambria Math"/>
                <w:i/>
                <w:szCs w:val="22"/>
              </w:rPr>
            </m:ctrlPr>
          </m:e>
          <m:sub>
            <m:r>
              <m:rPr/>
              <w:rPr>
                <w:rFonts w:ascii="Cambria Math" w:hAnsi="Cambria Math"/>
              </w:rPr>
              <m:t>22</m:t>
            </m:r>
            <m:ctrlPr>
              <w:rPr>
                <w:rFonts w:ascii="Cambria Math" w:hAnsi="Cambria Math"/>
                <w:i/>
                <w:szCs w:val="22"/>
              </w:rPr>
            </m:ctrlPr>
          </m:sub>
        </m:sSub>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oMath>
      <w:r>
        <w:t xml:space="preserve">  </w:t>
      </w:r>
      <w:r>
        <w:rPr>
          <w:rFonts w:hint="eastAsia"/>
        </w:rPr>
        <w:t xml:space="preserve">           </w:t>
      </w:r>
      <w:r>
        <w:t xml:space="preserve">                    (89)</w:t>
      </w:r>
    </w:p>
    <w:p>
      <w:pPr>
        <w:tabs>
          <w:tab w:val="left" w:pos="284"/>
          <w:tab w:val="left" w:pos="567"/>
        </w:tabs>
        <w:ind w:firstLine="420" w:firstLineChars="200"/>
      </w:pPr>
      <w:r>
        <w:rPr>
          <w:rFonts w:hint="eastAsia"/>
        </w:rPr>
        <w:t>对于这些扩项关系的设计被称之为扩增设计或复合设计。构建它们的理论和方法在一些教科书叙述。也可利用软件分析和构建。通常采用最小二乘回归进行分析。</w:t>
      </w:r>
    </w:p>
    <w:p>
      <w:pPr>
        <w:pStyle w:val="64"/>
      </w:pPr>
      <w:r>
        <w:rPr>
          <w:rFonts w:hint="eastAsia"/>
        </w:rPr>
        <w:t>由于大多数关系都不是线性的，两水平实验最好仅当下述情况时使用：</w:t>
      </w:r>
    </w:p>
    <w:p>
      <w:pPr>
        <w:pStyle w:val="59"/>
        <w:numPr>
          <w:ilvl w:val="0"/>
          <w:numId w:val="57"/>
        </w:numPr>
        <w:rPr>
          <w:sz w:val="18"/>
          <w:szCs w:val="18"/>
        </w:rPr>
      </w:pPr>
      <w:r>
        <w:rPr>
          <w:rFonts w:hint="eastAsia"/>
          <w:sz w:val="18"/>
          <w:szCs w:val="18"/>
        </w:rPr>
        <w:t>低水平和高水平的范围小到响应曲率能够被忽略</w:t>
      </w:r>
      <w:r>
        <w:rPr>
          <w:sz w:val="18"/>
          <w:szCs w:val="18"/>
        </w:rPr>
        <w:t>[</w:t>
      </w:r>
      <w:r>
        <w:rPr>
          <w:rFonts w:hint="eastAsia"/>
          <w:sz w:val="18"/>
          <w:szCs w:val="18"/>
        </w:rPr>
        <w:t>见图</w:t>
      </w:r>
      <w:r>
        <w:rPr>
          <w:sz w:val="18"/>
          <w:szCs w:val="18"/>
        </w:rPr>
        <w:t>13 b</w:t>
      </w:r>
      <w:r>
        <w:rPr>
          <w:rFonts w:hint="eastAsia"/>
          <w:sz w:val="18"/>
          <w:szCs w:val="18"/>
        </w:rPr>
        <w:t>）</w:t>
      </w:r>
      <w:r>
        <w:rPr>
          <w:sz w:val="18"/>
          <w:szCs w:val="18"/>
        </w:rPr>
        <w:t>]</w:t>
      </w:r>
      <w:r>
        <w:rPr>
          <w:rFonts w:hint="eastAsia"/>
          <w:sz w:val="18"/>
          <w:szCs w:val="18"/>
        </w:rPr>
        <w:t>；</w:t>
      </w:r>
    </w:p>
    <w:p>
      <w:pPr>
        <w:pStyle w:val="59"/>
        <w:numPr>
          <w:ilvl w:val="0"/>
          <w:numId w:val="57"/>
        </w:numPr>
        <w:rPr>
          <w:sz w:val="18"/>
          <w:szCs w:val="18"/>
        </w:rPr>
      </w:pPr>
      <w:r>
        <w:rPr>
          <w:rFonts w:hint="eastAsia"/>
          <w:sz w:val="18"/>
          <w:szCs w:val="18"/>
        </w:rPr>
        <w:t>控制变量数量多，需要进行筛选检验以确定重要变量；</w:t>
      </w:r>
    </w:p>
    <w:p>
      <w:pPr>
        <w:pStyle w:val="59"/>
        <w:numPr>
          <w:ilvl w:val="0"/>
          <w:numId w:val="57"/>
        </w:numPr>
        <w:rPr>
          <w:sz w:val="18"/>
          <w:szCs w:val="18"/>
        </w:rPr>
      </w:pPr>
      <w:r>
        <w:rPr>
          <w:rFonts w:hint="eastAsia"/>
          <w:sz w:val="18"/>
          <w:szCs w:val="18"/>
        </w:rPr>
        <w:t>涉及到定性变量</w:t>
      </w:r>
      <w:r>
        <w:rPr>
          <w:sz w:val="18"/>
          <w:szCs w:val="18"/>
        </w:rPr>
        <w:t>(</w:t>
      </w:r>
      <w:r>
        <w:rPr>
          <w:rFonts w:hint="eastAsia"/>
          <w:sz w:val="18"/>
          <w:szCs w:val="18"/>
        </w:rPr>
        <w:t>例如，</w:t>
      </w:r>
      <w:r>
        <w:rPr>
          <w:sz w:val="18"/>
          <w:szCs w:val="18"/>
        </w:rPr>
        <w:t>N550</w:t>
      </w:r>
      <w:r>
        <w:rPr>
          <w:rFonts w:hint="eastAsia"/>
          <w:sz w:val="18"/>
          <w:szCs w:val="18"/>
        </w:rPr>
        <w:t>炭黑与</w:t>
      </w:r>
      <w:r>
        <w:rPr>
          <w:sz w:val="18"/>
          <w:szCs w:val="18"/>
        </w:rPr>
        <w:t>N330</w:t>
      </w:r>
      <w:r>
        <w:rPr>
          <w:rFonts w:hint="eastAsia"/>
          <w:sz w:val="18"/>
          <w:szCs w:val="18"/>
        </w:rPr>
        <w:t>炭黑，或过滤</w:t>
      </w:r>
      <w:r>
        <w:rPr>
          <w:sz w:val="18"/>
          <w:szCs w:val="18"/>
        </w:rPr>
        <w:t>/</w:t>
      </w:r>
      <w:r>
        <w:rPr>
          <w:rFonts w:hint="eastAsia"/>
          <w:sz w:val="18"/>
          <w:szCs w:val="18"/>
        </w:rPr>
        <w:t>不过滤胶料</w:t>
      </w:r>
      <w:r>
        <w:rPr>
          <w:sz w:val="18"/>
          <w:szCs w:val="18"/>
        </w:rPr>
        <w:t>)</w:t>
      </w:r>
      <w:r>
        <w:rPr>
          <w:rFonts w:hint="eastAsia"/>
          <w:sz w:val="18"/>
          <w:szCs w:val="18"/>
        </w:rPr>
        <w:t>。</w:t>
      </w:r>
    </w:p>
    <w:tbl>
      <w:tblPr>
        <w:tblStyle w:val="33"/>
        <w:tblW w:w="0" w:type="auto"/>
        <w:tblInd w:w="0" w:type="dxa"/>
        <w:tblLayout w:type="autofit"/>
        <w:tblCellMar>
          <w:top w:w="0" w:type="dxa"/>
          <w:left w:w="108" w:type="dxa"/>
          <w:bottom w:w="0" w:type="dxa"/>
          <w:right w:w="108" w:type="dxa"/>
        </w:tblCellMar>
      </w:tblPr>
      <w:tblGrid>
        <w:gridCol w:w="4594"/>
        <w:gridCol w:w="4976"/>
      </w:tblGrid>
      <w:tr>
        <w:tblPrEx>
          <w:tblCellMar>
            <w:top w:w="0" w:type="dxa"/>
            <w:left w:w="108" w:type="dxa"/>
            <w:bottom w:w="0" w:type="dxa"/>
            <w:right w:w="108" w:type="dxa"/>
          </w:tblCellMar>
        </w:tblPrEx>
        <w:tc>
          <w:tcPr>
            <w:tcW w:w="4592" w:type="dxa"/>
          </w:tcPr>
          <w:p>
            <w:pPr>
              <w:pStyle w:val="23"/>
              <w:ind w:firstLine="0" w:firstLineChars="0"/>
              <w:rPr>
                <w:szCs w:val="18"/>
              </w:rPr>
            </w:pPr>
            <w:r>
              <w:rPr>
                <w:szCs w:val="18"/>
              </w:rPr>
              <w:drawing>
                <wp:inline distT="0" distB="0" distL="0" distR="0">
                  <wp:extent cx="2832100" cy="2245360"/>
                  <wp:effectExtent l="0" t="0" r="6350" b="2540"/>
                  <wp:docPr id="2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832100" cy="2245360"/>
                          </a:xfrm>
                          <a:prstGeom prst="rect">
                            <a:avLst/>
                          </a:prstGeom>
                          <a:noFill/>
                          <a:ln>
                            <a:noFill/>
                          </a:ln>
                        </pic:spPr>
                      </pic:pic>
                    </a:graphicData>
                  </a:graphic>
                </wp:inline>
              </w:drawing>
            </w:r>
          </w:p>
        </w:tc>
        <w:tc>
          <w:tcPr>
            <w:tcW w:w="4978" w:type="dxa"/>
          </w:tcPr>
          <w:p>
            <w:pPr>
              <w:pStyle w:val="23"/>
              <w:ind w:firstLine="0" w:firstLineChars="0"/>
              <w:rPr>
                <w:szCs w:val="18"/>
              </w:rPr>
            </w:pPr>
            <w:r>
              <w:rPr>
                <w:szCs w:val="18"/>
              </w:rPr>
              <w:drawing>
                <wp:inline distT="0" distB="0" distL="0" distR="0">
                  <wp:extent cx="3043555" cy="2511425"/>
                  <wp:effectExtent l="0" t="0" r="4445" b="3175"/>
                  <wp:docPr id="20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43555" cy="251142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592" w:type="dxa"/>
          </w:tcPr>
          <w:p>
            <w:pPr>
              <w:pStyle w:val="23"/>
              <w:ind w:firstLine="0" w:firstLineChars="0"/>
              <w:rPr>
                <w:szCs w:val="18"/>
              </w:rPr>
            </w:pPr>
          </w:p>
          <w:p>
            <w:pPr>
              <w:pStyle w:val="23"/>
              <w:ind w:firstLine="0" w:firstLineChars="0"/>
              <w:rPr>
                <w:szCs w:val="18"/>
              </w:rPr>
            </w:pPr>
          </w:p>
          <w:p>
            <w:pPr>
              <w:pStyle w:val="23"/>
              <w:ind w:firstLine="0" w:firstLineChars="0"/>
              <w:rPr>
                <w:szCs w:val="18"/>
              </w:rPr>
            </w:pPr>
          </w:p>
          <w:p>
            <w:pPr>
              <w:pStyle w:val="23"/>
              <w:ind w:firstLine="0" w:firstLineChars="0"/>
              <w:rPr>
                <w:szCs w:val="18"/>
              </w:rPr>
            </w:pPr>
          </w:p>
          <w:p>
            <w:pPr>
              <w:pStyle w:val="23"/>
              <w:ind w:firstLine="0" w:firstLineChars="0"/>
              <w:rPr>
                <w:szCs w:val="18"/>
              </w:rPr>
            </w:pPr>
          </w:p>
          <w:p>
            <w:pPr>
              <w:tabs>
                <w:tab w:val="left" w:pos="284"/>
                <w:tab w:val="left" w:pos="567"/>
              </w:tabs>
              <w:spacing w:line="0" w:lineRule="atLeast"/>
              <w:jc w:val="left"/>
              <w:rPr>
                <w:rFonts w:ascii="黑体" w:hAnsi="黑体" w:eastAsia="黑体"/>
                <w:sz w:val="18"/>
              </w:rPr>
            </w:pPr>
            <w:r>
              <w:rPr>
                <w:rFonts w:hint="eastAsia" w:ascii="黑体" w:hAnsi="黑体" w:eastAsia="黑体"/>
                <w:sz w:val="18"/>
              </w:rPr>
              <w:t>说明：</w:t>
            </w:r>
          </w:p>
          <w:p>
            <w:pPr>
              <w:tabs>
                <w:tab w:val="left" w:pos="284"/>
                <w:tab w:val="left" w:pos="567"/>
              </w:tabs>
              <w:spacing w:line="0" w:lineRule="atLeast"/>
              <w:ind w:firstLine="360" w:firstLineChars="200"/>
              <w:jc w:val="left"/>
              <w:rPr>
                <w:sz w:val="18"/>
              </w:rPr>
            </w:pPr>
            <w:r>
              <w:rPr>
                <w:rFonts w:hint="eastAsia" w:ascii="宋体" w:hAnsi="宋体"/>
                <w:sz w:val="18"/>
              </w:rPr>
              <w:t>X 控制变量</w:t>
            </w:r>
            <w:r>
              <w:rPr>
                <w:sz w:val="18"/>
              </w:rPr>
              <w:t>，</w:t>
            </w:r>
            <w:r>
              <w:rPr>
                <w:i/>
                <w:sz w:val="18"/>
              </w:rPr>
              <w:t>x</w:t>
            </w:r>
          </w:p>
          <w:p>
            <w:pPr>
              <w:tabs>
                <w:tab w:val="left" w:pos="284"/>
                <w:tab w:val="left" w:pos="567"/>
              </w:tabs>
              <w:spacing w:line="0" w:lineRule="atLeast"/>
              <w:ind w:firstLine="360" w:firstLineChars="200"/>
              <w:jc w:val="left"/>
              <w:rPr>
                <w:rFonts w:ascii="宋体" w:hAnsi="宋体"/>
                <w:sz w:val="18"/>
              </w:rPr>
            </w:pPr>
            <w:r>
              <w:rPr>
                <w:rFonts w:hint="eastAsia" w:ascii="宋体" w:hAnsi="宋体"/>
                <w:sz w:val="18"/>
              </w:rPr>
              <w:t>Y 响应变量</w:t>
            </w:r>
            <w:r>
              <w:rPr>
                <w:sz w:val="18"/>
              </w:rPr>
              <w:t>，</w:t>
            </w:r>
            <w:r>
              <w:rPr>
                <w:rFonts w:hint="eastAsia"/>
                <w:i/>
                <w:sz w:val="18"/>
              </w:rPr>
              <w:t>y</w:t>
            </w:r>
          </w:p>
          <w:p>
            <w:pPr>
              <w:tabs>
                <w:tab w:val="left" w:pos="284"/>
                <w:tab w:val="left" w:pos="567"/>
              </w:tabs>
              <w:spacing w:line="0" w:lineRule="atLeast"/>
              <w:ind w:firstLine="360" w:firstLineChars="200"/>
              <w:jc w:val="left"/>
              <w:rPr>
                <w:rFonts w:ascii="宋体" w:hAnsi="宋体"/>
                <w:sz w:val="18"/>
              </w:rPr>
            </w:pPr>
            <w:r>
              <w:rPr>
                <w:rFonts w:hint="eastAsia" w:ascii="宋体" w:hAnsi="宋体"/>
                <w:sz w:val="18"/>
              </w:rPr>
              <w:t>1 线性响应</w:t>
            </w:r>
          </w:p>
          <w:p>
            <w:pPr>
              <w:tabs>
                <w:tab w:val="left" w:pos="284"/>
                <w:tab w:val="left" w:pos="567"/>
              </w:tabs>
              <w:spacing w:line="0" w:lineRule="atLeast"/>
              <w:ind w:firstLine="360" w:firstLineChars="200"/>
              <w:jc w:val="left"/>
              <w:rPr>
                <w:rFonts w:ascii="宋体" w:hAnsi="宋体"/>
                <w:sz w:val="18"/>
              </w:rPr>
            </w:pPr>
            <w:r>
              <w:rPr>
                <w:rFonts w:hint="eastAsia" w:ascii="宋体" w:hAnsi="宋体"/>
                <w:sz w:val="18"/>
              </w:rPr>
              <w:t>2 在试验范围内近似线性</w:t>
            </w:r>
          </w:p>
          <w:p>
            <w:pPr>
              <w:tabs>
                <w:tab w:val="left" w:pos="284"/>
                <w:tab w:val="left" w:pos="567"/>
              </w:tabs>
              <w:spacing w:line="0" w:lineRule="atLeast"/>
              <w:ind w:firstLine="360" w:firstLineChars="200"/>
              <w:jc w:val="left"/>
              <w:rPr>
                <w:rFonts w:ascii="宋体" w:hAnsi="宋体"/>
                <w:sz w:val="18"/>
              </w:rPr>
            </w:pPr>
            <w:r>
              <w:rPr>
                <w:rFonts w:hint="eastAsia" w:ascii="宋体" w:hAnsi="宋体"/>
                <w:sz w:val="18"/>
              </w:rPr>
              <w:t>3 在试验范围内的二次响应</w:t>
            </w:r>
          </w:p>
          <w:p>
            <w:pPr>
              <w:tabs>
                <w:tab w:val="left" w:pos="284"/>
                <w:tab w:val="left" w:pos="567"/>
              </w:tabs>
              <w:spacing w:line="0" w:lineRule="atLeast"/>
              <w:ind w:firstLine="360" w:firstLineChars="200"/>
              <w:jc w:val="left"/>
              <w:rPr>
                <w:rFonts w:ascii="宋体" w:hAnsi="宋体"/>
                <w:sz w:val="18"/>
              </w:rPr>
            </w:pPr>
          </w:p>
          <w:p>
            <w:pPr>
              <w:tabs>
                <w:tab w:val="left" w:pos="284"/>
                <w:tab w:val="left" w:pos="567"/>
              </w:tabs>
              <w:spacing w:line="0" w:lineRule="atLeast"/>
              <w:ind w:firstLine="360" w:firstLineChars="200"/>
              <w:jc w:val="left"/>
              <w:rPr>
                <w:rFonts w:ascii="宋体" w:hAnsi="宋体"/>
                <w:sz w:val="18"/>
              </w:rPr>
            </w:pPr>
            <w:r>
              <w:rPr>
                <w:rFonts w:hint="eastAsia" w:ascii="宋体" w:hAnsi="宋体"/>
                <w:i/>
                <w:sz w:val="18"/>
              </w:rPr>
              <w:t xml:space="preserve">a </w:t>
            </w:r>
            <w:r>
              <w:rPr>
                <w:rFonts w:hint="eastAsia" w:ascii="宋体" w:hAnsi="宋体"/>
                <w:sz w:val="18"/>
              </w:rPr>
              <w:t>实验范围</w:t>
            </w:r>
          </w:p>
          <w:p>
            <w:pPr>
              <w:pStyle w:val="23"/>
              <w:ind w:firstLine="0" w:firstLineChars="0"/>
              <w:rPr>
                <w:szCs w:val="18"/>
              </w:rPr>
            </w:pPr>
          </w:p>
        </w:tc>
        <w:tc>
          <w:tcPr>
            <w:tcW w:w="4978" w:type="dxa"/>
          </w:tcPr>
          <w:p>
            <w:pPr>
              <w:pStyle w:val="23"/>
              <w:ind w:firstLine="0" w:firstLineChars="0"/>
              <w:rPr>
                <w:szCs w:val="18"/>
              </w:rPr>
            </w:pPr>
            <w:r>
              <w:rPr>
                <w:szCs w:val="18"/>
              </w:rPr>
              <w:drawing>
                <wp:inline distT="0" distB="0" distL="0" distR="0">
                  <wp:extent cx="3084195" cy="2456815"/>
                  <wp:effectExtent l="0" t="0" r="1905" b="635"/>
                  <wp:docPr id="2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84195" cy="2456815"/>
                          </a:xfrm>
                          <a:prstGeom prst="rect">
                            <a:avLst/>
                          </a:prstGeom>
                          <a:noFill/>
                          <a:ln>
                            <a:noFill/>
                          </a:ln>
                        </pic:spPr>
                      </pic:pic>
                    </a:graphicData>
                  </a:graphic>
                </wp:inline>
              </w:drawing>
            </w:r>
          </w:p>
        </w:tc>
      </w:tr>
    </w:tbl>
    <w:p>
      <w:pPr>
        <w:pStyle w:val="129"/>
      </w:pPr>
      <w:r>
        <w:rPr>
          <w:rFonts w:hint="eastAsia" w:hAnsi="黑体"/>
        </w:rPr>
        <w:t>因变量和控制变量之间的二次关系</w:t>
      </w:r>
    </w:p>
    <w:p>
      <w:pPr>
        <w:pStyle w:val="42"/>
      </w:pPr>
      <w:bookmarkStart w:id="264" w:name="_Toc124173974"/>
      <w:r>
        <w:rPr>
          <w:rFonts w:hint="eastAsia"/>
        </w:rPr>
        <w:t>方法</w:t>
      </w:r>
      <w:bookmarkEnd w:id="264"/>
    </w:p>
    <w:p>
      <w:pPr>
        <w:pStyle w:val="46"/>
        <w:spacing w:before="156" w:after="156"/>
      </w:pPr>
      <w:r>
        <w:rPr>
          <w:rFonts w:hint="eastAsia"/>
        </w:rPr>
        <w:t>概述</w:t>
      </w:r>
    </w:p>
    <w:p>
      <w:pPr>
        <w:pStyle w:val="113"/>
      </w:pPr>
      <w:r>
        <w:rPr>
          <w:rFonts w:hint="eastAsia"/>
        </w:rPr>
        <w:t>这里给出了设计和分析描述性和比较性实验的步骤，其原理已在17.1中解释。示例显示在方框中。</w:t>
      </w:r>
    </w:p>
    <w:p>
      <w:pPr>
        <w:pStyle w:val="113"/>
      </w:pPr>
      <w:r>
        <w:rPr>
          <w:rFonts w:hint="eastAsia"/>
        </w:rPr>
        <w:t>不包括设计和分析两水平(部分)因素实验或复合实验的步骤。必要的理论和方法学超出了本文件的范围。有软件可以自动处理这些步骤。</w:t>
      </w:r>
    </w:p>
    <w:p>
      <w:pPr>
        <w:pStyle w:val="113"/>
      </w:pPr>
      <w:r>
        <w:rPr>
          <w:rFonts w:hint="eastAsia"/>
        </w:rPr>
        <w:t>在下述所有步骤中都用到</w:t>
      </w:r>
      <w:r>
        <w:rPr>
          <w:rFonts w:ascii="Times New Roman"/>
          <w:i/>
        </w:rPr>
        <w:t>Z</w:t>
      </w:r>
      <w:r>
        <w:rPr>
          <w:rFonts w:hint="eastAsia"/>
        </w:rPr>
        <w:t>分数（见</w:t>
      </w:r>
      <w:r>
        <w:t>6.2.1.1</w:t>
      </w:r>
      <w:r>
        <w:rPr>
          <w:rFonts w:hint="eastAsia"/>
        </w:rPr>
        <w:t>）。这些是标准化的正态变量，可从公布的统计表中获得。不过，为方便使用本文件，表</w:t>
      </w:r>
      <w:r>
        <w:t>42</w:t>
      </w:r>
      <w:r>
        <w:rPr>
          <w:rFonts w:hint="eastAsia"/>
        </w:rPr>
        <w:t>所列的摘录部分应该足够了。</w:t>
      </w:r>
    </w:p>
    <w:p>
      <w:pPr>
        <w:pStyle w:val="23"/>
      </w:pPr>
    </w:p>
    <w:p>
      <w:pPr>
        <w:pStyle w:val="127"/>
        <w:jc w:val="both"/>
      </w:pPr>
      <w:r>
        <w:rPr>
          <w:rFonts w:hint="eastAsia" w:hAnsi="黑体"/>
        </w:rPr>
        <w:t>Z分数</w:t>
      </w:r>
    </w:p>
    <w:tbl>
      <w:tblPr>
        <w:tblStyle w:val="33"/>
        <w:tblW w:w="5000" w:type="pct"/>
        <w:tblInd w:w="0" w:type="dxa"/>
        <w:tblLayout w:type="autofit"/>
        <w:tblCellMar>
          <w:top w:w="0" w:type="dxa"/>
          <w:left w:w="108" w:type="dxa"/>
          <w:bottom w:w="0" w:type="dxa"/>
          <w:right w:w="108" w:type="dxa"/>
        </w:tblCellMar>
      </w:tblPr>
      <w:tblGrid>
        <w:gridCol w:w="2793"/>
        <w:gridCol w:w="2949"/>
        <w:gridCol w:w="3828"/>
      </w:tblGrid>
      <w:tr>
        <w:tblPrEx>
          <w:tblCellMar>
            <w:top w:w="0" w:type="dxa"/>
            <w:left w:w="108" w:type="dxa"/>
            <w:bottom w:w="0" w:type="dxa"/>
            <w:right w:w="108" w:type="dxa"/>
          </w:tblCellMar>
        </w:tblPrEx>
        <w:trPr>
          <w:trHeight w:val="270" w:hRule="atLeast"/>
        </w:trPr>
        <w:tc>
          <w:tcPr>
            <w:tcW w:w="1459" w:type="pct"/>
            <w:tcBorders>
              <w:top w:val="single" w:color="auto" w:sz="4" w:space="0"/>
              <w:left w:val="single" w:color="auto" w:sz="4" w:space="0"/>
              <w:bottom w:val="nil"/>
              <w:right w:val="single" w:color="auto" w:sz="4" w:space="0"/>
            </w:tcBorders>
            <w:noWrap/>
            <w:vAlign w:val="center"/>
          </w:tcPr>
          <w:p>
            <w:pPr>
              <w:widowControl/>
              <w:jc w:val="center"/>
              <w:rPr>
                <w:color w:val="000000"/>
                <w:kern w:val="0"/>
                <w:sz w:val="20"/>
                <w:szCs w:val="20"/>
              </w:rPr>
            </w:pPr>
            <w:r>
              <w:rPr>
                <w:i/>
                <w:color w:val="000000"/>
                <w:kern w:val="0"/>
                <w:sz w:val="20"/>
                <w:szCs w:val="20"/>
              </w:rPr>
              <w:t>α</w:t>
            </w:r>
            <w:r>
              <w:rPr>
                <w:color w:val="000000"/>
                <w:kern w:val="0"/>
                <w:sz w:val="20"/>
                <w:szCs w:val="20"/>
              </w:rPr>
              <w:t>(或</w:t>
            </w:r>
            <w:r>
              <w:rPr>
                <w:i/>
                <w:color w:val="000000"/>
                <w:kern w:val="0"/>
                <w:sz w:val="20"/>
                <w:szCs w:val="20"/>
              </w:rPr>
              <w:t>β</w:t>
            </w:r>
            <w:r>
              <w:rPr>
                <w:color w:val="000000"/>
                <w:kern w:val="0"/>
                <w:sz w:val="20"/>
                <w:szCs w:val="20"/>
              </w:rPr>
              <w:t>)</w:t>
            </w:r>
          </w:p>
        </w:tc>
        <w:tc>
          <w:tcPr>
            <w:tcW w:w="1541" w:type="pct"/>
            <w:tcBorders>
              <w:top w:val="single" w:color="auto" w:sz="4" w:space="0"/>
              <w:left w:val="nil"/>
              <w:bottom w:val="nil"/>
              <w:right w:val="single" w:color="auto" w:sz="4" w:space="0"/>
            </w:tcBorders>
            <w:noWrap/>
            <w:vAlign w:val="center"/>
          </w:tcPr>
          <w:p>
            <w:pPr>
              <w:widowControl/>
              <w:jc w:val="center"/>
              <w:rPr>
                <w:color w:val="000000"/>
                <w:kern w:val="0"/>
                <w:sz w:val="20"/>
                <w:szCs w:val="20"/>
              </w:rPr>
            </w:pPr>
            <w:r>
              <w:rPr>
                <w:i/>
                <w:color w:val="000000"/>
                <w:kern w:val="0"/>
                <w:sz w:val="20"/>
                <w:szCs w:val="20"/>
              </w:rPr>
              <w:t>Z</w:t>
            </w:r>
            <w:r>
              <w:rPr>
                <w:color w:val="000000"/>
                <w:kern w:val="0"/>
                <w:sz w:val="20"/>
                <w:szCs w:val="20"/>
                <w:vertAlign w:val="subscript"/>
              </w:rPr>
              <w:t>α</w:t>
            </w:r>
          </w:p>
        </w:tc>
        <w:tc>
          <w:tcPr>
            <w:tcW w:w="2000" w:type="pct"/>
            <w:tcBorders>
              <w:top w:val="single" w:color="auto" w:sz="4" w:space="0"/>
              <w:left w:val="nil"/>
              <w:bottom w:val="nil"/>
              <w:right w:val="single" w:color="auto" w:sz="4" w:space="0"/>
            </w:tcBorders>
            <w:noWrap/>
            <w:vAlign w:val="center"/>
          </w:tcPr>
          <w:p>
            <w:pPr>
              <w:widowControl/>
              <w:jc w:val="center"/>
              <w:rPr>
                <w:color w:val="000000"/>
                <w:kern w:val="0"/>
                <w:sz w:val="20"/>
                <w:szCs w:val="20"/>
              </w:rPr>
            </w:pPr>
            <w:r>
              <w:rPr>
                <w:i/>
                <w:color w:val="000000"/>
                <w:kern w:val="0"/>
                <w:sz w:val="20"/>
                <w:szCs w:val="20"/>
              </w:rPr>
              <w:t>Z</w:t>
            </w:r>
            <w:r>
              <w:rPr>
                <w:color w:val="000000"/>
                <w:kern w:val="0"/>
                <w:sz w:val="20"/>
                <w:szCs w:val="20"/>
                <w:vertAlign w:val="subscript"/>
              </w:rPr>
              <w:t>α</w:t>
            </w:r>
          </w:p>
        </w:tc>
      </w:tr>
      <w:tr>
        <w:tblPrEx>
          <w:tblCellMar>
            <w:top w:w="0" w:type="dxa"/>
            <w:left w:w="108" w:type="dxa"/>
            <w:bottom w:w="0" w:type="dxa"/>
            <w:right w:w="108" w:type="dxa"/>
          </w:tblCellMar>
        </w:tblPrEx>
        <w:trPr>
          <w:trHeight w:val="270" w:hRule="atLeast"/>
        </w:trPr>
        <w:tc>
          <w:tcPr>
            <w:tcW w:w="1459" w:type="pct"/>
            <w:tcBorders>
              <w:top w:val="nil"/>
              <w:left w:val="single" w:color="auto" w:sz="4" w:space="0"/>
              <w:bottom w:val="single" w:color="auto" w:sz="4" w:space="0"/>
              <w:right w:val="single" w:color="auto" w:sz="4" w:space="0"/>
            </w:tcBorders>
            <w:noWrap/>
            <w:vAlign w:val="center"/>
          </w:tcPr>
          <w:p>
            <w:pPr>
              <w:widowControl/>
              <w:jc w:val="left"/>
              <w:rPr>
                <w:szCs w:val="22"/>
              </w:rPr>
            </w:pPr>
          </w:p>
        </w:tc>
        <w:tc>
          <w:tcPr>
            <w:tcW w:w="1541"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(单侧)</w:t>
            </w:r>
          </w:p>
        </w:tc>
        <w:tc>
          <w:tcPr>
            <w:tcW w:w="2000"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(双侧)</w:t>
            </w:r>
          </w:p>
        </w:tc>
      </w:tr>
      <w:tr>
        <w:tblPrEx>
          <w:tblCellMar>
            <w:top w:w="0" w:type="dxa"/>
            <w:left w:w="108" w:type="dxa"/>
            <w:bottom w:w="0" w:type="dxa"/>
            <w:right w:w="108" w:type="dxa"/>
          </w:tblCellMar>
        </w:tblPrEx>
        <w:trPr>
          <w:trHeight w:val="270" w:hRule="atLeast"/>
        </w:trPr>
        <w:tc>
          <w:tcPr>
            <w:tcW w:w="145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0.01</w:t>
            </w:r>
          </w:p>
        </w:tc>
        <w:tc>
          <w:tcPr>
            <w:tcW w:w="1541"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2.326</w:t>
            </w:r>
          </w:p>
        </w:tc>
        <w:tc>
          <w:tcPr>
            <w:tcW w:w="2000"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2.576</w:t>
            </w:r>
          </w:p>
        </w:tc>
      </w:tr>
      <w:tr>
        <w:tblPrEx>
          <w:tblCellMar>
            <w:top w:w="0" w:type="dxa"/>
            <w:left w:w="108" w:type="dxa"/>
            <w:bottom w:w="0" w:type="dxa"/>
            <w:right w:w="108" w:type="dxa"/>
          </w:tblCellMar>
        </w:tblPrEx>
        <w:trPr>
          <w:trHeight w:val="270" w:hRule="atLeast"/>
        </w:trPr>
        <w:tc>
          <w:tcPr>
            <w:tcW w:w="145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0.05</w:t>
            </w:r>
          </w:p>
        </w:tc>
        <w:tc>
          <w:tcPr>
            <w:tcW w:w="1541"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1.645</w:t>
            </w:r>
          </w:p>
        </w:tc>
        <w:tc>
          <w:tcPr>
            <w:tcW w:w="2000"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1.960</w:t>
            </w:r>
          </w:p>
        </w:tc>
      </w:tr>
      <w:tr>
        <w:tblPrEx>
          <w:tblCellMar>
            <w:top w:w="0" w:type="dxa"/>
            <w:left w:w="108" w:type="dxa"/>
            <w:bottom w:w="0" w:type="dxa"/>
            <w:right w:w="108" w:type="dxa"/>
          </w:tblCellMar>
        </w:tblPrEx>
        <w:trPr>
          <w:trHeight w:val="270" w:hRule="atLeast"/>
        </w:trPr>
        <w:tc>
          <w:tcPr>
            <w:tcW w:w="145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0.10</w:t>
            </w:r>
          </w:p>
        </w:tc>
        <w:tc>
          <w:tcPr>
            <w:tcW w:w="1541"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1.282</w:t>
            </w:r>
          </w:p>
        </w:tc>
        <w:tc>
          <w:tcPr>
            <w:tcW w:w="2000"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1.645</w:t>
            </w:r>
          </w:p>
        </w:tc>
      </w:tr>
      <w:tr>
        <w:trPr>
          <w:trHeight w:val="270" w:hRule="atLeast"/>
        </w:trPr>
        <w:tc>
          <w:tcPr>
            <w:tcW w:w="145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0.15</w:t>
            </w:r>
          </w:p>
        </w:tc>
        <w:tc>
          <w:tcPr>
            <w:tcW w:w="1541"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1.036</w:t>
            </w:r>
          </w:p>
        </w:tc>
        <w:tc>
          <w:tcPr>
            <w:tcW w:w="2000"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1.440</w:t>
            </w:r>
          </w:p>
        </w:tc>
      </w:tr>
      <w:tr>
        <w:tblPrEx>
          <w:tblCellMar>
            <w:top w:w="0" w:type="dxa"/>
            <w:left w:w="108" w:type="dxa"/>
            <w:bottom w:w="0" w:type="dxa"/>
            <w:right w:w="108" w:type="dxa"/>
          </w:tblCellMar>
        </w:tblPrEx>
        <w:trPr>
          <w:trHeight w:val="270" w:hRule="atLeast"/>
        </w:trPr>
        <w:tc>
          <w:tcPr>
            <w:tcW w:w="145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0.20</w:t>
            </w:r>
          </w:p>
        </w:tc>
        <w:tc>
          <w:tcPr>
            <w:tcW w:w="1541"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0.842</w:t>
            </w:r>
          </w:p>
        </w:tc>
        <w:tc>
          <w:tcPr>
            <w:tcW w:w="2000"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1.282</w:t>
            </w:r>
          </w:p>
        </w:tc>
      </w:tr>
      <w:tr>
        <w:tblPrEx>
          <w:tblCellMar>
            <w:top w:w="0" w:type="dxa"/>
            <w:left w:w="108" w:type="dxa"/>
            <w:bottom w:w="0" w:type="dxa"/>
            <w:right w:w="108" w:type="dxa"/>
          </w:tblCellMar>
        </w:tblPrEx>
        <w:trPr>
          <w:trHeight w:val="270" w:hRule="atLeast"/>
        </w:trPr>
        <w:tc>
          <w:tcPr>
            <w:tcW w:w="145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0.25</w:t>
            </w:r>
          </w:p>
        </w:tc>
        <w:tc>
          <w:tcPr>
            <w:tcW w:w="1541"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0.675</w:t>
            </w:r>
          </w:p>
        </w:tc>
        <w:tc>
          <w:tcPr>
            <w:tcW w:w="2000"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1.150</w:t>
            </w:r>
          </w:p>
        </w:tc>
      </w:tr>
      <w:tr>
        <w:tblPrEx>
          <w:tblCellMar>
            <w:top w:w="0" w:type="dxa"/>
            <w:left w:w="108" w:type="dxa"/>
            <w:bottom w:w="0" w:type="dxa"/>
            <w:right w:w="108" w:type="dxa"/>
          </w:tblCellMar>
        </w:tblPrEx>
        <w:trPr>
          <w:trHeight w:val="270" w:hRule="atLeast"/>
        </w:trPr>
        <w:tc>
          <w:tcPr>
            <w:tcW w:w="145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0.30</w:t>
            </w:r>
          </w:p>
        </w:tc>
        <w:tc>
          <w:tcPr>
            <w:tcW w:w="1541"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0.524</w:t>
            </w:r>
          </w:p>
        </w:tc>
        <w:tc>
          <w:tcPr>
            <w:tcW w:w="2000"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1.036</w:t>
            </w:r>
          </w:p>
        </w:tc>
      </w:tr>
      <w:tr>
        <w:tblPrEx>
          <w:tblCellMar>
            <w:top w:w="0" w:type="dxa"/>
            <w:left w:w="108" w:type="dxa"/>
            <w:bottom w:w="0" w:type="dxa"/>
            <w:right w:w="108" w:type="dxa"/>
          </w:tblCellMar>
        </w:tblPrEx>
        <w:trPr>
          <w:trHeight w:val="270" w:hRule="atLeast"/>
        </w:trPr>
        <w:tc>
          <w:tcPr>
            <w:tcW w:w="145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0.35</w:t>
            </w:r>
          </w:p>
        </w:tc>
        <w:tc>
          <w:tcPr>
            <w:tcW w:w="1541"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0.385</w:t>
            </w:r>
          </w:p>
        </w:tc>
        <w:tc>
          <w:tcPr>
            <w:tcW w:w="2000"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0.935</w:t>
            </w:r>
          </w:p>
        </w:tc>
      </w:tr>
      <w:tr>
        <w:tblPrEx>
          <w:tblCellMar>
            <w:top w:w="0" w:type="dxa"/>
            <w:left w:w="108" w:type="dxa"/>
            <w:bottom w:w="0" w:type="dxa"/>
            <w:right w:w="108" w:type="dxa"/>
          </w:tblCellMar>
        </w:tblPrEx>
        <w:trPr>
          <w:trHeight w:val="270" w:hRule="atLeast"/>
        </w:trPr>
        <w:tc>
          <w:tcPr>
            <w:tcW w:w="1459"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0.40</w:t>
            </w:r>
          </w:p>
        </w:tc>
        <w:tc>
          <w:tcPr>
            <w:tcW w:w="1541"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0.253</w:t>
            </w:r>
          </w:p>
        </w:tc>
        <w:tc>
          <w:tcPr>
            <w:tcW w:w="2000" w:type="pct"/>
            <w:tcBorders>
              <w:top w:val="nil"/>
              <w:left w:val="nil"/>
              <w:bottom w:val="single" w:color="auto" w:sz="4" w:space="0"/>
              <w:right w:val="single" w:color="auto" w:sz="4" w:space="0"/>
            </w:tcBorders>
            <w:noWrap/>
            <w:vAlign w:val="center"/>
          </w:tcPr>
          <w:p>
            <w:pPr>
              <w:widowControl/>
              <w:jc w:val="center"/>
              <w:rPr>
                <w:color w:val="000000"/>
                <w:kern w:val="0"/>
                <w:sz w:val="20"/>
                <w:szCs w:val="20"/>
              </w:rPr>
            </w:pPr>
            <w:r>
              <w:rPr>
                <w:color w:val="000000"/>
                <w:kern w:val="0"/>
                <w:sz w:val="20"/>
                <w:szCs w:val="20"/>
              </w:rPr>
              <w:t>0.842</w:t>
            </w:r>
          </w:p>
        </w:tc>
      </w:tr>
    </w:tbl>
    <w:p>
      <w:pPr>
        <w:pStyle w:val="23"/>
      </w:pPr>
    </w:p>
    <w:p>
      <w:pPr>
        <w:pStyle w:val="46"/>
        <w:spacing w:before="156" w:after="156"/>
      </w:pPr>
      <w:r>
        <w:rPr>
          <w:rFonts w:hint="eastAsia"/>
        </w:rPr>
        <w:t>描述性实验</w:t>
      </w:r>
    </w:p>
    <w:p>
      <w:pPr>
        <w:tabs>
          <w:tab w:val="left" w:pos="284"/>
          <w:tab w:val="left" w:pos="567"/>
        </w:tabs>
        <w:ind w:firstLine="420" w:firstLineChars="200"/>
      </w:pPr>
      <w:r>
        <w:rPr>
          <w:rFonts w:hint="eastAsia"/>
        </w:rPr>
        <w:t>标准材料的均值宜以指定的置信区间</w:t>
      </w:r>
      <w:r>
        <w:t>2</w:t>
      </w:r>
      <w:r>
        <w:rPr>
          <w:i/>
        </w:rPr>
        <w:t>c</w:t>
      </w:r>
      <w:r>
        <w:rPr>
          <w:vertAlign w:val="subscript"/>
        </w:rPr>
        <w:t>I</w:t>
      </w:r>
      <w:r>
        <w:rPr>
          <w:rFonts w:hint="eastAsia"/>
        </w:rPr>
        <w:t>报告。置信区间宜陈述为百分比置信度，如式（90）给出：</w:t>
      </w:r>
    </w:p>
    <w:p>
      <w:pPr>
        <w:tabs>
          <w:tab w:val="left" w:pos="284"/>
          <w:tab w:val="left" w:pos="567"/>
        </w:tabs>
        <w:ind w:firstLine="630" w:firstLineChars="300"/>
      </w:pPr>
      <m:oMath>
        <m:r>
          <m:rPr>
            <m:sty m:val="p"/>
          </m:rPr>
          <w:rPr>
            <w:rFonts w:ascii="Cambria Math" w:hAnsi="Cambria Math"/>
          </w:rPr>
          <m:t>2</m:t>
        </m:r>
        <m:sSub>
          <m:sSubPr>
            <m:ctrlPr>
              <w:rPr>
                <w:rFonts w:ascii="Cambria Math" w:hAnsi="Cambria Math"/>
                <w:szCs w:val="22"/>
              </w:rPr>
            </m:ctrlPr>
          </m:sSubPr>
          <m:e>
            <m:r>
              <m:rPr/>
              <w:rPr>
                <w:rFonts w:ascii="Cambria Math" w:hAnsi="Cambria Math"/>
              </w:rPr>
              <m:t>c</m:t>
            </m:r>
            <m:ctrlPr>
              <w:rPr>
                <w:rFonts w:ascii="Cambria Math" w:hAnsi="Cambria Math"/>
                <w:szCs w:val="22"/>
              </w:rPr>
            </m:ctrlPr>
          </m:e>
          <m:sub>
            <m:r>
              <m:rPr>
                <m:sty m:val="p"/>
              </m:rPr>
              <w:rPr>
                <w:rFonts w:ascii="Cambria Math" w:hAnsi="Cambria Math"/>
              </w:rPr>
              <m:t>I</m:t>
            </m:r>
            <m:ctrlPr>
              <w:rPr>
                <w:rFonts w:ascii="Cambria Math" w:hAnsi="Cambria Math"/>
                <w:szCs w:val="22"/>
              </w:rPr>
            </m:ctrlPr>
          </m:sub>
        </m:sSub>
        <m:r>
          <m:rPr>
            <m:sty m:val="p"/>
          </m:rPr>
          <w:rPr>
            <w:rFonts w:ascii="Cambria Math" w:hAnsi="Cambria Math"/>
          </w:rPr>
          <m:t>=100(1−α)</m:t>
        </m:r>
      </m:oMath>
      <w:r>
        <w:t xml:space="preserve">   </w:t>
      </w:r>
      <w:r>
        <w:rPr>
          <w:rFonts w:hint="eastAsia"/>
        </w:rPr>
        <w:t xml:space="preserve">            </w:t>
      </w:r>
      <w:r>
        <w:t xml:space="preserve">                                                (90)</w:t>
      </w:r>
    </w:p>
    <w:p>
      <w:pPr>
        <w:tabs>
          <w:tab w:val="left" w:pos="284"/>
          <w:tab w:val="left" w:pos="567"/>
        </w:tabs>
        <w:ind w:firstLine="420" w:firstLineChars="200"/>
      </w:pPr>
      <w:r>
        <w:rPr>
          <w:rFonts w:hint="eastAsia"/>
        </w:rPr>
        <w:t>步骤如下：</w:t>
      </w:r>
    </w:p>
    <w:p>
      <w:pPr>
        <w:pStyle w:val="59"/>
        <w:numPr>
          <w:ilvl w:val="0"/>
          <w:numId w:val="58"/>
        </w:numPr>
      </w:pPr>
      <w:r>
        <w:rPr>
          <w:rFonts w:hint="eastAsia"/>
        </w:rPr>
        <w:t>通过至少对</w:t>
      </w:r>
      <w:r>
        <w:t>5</w:t>
      </w:r>
      <w:r>
        <w:rPr>
          <w:rFonts w:hint="eastAsia"/>
        </w:rPr>
        <w:t>个随机选择的试样进行测试的初步实验，获得潜在总体方差</w:t>
      </w:r>
      <w:r>
        <w:t>(</w:t>
      </w:r>
      <w:r>
        <w:rPr/>
        <w:sym w:font="Symbol" w:char="0073"/>
      </w:r>
      <w:r>
        <w:rPr>
          <w:vertAlign w:val="superscript"/>
        </w:rPr>
        <w:t>2</w:t>
      </w:r>
      <w:r>
        <w:t>)</w:t>
      </w:r>
      <w:r>
        <w:rPr>
          <w:rFonts w:hint="eastAsia"/>
        </w:rPr>
        <w:t>的估计。</w:t>
      </w:r>
    </w:p>
    <w:tbl>
      <w:tblPr>
        <w:tblStyle w:val="33"/>
        <w:tblW w:w="1357"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right"/>
        </w:trPr>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sym w:font="Symbol" w:char="0073"/>
            </w:r>
            <w:r>
              <w:rPr>
                <w:vertAlign w:val="superscript"/>
              </w:rPr>
              <w:t>2</w:t>
            </w:r>
            <w:r>
              <w:t>=2</w:t>
            </w:r>
          </w:p>
        </w:tc>
      </w:tr>
    </w:tbl>
    <w:p>
      <w:pPr>
        <w:rPr>
          <w:vanish/>
        </w:rPr>
      </w:pPr>
    </w:p>
    <w:tbl>
      <w:tblPr>
        <w:tblStyle w:val="33"/>
        <w:tblpPr w:leftFromText="180" w:rightFromText="180" w:vertAnchor="text" w:horzAnchor="margin" w:tblpXSpec="right" w:tblpY="492"/>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i/>
              </w:rPr>
              <w:t>c</w:t>
            </w:r>
            <w:r>
              <w:rPr>
                <w:vertAlign w:val="subscript"/>
              </w:rPr>
              <w:t>I</w:t>
            </w:r>
            <w:r>
              <w:t>=1</w:t>
            </w:r>
          </w:p>
        </w:tc>
      </w:tr>
    </w:tbl>
    <w:p>
      <w:pPr>
        <w:pStyle w:val="59"/>
        <w:rPr>
          <w:kern w:val="2"/>
          <w:szCs w:val="22"/>
        </w:rPr>
      </w:pPr>
      <w:r>
        <w:rPr>
          <w:rFonts w:hint="eastAsia"/>
        </w:rPr>
        <w:t>陈述期望的置信区间的半宽</w:t>
      </w:r>
      <w:r>
        <w:rPr>
          <w:i/>
        </w:rPr>
        <w:t>c</w:t>
      </w:r>
      <w:r>
        <w:rPr>
          <w:vertAlign w:val="subscript"/>
        </w:rPr>
        <w:t>I</w:t>
      </w:r>
      <w:r>
        <w:rPr>
          <w:rFonts w:hint="eastAsia"/>
        </w:rPr>
        <w:t>。</w:t>
      </w:r>
    </w:p>
    <w:p>
      <w:pPr>
        <w:tabs>
          <w:tab w:val="left" w:pos="284"/>
          <w:tab w:val="left" w:pos="567"/>
        </w:tabs>
        <w:spacing w:before="156" w:beforeLines="50" w:after="156" w:afterLines="50" w:line="0" w:lineRule="atLeast"/>
        <w:ind w:firstLine="420" w:firstLineChars="200"/>
      </w:pPr>
    </w:p>
    <w:p>
      <w:pPr>
        <w:tabs>
          <w:tab w:val="left" w:pos="284"/>
          <w:tab w:val="left" w:pos="567"/>
        </w:tabs>
        <w:spacing w:before="156" w:beforeLines="50" w:after="156" w:afterLines="50" w:line="0" w:lineRule="atLeast"/>
        <w:ind w:firstLine="420" w:firstLineChars="200"/>
      </w:pPr>
    </w:p>
    <w:p>
      <w:pPr>
        <w:pStyle w:val="59"/>
      </w:pPr>
      <w:r>
        <w:rPr>
          <w:rFonts w:hint="eastAsia"/>
        </w:rPr>
        <w:t>陈述</w:t>
      </w:r>
      <w:r>
        <w:rPr>
          <w:i/>
        </w:rPr>
        <w:t>α</w:t>
      </w:r>
      <w:r>
        <w:rPr>
          <w:rFonts w:hint="eastAsia"/>
        </w:rPr>
        <w:t>作为所需置信区间的代表。</w:t>
      </w:r>
    </w:p>
    <w:p>
      <w:pPr>
        <w:tabs>
          <w:tab w:val="left" w:pos="284"/>
          <w:tab w:val="left" w:pos="567"/>
        </w:tabs>
        <w:spacing w:before="156" w:beforeLines="50" w:after="156" w:afterLines="50" w:line="0" w:lineRule="atLeast"/>
        <w:ind w:left="420" w:leftChars="200" w:firstLine="420" w:firstLineChars="200"/>
      </w:pPr>
      <w:r>
        <w:rPr>
          <w:rFonts w:hint="eastAsia"/>
        </w:rPr>
        <w:t>对于</w:t>
      </w:r>
      <w:r>
        <w:t>95%</w:t>
      </w:r>
      <w:r>
        <w:rPr>
          <w:rFonts w:hint="eastAsia"/>
        </w:rPr>
        <w:t>的置信区间：</w:t>
      </w:r>
    </w:p>
    <w:tbl>
      <w:tblPr>
        <w:tblStyle w:val="33"/>
        <w:tblpPr w:leftFromText="180" w:rightFromText="180" w:vertAnchor="text" w:horzAnchor="margin" w:tblpXSpec="right" w:tblpY="51"/>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i/>
              </w:rPr>
              <w:t>α</w:t>
            </w:r>
            <w:r>
              <w:t>=0.05</w:t>
            </w:r>
          </w:p>
        </w:tc>
      </w:tr>
    </w:tbl>
    <w:p>
      <w:pPr>
        <w:tabs>
          <w:tab w:val="left" w:pos="284"/>
          <w:tab w:val="left" w:pos="567"/>
        </w:tabs>
        <w:spacing w:before="156" w:beforeLines="50" w:after="156" w:afterLines="50" w:line="0" w:lineRule="atLeast"/>
        <w:ind w:firstLine="420" w:firstLineChars="200"/>
        <w:rPr>
          <w:szCs w:val="22"/>
        </w:rPr>
      </w:pPr>
    </w:p>
    <w:p>
      <w:pPr>
        <w:pStyle w:val="59"/>
      </w:pPr>
      <w:r>
        <w:rPr>
          <w:rFonts w:hint="eastAsia"/>
        </w:rPr>
        <w:t>查找</w:t>
      </w:r>
      <w:r>
        <w:rPr>
          <w:rFonts w:ascii="Times New Roman"/>
        </w:rPr>
        <w:t>（表</w:t>
      </w:r>
      <w:r>
        <w:rPr>
          <w:rFonts w:hint="eastAsia" w:ascii="Times New Roman"/>
        </w:rPr>
        <w:t>42）</w:t>
      </w:r>
      <w:r>
        <w:rPr>
          <w:rFonts w:hint="eastAsia"/>
        </w:rPr>
        <w:t>对应双侧的</w:t>
      </w:r>
      <w:r>
        <w:rPr>
          <w:rFonts w:hint="eastAsia"/>
          <w:i/>
        </w:rPr>
        <w:t>Z</w:t>
      </w:r>
      <w:r>
        <w:rPr>
          <w:rFonts w:ascii="Times New Roman"/>
          <w:i/>
          <w:vertAlign w:val="subscript"/>
        </w:rPr>
        <w:t>α</w:t>
      </w:r>
      <w:r>
        <w:rPr>
          <w:rFonts w:hint="eastAsia"/>
        </w:rPr>
        <w:t>值：</w:t>
      </w:r>
    </w:p>
    <w:tbl>
      <w:tblPr>
        <w:tblStyle w:val="33"/>
        <w:tblpPr w:leftFromText="180" w:rightFromText="180" w:vertAnchor="text" w:horzAnchor="margin" w:tblpXSpec="right" w:tblpY="19"/>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rFonts w:hint="eastAsia" w:ascii="宋体" w:hAnsi="宋体"/>
                <w:i/>
              </w:rPr>
              <w:t>Z</w:t>
            </w:r>
            <w:r>
              <w:rPr>
                <w:i/>
                <w:vertAlign w:val="subscript"/>
              </w:rPr>
              <w:t>α</w:t>
            </w:r>
            <w:r>
              <w:t>=1.96</w:t>
            </w:r>
          </w:p>
        </w:tc>
      </w:tr>
    </w:tbl>
    <w:p>
      <w:pPr>
        <w:tabs>
          <w:tab w:val="left" w:pos="284"/>
          <w:tab w:val="left" w:pos="567"/>
        </w:tabs>
        <w:spacing w:before="156" w:beforeLines="50" w:after="156" w:afterLines="50" w:line="0" w:lineRule="atLeast"/>
        <w:ind w:firstLine="420" w:firstLineChars="200"/>
        <w:rPr>
          <w:rFonts w:ascii="宋体" w:hAnsi="宋体"/>
          <w:szCs w:val="22"/>
        </w:rPr>
      </w:pPr>
    </w:p>
    <w:tbl>
      <w:tblPr>
        <w:tblStyle w:val="33"/>
        <w:tblpPr w:leftFromText="180" w:rightFromText="180" w:vertAnchor="text" w:horzAnchor="margin" w:tblpXSpec="right" w:tblpY="317"/>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i/>
              </w:rPr>
              <w:t>N</w:t>
            </w:r>
            <w:r>
              <w:t>=</w:t>
            </w:r>
            <w:r>
              <w:rPr>
                <w:color w:val="FF0000"/>
              </w:rPr>
              <w:t>8</w:t>
            </w:r>
          </w:p>
        </w:tc>
      </w:tr>
    </w:tbl>
    <w:p>
      <w:pPr>
        <w:pStyle w:val="59"/>
        <w:rPr>
          <w:kern w:val="2"/>
          <w:szCs w:val="22"/>
        </w:rPr>
      </w:pPr>
      <w:r>
        <w:rPr>
          <w:rFonts w:hint="eastAsia"/>
        </w:rPr>
        <w:t>计算</w:t>
      </w:r>
      <w:r>
        <w:rPr>
          <w:rFonts w:hint="eastAsia"/>
          <w:i/>
        </w:rPr>
        <w:t>N</w:t>
      </w:r>
      <w:r>
        <w:rPr>
          <w:rFonts w:hint="eastAsia"/>
        </w:rPr>
        <w:t>,取向上圆整(</w:t>
      </w:r>
      <w:r>
        <w:rPr>
          <w:rFonts w:hint="eastAsia"/>
          <w:i/>
        </w:rPr>
        <w:t>Z</w:t>
      </w:r>
      <w:r>
        <w:rPr>
          <w:rFonts w:ascii="Times New Roman"/>
          <w:i/>
          <w:vertAlign w:val="subscript"/>
        </w:rPr>
        <w:t>α</w:t>
      </w:r>
      <w:r>
        <w:rPr>
          <w:rFonts w:ascii="Times New Roman"/>
        </w:rPr>
        <w:sym w:font="Symbol" w:char="0073"/>
      </w:r>
      <w:r>
        <w:rPr>
          <w:rFonts w:ascii="Times New Roman"/>
        </w:rPr>
        <w:t>/c</w:t>
      </w:r>
      <w:r>
        <w:rPr>
          <w:rFonts w:ascii="Times New Roman"/>
          <w:vertAlign w:val="subscript"/>
        </w:rPr>
        <w:t>I</w:t>
      </w:r>
      <w:r>
        <w:rPr>
          <w:rFonts w:ascii="Times New Roman"/>
        </w:rPr>
        <w:t>)</w:t>
      </w:r>
      <w:r>
        <w:rPr>
          <w:rFonts w:ascii="Times New Roman"/>
          <w:vertAlign w:val="superscript"/>
        </w:rPr>
        <w:t>2</w:t>
      </w:r>
      <w:r>
        <w:rPr>
          <w:rFonts w:hint="eastAsia" w:ascii="Times New Roman"/>
        </w:rPr>
        <w:t>的整数。</w:t>
      </w:r>
    </w:p>
    <w:p>
      <w:pPr>
        <w:tabs>
          <w:tab w:val="left" w:pos="284"/>
          <w:tab w:val="left" w:pos="567"/>
        </w:tabs>
        <w:spacing w:before="156" w:beforeLines="50" w:after="156" w:afterLines="50" w:line="0" w:lineRule="atLeast"/>
        <w:ind w:firstLine="420" w:firstLineChars="200"/>
        <w:rPr>
          <w:rFonts w:ascii="宋体" w:hAnsi="宋体"/>
        </w:rPr>
      </w:pPr>
    </w:p>
    <w:p>
      <w:pPr>
        <w:pStyle w:val="59"/>
      </w:pPr>
      <w:r>
        <w:rPr>
          <w:rFonts w:hint="eastAsia"/>
        </w:rPr>
        <w:t>以</w:t>
      </w:r>
      <w:r>
        <w:rPr>
          <w:rFonts w:ascii="Times New Roman"/>
          <w:i/>
        </w:rPr>
        <w:t>N</w:t>
      </w:r>
      <w:r>
        <w:rPr>
          <w:rFonts w:hint="eastAsia"/>
        </w:rPr>
        <w:t>的首次估计作为</w:t>
      </w:r>
      <w:r>
        <w:rPr>
          <w:i/>
        </w:rPr>
        <w:t>t</w:t>
      </w:r>
      <w:r>
        <w:rPr>
          <w:rFonts w:hint="eastAsia"/>
        </w:rPr>
        <w:t>值表</w:t>
      </w:r>
      <w:r>
        <w:t>(</w:t>
      </w:r>
      <w:r>
        <w:rPr>
          <w:rFonts w:hint="eastAsia"/>
        </w:rPr>
        <w:t>见表</w:t>
      </w:r>
      <w:r>
        <w:t>11)</w:t>
      </w:r>
      <w:r>
        <w:rPr>
          <w:rFonts w:hint="eastAsia"/>
        </w:rPr>
        <w:t>的入口点，用对应的</w:t>
      </w:r>
      <w:r>
        <w:rPr>
          <w:i/>
        </w:rPr>
        <w:t>t</w:t>
      </w:r>
      <w:r>
        <w:rPr>
          <w:vertAlign w:val="subscript"/>
        </w:rPr>
        <w:t>α</w:t>
      </w:r>
      <w:r>
        <w:rPr>
          <w:rFonts w:hint="eastAsia"/>
        </w:rPr>
        <w:t>值重复计算得到更保守的</w:t>
      </w:r>
      <w:r>
        <w:rPr>
          <w:rFonts w:ascii="Times New Roman"/>
          <w:i/>
        </w:rPr>
        <w:t>N</w:t>
      </w:r>
      <w:r>
        <w:rPr>
          <w:rFonts w:hint="eastAsia"/>
        </w:rPr>
        <w:t>值。这可以通过以下两个步骤实现：</w:t>
      </w:r>
    </w:p>
    <w:p>
      <w:pPr>
        <w:pStyle w:val="54"/>
      </w:pPr>
      <w:r>
        <w:rPr>
          <w:rFonts w:hint="eastAsia"/>
        </w:rPr>
        <w:t>查找</w:t>
      </w:r>
      <w:r>
        <w:rPr>
          <w:rFonts w:ascii="Times New Roman"/>
          <w:i/>
        </w:rPr>
        <w:t>N</w:t>
      </w:r>
      <w:r>
        <w:rPr>
          <w:rFonts w:hint="eastAsia"/>
        </w:rPr>
        <w:t>对应的</w:t>
      </w:r>
      <w:r>
        <w:rPr>
          <w:rFonts w:ascii="Times New Roman"/>
          <w:i/>
        </w:rPr>
        <w:t>t</w:t>
      </w:r>
      <w:r>
        <w:rPr>
          <w:rFonts w:ascii="Times New Roman"/>
          <w:vertAlign w:val="subscript"/>
        </w:rPr>
        <w:t>α</w:t>
      </w:r>
      <w:r>
        <w:rPr>
          <w:rFonts w:hint="eastAsia"/>
        </w:rPr>
        <w:t>双侧值。</w:t>
      </w:r>
    </w:p>
    <w:tbl>
      <w:tblPr>
        <w:tblStyle w:val="33"/>
        <w:tblpPr w:leftFromText="180" w:rightFromText="180" w:vertAnchor="text" w:horzAnchor="margin" w:tblpXSpec="right" w:tblpY="96"/>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 w:val="center" w:pos="4201"/>
                <w:tab w:val="right" w:leader="dot" w:pos="9298"/>
              </w:tabs>
              <w:autoSpaceDE w:val="0"/>
              <w:autoSpaceDN w:val="0"/>
              <w:spacing w:before="156" w:beforeLines="50" w:after="156" w:afterLines="50" w:line="0" w:lineRule="atLeast"/>
              <w:ind w:firstLine="210" w:firstLineChars="100"/>
              <w:rPr>
                <w:szCs w:val="22"/>
              </w:rPr>
            </w:pPr>
            <w:r>
              <w:rPr>
                <w:i/>
              </w:rPr>
              <w:t>t</w:t>
            </w:r>
            <w:r>
              <w:rPr>
                <w:vertAlign w:val="subscript"/>
              </w:rPr>
              <w:t>α</w:t>
            </w:r>
            <w:r>
              <w:t>=</w:t>
            </w:r>
            <w:r>
              <w:rPr>
                <w:color w:val="FF0000"/>
              </w:rPr>
              <w:t>2.365</w:t>
            </w:r>
          </w:p>
        </w:tc>
      </w:tr>
    </w:tbl>
    <w:p>
      <w:pPr>
        <w:pStyle w:val="59"/>
        <w:numPr>
          <w:ilvl w:val="0"/>
          <w:numId w:val="0"/>
        </w:numPr>
        <w:ind w:left="839"/>
        <w:rPr>
          <w:kern w:val="2"/>
        </w:rPr>
      </w:pPr>
    </w:p>
    <w:p>
      <w:pPr>
        <w:pStyle w:val="59"/>
        <w:numPr>
          <w:ilvl w:val="0"/>
          <w:numId w:val="0"/>
        </w:numPr>
        <w:ind w:left="839"/>
      </w:pPr>
    </w:p>
    <w:p>
      <w:pPr>
        <w:pStyle w:val="54"/>
      </w:pPr>
      <w:r>
        <w:rPr>
          <w:rFonts w:hint="eastAsia"/>
        </w:rPr>
        <w:t>计算</w:t>
      </w:r>
      <w:r>
        <w:rPr>
          <w:rFonts w:ascii="Times New Roman"/>
          <w:i/>
        </w:rPr>
        <w:t>N</w:t>
      </w:r>
      <w:r>
        <w:rPr>
          <w:rFonts w:hint="eastAsia"/>
        </w:rPr>
        <w:t>,取向上圆整 (</w:t>
      </w:r>
      <w:r>
        <w:rPr>
          <w:i/>
        </w:rPr>
        <w:t>t</w:t>
      </w:r>
      <w:r>
        <w:rPr>
          <w:i/>
          <w:vertAlign w:val="subscript"/>
        </w:rPr>
        <w:t>α</w:t>
      </w:r>
      <w:r>
        <w:rPr>
          <w:rFonts w:ascii="Times New Roman"/>
          <w:i/>
        </w:rPr>
        <w:sym w:font="Symbol" w:char="0073"/>
      </w:r>
      <w:r>
        <w:t>/</w:t>
      </w:r>
      <w:r>
        <w:rPr>
          <w:rFonts w:ascii="Times New Roman"/>
          <w:i/>
        </w:rPr>
        <w:t>c</w:t>
      </w:r>
      <w:r>
        <w:rPr>
          <w:vertAlign w:val="subscript"/>
        </w:rPr>
        <w:t>I</w:t>
      </w:r>
      <w:r>
        <w:t>)</w:t>
      </w:r>
      <w:r>
        <w:rPr>
          <w:vertAlign w:val="superscript"/>
        </w:rPr>
        <w:t>2</w:t>
      </w:r>
      <w:r>
        <w:rPr>
          <w:rFonts w:hint="eastAsia"/>
        </w:rPr>
        <w:t>的整数。</w:t>
      </w:r>
    </w:p>
    <w:tbl>
      <w:tblPr>
        <w:tblStyle w:val="33"/>
        <w:tblpPr w:leftFromText="180" w:rightFromText="180" w:vertAnchor="text" w:horzAnchor="margin" w:tblpXSpec="right" w:tblpY="73"/>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i/>
              </w:rPr>
              <w:t>N</w:t>
            </w:r>
            <w:r>
              <w:t>=</w:t>
            </w:r>
            <w:r>
              <w:rPr>
                <w:color w:val="FF0000"/>
              </w:rPr>
              <w:t>12</w:t>
            </w:r>
          </w:p>
        </w:tc>
      </w:tr>
    </w:tbl>
    <w:p>
      <w:pPr>
        <w:pStyle w:val="59"/>
        <w:numPr>
          <w:ilvl w:val="0"/>
          <w:numId w:val="0"/>
        </w:numPr>
        <w:ind w:left="839" w:hanging="419"/>
      </w:pPr>
    </w:p>
    <w:p>
      <w:pPr>
        <w:pStyle w:val="59"/>
        <w:numPr>
          <w:ilvl w:val="0"/>
          <w:numId w:val="0"/>
        </w:numPr>
        <w:ind w:left="839"/>
      </w:pPr>
    </w:p>
    <w:p>
      <w:pPr>
        <w:pStyle w:val="59"/>
      </w:pPr>
      <w:r>
        <w:rPr>
          <w:rFonts w:hint="eastAsia"/>
        </w:rPr>
        <w:t>重复f)中的步骤1)和2），直到得到一个稳定的</w:t>
      </w:r>
      <w:r>
        <w:rPr>
          <w:rFonts w:ascii="Times New Roman"/>
          <w:i/>
        </w:rPr>
        <w:t>N</w:t>
      </w:r>
      <w:r>
        <w:rPr>
          <w:rFonts w:hint="eastAsia"/>
        </w:rPr>
        <w:t>值。</w:t>
      </w:r>
    </w:p>
    <w:p>
      <w:pPr>
        <w:pStyle w:val="46"/>
        <w:spacing w:before="156" w:after="156"/>
      </w:pPr>
      <w:r>
        <w:rPr>
          <w:rFonts w:hint="eastAsia"/>
        </w:rPr>
        <w:t>比较性实验</w:t>
      </w:r>
    </w:p>
    <w:p>
      <w:pPr>
        <w:pStyle w:val="51"/>
        <w:spacing w:before="156" w:after="156"/>
      </w:pPr>
      <w:r>
        <w:rPr>
          <w:rFonts w:hint="eastAsia"/>
        </w:rPr>
        <w:t xml:space="preserve">与标准比较 </w:t>
      </w:r>
    </w:p>
    <w:p>
      <w:pPr>
        <w:tabs>
          <w:tab w:val="left" w:pos="284"/>
          <w:tab w:val="left" w:pos="567"/>
        </w:tabs>
        <w:spacing w:before="156" w:beforeLines="50" w:after="156" w:afterLines="50" w:line="0" w:lineRule="atLeast"/>
        <w:ind w:firstLine="420" w:firstLineChars="200"/>
      </w:pPr>
      <w:r>
        <w:rPr>
          <w:rFonts w:hint="eastAsia"/>
        </w:rPr>
        <w:t>标准材料性能度量的潜在总体具有已知的均值</w:t>
      </w:r>
      <w:r>
        <w:rPr>
          <w:i/>
        </w:rPr>
        <w:sym w:font="Symbol" w:char="006D"/>
      </w:r>
      <w:r>
        <w:rPr>
          <w:vertAlign w:val="subscript"/>
        </w:rPr>
        <w:t>0</w:t>
      </w:r>
      <w:r>
        <w:rPr>
          <w:rFonts w:hint="eastAsia"/>
        </w:rPr>
        <w:t>和已知的方差</w:t>
      </w:r>
      <w:r>
        <w:rPr>
          <w:i/>
        </w:rPr>
        <w:sym w:font="Symbol" w:char="0073"/>
      </w:r>
      <w:r>
        <w:rPr>
          <w:vertAlign w:val="superscript"/>
        </w:rPr>
        <w:t>2</w:t>
      </w:r>
      <w:r>
        <w:rPr>
          <w:rFonts w:hint="eastAsia"/>
        </w:rPr>
        <w:t>。假定新材料的性能具有相同的方差（这可以之后检验），则能够计算出检测到最小改进</w:t>
      </w:r>
      <w:r>
        <w:rPr>
          <w:i/>
        </w:rPr>
        <w:t>δ</w:t>
      </w:r>
      <w:r>
        <w:rPr>
          <w:rFonts w:hint="eastAsia"/>
        </w:rPr>
        <w:t>所需的样本大小。</w:t>
      </w:r>
    </w:p>
    <w:p>
      <w:pPr>
        <w:tabs>
          <w:tab w:val="left" w:pos="284"/>
          <w:tab w:val="left" w:pos="567"/>
        </w:tabs>
        <w:spacing w:before="156" w:beforeLines="50" w:after="156" w:afterLines="50" w:line="0" w:lineRule="atLeast"/>
        <w:ind w:firstLine="420" w:firstLineChars="200"/>
      </w:pPr>
      <w:r>
        <w:rPr>
          <w:rFonts w:hint="eastAsia"/>
        </w:rPr>
        <w:t>步骤如下：</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a) 陈述试验对象。</w:t>
      </w:r>
    </w:p>
    <w:tbl>
      <w:tblPr>
        <w:tblStyle w:val="33"/>
        <w:tblpPr w:leftFromText="180" w:rightFromText="180" w:vertAnchor="text" w:horzAnchor="margin" w:tblpXSpec="right" w:tblpY="93"/>
        <w:tblW w:w="1357" w:type="dxa"/>
        <w:tblInd w:w="0" w:type="dxa"/>
        <w:tblLayout w:type="autofit"/>
        <w:tblCellMar>
          <w:top w:w="0" w:type="dxa"/>
          <w:left w:w="108" w:type="dxa"/>
          <w:bottom w:w="0" w:type="dxa"/>
          <w:right w:w="108" w:type="dxa"/>
        </w:tblCellMar>
      </w:tblPr>
      <w:tblGrid>
        <w:gridCol w:w="1357"/>
      </w:tblGrid>
      <w:tr>
        <w:tblPrEx>
          <w:tblCellMar>
            <w:top w:w="0" w:type="dxa"/>
            <w:left w:w="108" w:type="dxa"/>
            <w:bottom w:w="0" w:type="dxa"/>
            <w:right w:w="108" w:type="dxa"/>
          </w:tblCellMar>
        </w:tblPrEx>
        <w:tc>
          <w:tcPr>
            <w:tcW w:w="1357" w:type="dxa"/>
          </w:tcPr>
          <w:p>
            <w:pPr>
              <w:tabs>
                <w:tab w:val="left" w:pos="284"/>
                <w:tab w:val="left" w:pos="567"/>
              </w:tabs>
              <w:spacing w:before="156" w:beforeLines="50" w:after="156" w:afterLines="50" w:line="0" w:lineRule="atLeast"/>
              <w:jc w:val="center"/>
              <w:rPr>
                <w:rFonts w:ascii="宋体" w:hAnsi="宋体"/>
              </w:rPr>
            </w:pPr>
            <m:oMathPara>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0</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0</m:t>
                    </m:r>
                    <m:ctrlPr>
                      <w:rPr>
                        <w:rFonts w:ascii="Cambria Math" w:hAnsi="Cambria Math"/>
                        <w:i/>
                        <w:szCs w:val="22"/>
                      </w:rPr>
                    </m:ctrlPr>
                  </m:sub>
                </m:sSub>
              </m:oMath>
            </m:oMathPara>
          </w:p>
          <w:p>
            <w:pPr>
              <w:tabs>
                <w:tab w:val="left" w:pos="284"/>
                <w:tab w:val="left" w:pos="567"/>
              </w:tabs>
              <w:spacing w:before="156" w:beforeLines="50" w:after="156" w:afterLines="50" w:line="0" w:lineRule="atLeast"/>
              <w:jc w:val="center"/>
              <w:rPr>
                <w:rFonts w:ascii="宋体" w:hAnsi="宋体"/>
              </w:rPr>
            </w:pPr>
            <m:oMathPara>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a</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w:rPr>
                    <w:rFonts w:ascii="Cambria Math" w:hAnsi="Cambria Math"/>
                  </w:rPr>
                  <m:t>&gt;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0</m:t>
                    </m:r>
                    <m:ctrlPr>
                      <w:rPr>
                        <w:rFonts w:ascii="Cambria Math" w:hAnsi="Cambria Math"/>
                        <w:i/>
                        <w:szCs w:val="22"/>
                      </w:rPr>
                    </m:ctrlPr>
                  </m:sub>
                </m:sSub>
              </m:oMath>
            </m:oMathPara>
          </w:p>
          <w:p>
            <w:pPr>
              <w:tabs>
                <w:tab w:val="left" w:pos="284"/>
                <w:tab w:val="left" w:pos="567"/>
              </w:tabs>
              <w:spacing w:before="156" w:beforeLines="50" w:after="156" w:afterLines="50" w:line="0" w:lineRule="atLeast"/>
              <w:jc w:val="center"/>
              <w:rPr>
                <w:rFonts w:ascii="宋体" w:hAnsi="宋体"/>
                <w:szCs w:val="22"/>
              </w:rPr>
            </w:pPr>
            <w:r>
              <w:rPr>
                <w:rFonts w:hint="eastAsia" w:ascii="宋体" w:hAnsi="宋体"/>
              </w:rPr>
              <w:t>（单侧）</w:t>
            </w:r>
          </w:p>
        </w:tc>
      </w:tr>
    </w:tbl>
    <w:p>
      <w:pPr>
        <w:tabs>
          <w:tab w:val="left" w:pos="284"/>
          <w:tab w:val="left" w:pos="567"/>
        </w:tabs>
        <w:spacing w:before="156" w:beforeLines="50" w:after="156" w:afterLines="50" w:line="0" w:lineRule="atLeast"/>
        <w:ind w:firstLine="420" w:firstLineChars="200"/>
        <w:rPr>
          <w:rFonts w:ascii="宋体" w:hAnsi="宋体"/>
          <w:szCs w:val="22"/>
        </w:rPr>
      </w:pPr>
    </w:p>
    <w:p>
      <w:pPr>
        <w:tabs>
          <w:tab w:val="left" w:pos="284"/>
          <w:tab w:val="left" w:pos="567"/>
        </w:tabs>
        <w:spacing w:before="156" w:beforeLines="50" w:after="156" w:afterLines="50" w:line="0" w:lineRule="atLeast"/>
        <w:ind w:firstLine="420" w:firstLineChars="200"/>
        <w:rPr>
          <w:rFonts w:ascii="宋体" w:hAnsi="宋体"/>
        </w:rPr>
      </w:pPr>
    </w:p>
    <w:p>
      <w:pPr>
        <w:tabs>
          <w:tab w:val="left" w:pos="284"/>
          <w:tab w:val="left" w:pos="567"/>
        </w:tabs>
        <w:spacing w:before="156" w:beforeLines="50" w:after="156" w:afterLines="50" w:line="0" w:lineRule="atLeast"/>
        <w:ind w:firstLine="420" w:firstLineChars="200"/>
        <w:rPr>
          <w:rFonts w:ascii="宋体" w:hAnsi="宋体"/>
        </w:rPr>
      </w:pPr>
    </w:p>
    <w:p>
      <w:pPr>
        <w:tabs>
          <w:tab w:val="left" w:pos="284"/>
          <w:tab w:val="left" w:pos="567"/>
        </w:tabs>
        <w:spacing w:before="156" w:beforeLines="50" w:after="156" w:afterLines="50" w:line="0" w:lineRule="atLeast"/>
        <w:ind w:firstLine="420" w:firstLineChars="200"/>
      </w:pPr>
      <w:r>
        <w:rPr>
          <w:rFonts w:hint="eastAsia" w:ascii="宋体" w:hAnsi="宋体"/>
        </w:rPr>
        <w:t>b) 选择</w:t>
      </w:r>
      <w:r>
        <w:rPr>
          <w:i/>
        </w:rPr>
        <w:t>α</w:t>
      </w:r>
      <w:r>
        <w:rPr>
          <w:rFonts w:hint="eastAsia" w:ascii="宋体" w:hAnsi="宋体"/>
        </w:rPr>
        <w:t>、</w:t>
      </w:r>
      <w:r>
        <w:rPr>
          <w:i/>
        </w:rPr>
        <w:t>β</w:t>
      </w:r>
      <w:r>
        <w:rPr>
          <w:rFonts w:hint="eastAsia" w:ascii="宋体" w:hAnsi="宋体"/>
        </w:rPr>
        <w:t>、</w:t>
      </w:r>
      <w:r>
        <w:rPr>
          <w:i/>
        </w:rPr>
        <w:t>δ</w:t>
      </w:r>
      <w:r>
        <w:rPr>
          <w:rFonts w:hint="eastAsia"/>
        </w:rPr>
        <w:t>。</w:t>
      </w:r>
    </w:p>
    <w:tbl>
      <w:tblPr>
        <w:tblStyle w:val="33"/>
        <w:tblpPr w:leftFromText="180" w:rightFromText="180" w:vertAnchor="text" w:horzAnchor="margin" w:tblpXSpec="right" w:tblpY="223"/>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pPr>
            <w:r>
              <w:rPr>
                <w:i/>
              </w:rPr>
              <w:t>α</w:t>
            </w:r>
            <w:r>
              <w:t>=0.05</w:t>
            </w:r>
          </w:p>
          <w:p>
            <w:pPr>
              <w:tabs>
                <w:tab w:val="left" w:pos="284"/>
                <w:tab w:val="left" w:pos="567"/>
              </w:tabs>
              <w:spacing w:before="156" w:beforeLines="50" w:after="156" w:afterLines="50" w:line="0" w:lineRule="atLeast"/>
              <w:jc w:val="center"/>
            </w:pPr>
            <w:r>
              <w:rPr>
                <w:i/>
              </w:rPr>
              <w:t>β</w:t>
            </w:r>
            <w:r>
              <w:t>=0.01</w:t>
            </w:r>
          </w:p>
          <w:p>
            <w:pPr>
              <w:tabs>
                <w:tab w:val="left" w:pos="284"/>
                <w:tab w:val="left" w:pos="567"/>
              </w:tabs>
              <w:spacing w:before="156" w:beforeLines="50" w:after="156" w:afterLines="50" w:line="0" w:lineRule="atLeast"/>
              <w:jc w:val="center"/>
              <w:rPr>
                <w:szCs w:val="22"/>
              </w:rPr>
            </w:pPr>
            <w:r>
              <w:rPr>
                <w:i/>
              </w:rPr>
              <w:t>δ</w:t>
            </w:r>
            <w:r>
              <w:t>=1</w:t>
            </w:r>
          </w:p>
        </w:tc>
      </w:tr>
    </w:tbl>
    <w:p>
      <w:pPr>
        <w:tabs>
          <w:tab w:val="left" w:pos="284"/>
          <w:tab w:val="left" w:pos="567"/>
        </w:tabs>
        <w:spacing w:before="156" w:beforeLines="50" w:after="156" w:afterLines="50" w:line="0" w:lineRule="atLeast"/>
        <w:ind w:firstLine="420" w:firstLineChars="200"/>
        <w:rPr>
          <w:szCs w:val="22"/>
        </w:rPr>
      </w:pPr>
    </w:p>
    <w:p>
      <w:pPr>
        <w:tabs>
          <w:tab w:val="left" w:pos="284"/>
          <w:tab w:val="left" w:pos="567"/>
        </w:tabs>
        <w:spacing w:before="156" w:beforeLines="50" w:after="156" w:afterLines="50" w:line="0" w:lineRule="atLeast"/>
        <w:ind w:firstLine="420" w:firstLineChars="200"/>
      </w:pPr>
    </w:p>
    <w:p>
      <w:pPr>
        <w:tabs>
          <w:tab w:val="left" w:pos="284"/>
          <w:tab w:val="left" w:pos="567"/>
        </w:tabs>
        <w:spacing w:before="156" w:beforeLines="50" w:after="156" w:afterLines="50" w:line="0" w:lineRule="atLeast"/>
        <w:ind w:firstLine="420" w:firstLineChars="200"/>
      </w:pPr>
    </w:p>
    <w:p>
      <w:pPr>
        <w:tabs>
          <w:tab w:val="left" w:pos="284"/>
          <w:tab w:val="left" w:pos="567"/>
        </w:tabs>
        <w:spacing w:before="156" w:beforeLines="50" w:after="156" w:afterLines="50" w:line="0" w:lineRule="atLeast"/>
        <w:ind w:firstLine="420" w:firstLineChars="200"/>
      </w:pPr>
    </w:p>
    <w:p>
      <w:pPr>
        <w:tabs>
          <w:tab w:val="left" w:pos="284"/>
          <w:tab w:val="left" w:pos="567"/>
        </w:tabs>
        <w:spacing w:before="156" w:beforeLines="50" w:after="156" w:afterLines="50" w:line="0" w:lineRule="atLeast"/>
        <w:ind w:firstLine="420" w:firstLineChars="200"/>
      </w:pPr>
      <w:r>
        <w:t xml:space="preserve">c) </w:t>
      </w:r>
      <w:r>
        <w:rPr>
          <w:rFonts w:hint="eastAsia"/>
        </w:rPr>
        <w:t>查</w:t>
      </w:r>
      <w:r>
        <w:rPr>
          <w:i/>
        </w:rPr>
        <w:t>Z</w:t>
      </w:r>
      <w:r>
        <w:rPr>
          <w:i/>
          <w:vertAlign w:val="subscript"/>
        </w:rPr>
        <w:t>α</w:t>
      </w:r>
      <w:r>
        <w:rPr>
          <w:rFonts w:hint="eastAsia"/>
        </w:rPr>
        <w:t>值（单侧正态）</w:t>
      </w:r>
    </w:p>
    <w:tbl>
      <w:tblPr>
        <w:tblStyle w:val="33"/>
        <w:tblpPr w:leftFromText="180" w:rightFromText="180" w:vertAnchor="text" w:horzAnchor="margin" w:tblpXSpec="right" w:tblpY="-17"/>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i/>
              </w:rPr>
              <w:t>Z</w:t>
            </w:r>
            <w:r>
              <w:rPr>
                <w:vertAlign w:val="subscript"/>
              </w:rPr>
              <w:t>α</w:t>
            </w:r>
            <w:r>
              <w:t>=1.645</w:t>
            </w:r>
          </w:p>
        </w:tc>
      </w:tr>
    </w:tbl>
    <w:p>
      <w:pPr>
        <w:tabs>
          <w:tab w:val="left" w:pos="284"/>
          <w:tab w:val="left" w:pos="567"/>
        </w:tabs>
        <w:spacing w:before="156" w:beforeLines="50" w:after="156" w:afterLines="50" w:line="0" w:lineRule="atLeast"/>
        <w:ind w:firstLine="420" w:firstLineChars="200"/>
        <w:rPr>
          <w:szCs w:val="22"/>
        </w:rPr>
      </w:pPr>
    </w:p>
    <w:p>
      <w:pPr>
        <w:tabs>
          <w:tab w:val="left" w:pos="284"/>
          <w:tab w:val="left" w:pos="567"/>
        </w:tabs>
        <w:spacing w:before="156" w:beforeLines="50" w:after="156" w:afterLines="50" w:line="0" w:lineRule="atLeast"/>
        <w:ind w:firstLine="420" w:firstLineChars="200"/>
      </w:pPr>
      <w:r>
        <w:t xml:space="preserve">d) </w:t>
      </w:r>
      <w:r>
        <w:rPr>
          <w:rFonts w:hint="eastAsia"/>
        </w:rPr>
        <w:t>查</w:t>
      </w:r>
      <w:r>
        <w:rPr>
          <w:i/>
        </w:rPr>
        <w:t>Z</w:t>
      </w:r>
      <w:r>
        <w:rPr>
          <w:i/>
          <w:vertAlign w:val="subscript"/>
        </w:rPr>
        <w:t>β</w:t>
      </w:r>
      <w:r>
        <w:rPr>
          <w:rFonts w:hint="eastAsia"/>
        </w:rPr>
        <w:t>值</w:t>
      </w:r>
    </w:p>
    <w:tbl>
      <w:tblPr>
        <w:tblStyle w:val="33"/>
        <w:tblpPr w:leftFromText="180" w:rightFromText="180" w:vertAnchor="text" w:horzAnchor="margin" w:tblpXSpec="right" w:tblpY="-35"/>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i/>
              </w:rPr>
              <w:t>Z</w:t>
            </w:r>
            <w:r>
              <w:rPr>
                <w:i/>
                <w:vertAlign w:val="subscript"/>
              </w:rPr>
              <w:t>β</w:t>
            </w:r>
            <w:r>
              <w:t>=2.326</w:t>
            </w:r>
          </w:p>
        </w:tc>
      </w:tr>
    </w:tbl>
    <w:p>
      <w:pPr>
        <w:tabs>
          <w:tab w:val="left" w:pos="284"/>
          <w:tab w:val="left" w:pos="567"/>
        </w:tabs>
        <w:spacing w:before="156" w:beforeLines="50" w:after="156" w:afterLines="50" w:line="0" w:lineRule="atLeast"/>
        <w:ind w:firstLine="420" w:firstLineChars="200"/>
        <w:rPr>
          <w:szCs w:val="22"/>
        </w:rPr>
      </w:pPr>
    </w:p>
    <w:p>
      <w:pPr>
        <w:tabs>
          <w:tab w:val="left" w:pos="284"/>
          <w:tab w:val="left" w:pos="567"/>
        </w:tabs>
        <w:spacing w:before="156" w:beforeLines="50" w:after="156" w:afterLines="50" w:line="0" w:lineRule="atLeast"/>
        <w:ind w:firstLine="420" w:firstLineChars="200"/>
      </w:pPr>
      <w:r>
        <w:t>e)</w:t>
      </w:r>
      <w:r>
        <w:rPr>
          <w:rFonts w:hint="eastAsia"/>
        </w:rPr>
        <w:t>计算</w:t>
      </w:r>
      <w:r>
        <w:rPr>
          <w:i/>
        </w:rPr>
        <w:t>N</w:t>
      </w:r>
      <w:r>
        <w:rPr>
          <w:rFonts w:hint="eastAsia"/>
        </w:rPr>
        <w:t>，取下式向上圆整的整数：</w:t>
      </w:r>
    </w:p>
    <w:p>
      <w:pPr>
        <w:tabs>
          <w:tab w:val="left" w:pos="284"/>
          <w:tab w:val="left" w:pos="567"/>
        </w:tabs>
        <w:spacing w:before="156" w:beforeLines="50" w:after="156" w:afterLines="50" w:line="0" w:lineRule="atLeast"/>
        <w:ind w:left="420" w:leftChars="200" w:firstLine="420" w:firstLineChars="200"/>
      </w:pPr>
      <m:oMath>
        <m:sSup>
          <m:sSupPr>
            <m:ctrlPr>
              <w:rPr>
                <w:rFonts w:ascii="Cambria Math" w:hAnsi="Cambria Math"/>
                <w:szCs w:val="22"/>
              </w:rPr>
            </m:ctrlPr>
          </m:sSupPr>
          <m:e>
            <m:r>
              <m:rPr/>
              <w:rPr>
                <w:rFonts w:ascii="Cambria Math" w:hAnsi="Cambria Math"/>
              </w:rPr>
              <m:t>(</m:t>
            </m:r>
            <m:sSub>
              <m:sSubPr>
                <m:ctrlPr>
                  <w:rPr>
                    <w:rFonts w:ascii="Cambria Math" w:hAnsi="Cambria Math"/>
                    <w:i/>
                    <w:szCs w:val="22"/>
                  </w:rPr>
                </m:ctrlPr>
              </m:sSubPr>
              <m:e>
                <m:r>
                  <m:rPr/>
                  <w:rPr>
                    <w:rFonts w:ascii="Cambria Math" w:hAnsi="Cambria Math"/>
                  </w:rPr>
                  <m:t>Z</m:t>
                </m:r>
                <m:ctrlPr>
                  <w:rPr>
                    <w:rFonts w:ascii="Cambria Math" w:hAnsi="Cambria Math"/>
                    <w:i/>
                    <w:szCs w:val="22"/>
                  </w:rPr>
                </m:ctrlPr>
              </m:e>
              <m:sub>
                <m:r>
                  <m:rPr/>
                  <w:rPr>
                    <w:rFonts w:ascii="Cambria Math" w:hAnsi="Cambria Math"/>
                  </w:rPr>
                  <m:t>α</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Z</m:t>
                </m:r>
                <m:ctrlPr>
                  <w:rPr>
                    <w:rFonts w:ascii="Cambria Math" w:hAnsi="Cambria Math"/>
                    <w:i/>
                    <w:szCs w:val="22"/>
                  </w:rPr>
                </m:ctrlPr>
              </m:e>
              <m:sub>
                <m:r>
                  <m:rPr/>
                  <w:rPr>
                    <w:rFonts w:ascii="Cambria Math" w:hAnsi="Cambria Math"/>
                  </w:rPr>
                  <m:t>β</m:t>
                </m:r>
                <m:ctrlPr>
                  <w:rPr>
                    <w:rFonts w:ascii="Cambria Math" w:hAnsi="Cambria Math"/>
                    <w:i/>
                    <w:szCs w:val="22"/>
                  </w:rPr>
                </m:ctrlPr>
              </m:sub>
            </m:sSub>
            <m:r>
              <m:rPr/>
              <w:rPr>
                <w:rFonts w:ascii="Cambria Math" w:hAnsi="Cambria Math"/>
              </w:rPr>
              <m:t>)</m:t>
            </m:r>
            <m:ctrlPr>
              <w:rPr>
                <w:rFonts w:ascii="Cambria Math" w:hAnsi="Cambria Math"/>
                <w:szCs w:val="22"/>
              </w:rPr>
            </m:ctrlPr>
          </m:e>
          <m:sup>
            <m:r>
              <m:rPr/>
              <w:rPr>
                <w:rFonts w:ascii="Cambria Math" w:hAnsi="Cambria Math"/>
              </w:rPr>
              <m:t>2</m:t>
            </m:r>
            <m:ctrlPr>
              <w:rPr>
                <w:rFonts w:ascii="Cambria Math" w:hAnsi="Cambria Math"/>
                <w:szCs w:val="22"/>
              </w:rPr>
            </m:ctrlPr>
          </m:sup>
        </m:sSup>
        <m:sSup>
          <m:sSupPr>
            <m:ctrlPr>
              <w:rPr>
                <w:rFonts w:ascii="Cambria Math" w:hAnsi="Cambria Math"/>
                <w:i/>
                <w:szCs w:val="22"/>
              </w:rPr>
            </m:ctrlPr>
          </m:sSupPr>
          <m:e>
            <m:r>
              <m:rPr/>
              <w:rPr>
                <w:rFonts w:ascii="Cambria Math" w:hAnsi="Cambria Math"/>
              </w:rPr>
              <m:t>σ</m:t>
            </m:r>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r>
              <m:rPr/>
              <w:rPr>
                <w:rFonts w:ascii="Cambria Math" w:hAnsi="Cambria Math"/>
              </w:rPr>
              <m:t>δ</m:t>
            </m:r>
            <m:ctrlPr>
              <w:rPr>
                <w:rFonts w:ascii="Cambria Math" w:hAnsi="Cambria Math"/>
                <w:i/>
                <w:szCs w:val="22"/>
              </w:rPr>
            </m:ctrlPr>
          </m:e>
          <m:sup>
            <m:r>
              <m:rPr/>
              <w:rPr>
                <w:rFonts w:ascii="Cambria Math" w:hAnsi="Cambria Math"/>
              </w:rPr>
              <m:t>2</m:t>
            </m:r>
            <m:ctrlPr>
              <w:rPr>
                <w:rFonts w:ascii="Cambria Math" w:hAnsi="Cambria Math"/>
                <w:i/>
                <w:szCs w:val="22"/>
              </w:rPr>
            </m:ctrlPr>
          </m:sup>
        </m:sSup>
      </m:oMath>
      <w:r>
        <w:t xml:space="preserve"> </w:t>
      </w:r>
    </w:p>
    <w:tbl>
      <w:tblPr>
        <w:tblStyle w:val="33"/>
        <w:tblpPr w:leftFromText="180" w:rightFromText="180" w:vertAnchor="text" w:horzAnchor="margin" w:tblpXSpec="right" w:tblpY="-35"/>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pPr>
            <w:r>
              <w:rPr>
                <w:rFonts w:hint="eastAsia"/>
              </w:rPr>
              <w:t>如果</w:t>
            </w:r>
            <w:r>
              <w:rPr/>
              <w:sym w:font="Symbol" w:char="0073"/>
            </w:r>
            <w:r>
              <w:rPr>
                <w:vertAlign w:val="superscript"/>
              </w:rPr>
              <w:t>2</w:t>
            </w:r>
            <w:r>
              <w:t>=2</w:t>
            </w:r>
            <w:r>
              <w:rPr>
                <w:rFonts w:hint="eastAsia"/>
              </w:rPr>
              <w:t>，</w:t>
            </w:r>
          </w:p>
          <w:p>
            <w:pPr>
              <w:tabs>
                <w:tab w:val="left" w:pos="284"/>
                <w:tab w:val="left" w:pos="567"/>
              </w:tabs>
              <w:spacing w:before="156" w:beforeLines="50" w:after="156" w:afterLines="50" w:line="0" w:lineRule="atLeast"/>
              <w:jc w:val="center"/>
              <w:rPr>
                <w:szCs w:val="22"/>
              </w:rPr>
            </w:pPr>
            <w:r>
              <w:rPr>
                <w:rFonts w:hint="eastAsia"/>
              </w:rPr>
              <w:t>则</w:t>
            </w:r>
            <w:r>
              <w:rPr>
                <w:i/>
              </w:rPr>
              <w:t>N</w:t>
            </w:r>
            <w:r>
              <w:t>=32</w:t>
            </w:r>
            <w:r>
              <w:rPr>
                <w:szCs w:val="22"/>
              </w:rPr>
              <w:t xml:space="preserve"> </w:t>
            </w:r>
          </w:p>
        </w:tc>
      </w:tr>
    </w:tbl>
    <w:p>
      <w:pPr>
        <w:tabs>
          <w:tab w:val="left" w:pos="284"/>
          <w:tab w:val="left" w:pos="567"/>
        </w:tabs>
        <w:spacing w:before="156" w:beforeLines="50" w:after="156" w:afterLines="50" w:line="0" w:lineRule="atLeast"/>
        <w:ind w:firstLine="420" w:firstLineChars="200"/>
        <w:rPr>
          <w:szCs w:val="22"/>
        </w:rPr>
      </w:pPr>
    </w:p>
    <w:p>
      <w:pPr>
        <w:tabs>
          <w:tab w:val="left" w:pos="284"/>
          <w:tab w:val="left" w:pos="567"/>
        </w:tabs>
        <w:spacing w:before="156" w:beforeLines="50" w:after="156" w:afterLines="50" w:line="0" w:lineRule="atLeast"/>
        <w:ind w:firstLine="420" w:firstLineChars="200"/>
        <w:rPr>
          <w:rFonts w:ascii="宋体" w:hAnsi="宋体"/>
        </w:rPr>
      </w:pPr>
    </w:p>
    <w:p>
      <w:pPr>
        <w:tabs>
          <w:tab w:val="left" w:pos="284"/>
          <w:tab w:val="left" w:pos="567"/>
        </w:tabs>
        <w:spacing w:before="156" w:beforeLines="50" w:after="156" w:afterLines="50" w:line="0" w:lineRule="atLeast"/>
        <w:ind w:firstLine="420" w:firstLineChars="200"/>
        <w:rPr>
          <w:rFonts w:ascii="宋体" w:hAnsi="宋体"/>
        </w:rPr>
      </w:pPr>
    </w:p>
    <w:p>
      <w:pPr>
        <w:pStyle w:val="51"/>
        <w:spacing w:before="156" w:after="156"/>
      </w:pPr>
      <w:r>
        <w:rPr>
          <w:rFonts w:hint="eastAsia"/>
        </w:rPr>
        <w:t>用独立样本比较两种材料</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两个样本取自于不同的总体。方差</w:t>
      </w:r>
      <w:r>
        <w:rPr>
          <w:i/>
        </w:rPr>
        <w:sym w:font="Symbol" w:char="0073"/>
      </w:r>
      <w:r>
        <w:rPr>
          <w:vertAlign w:val="superscript"/>
        </w:rPr>
        <w:t>2</w:t>
      </w:r>
      <w:r>
        <w:rPr>
          <w:rFonts w:hint="eastAsia" w:ascii="宋体" w:hAnsi="宋体"/>
        </w:rPr>
        <w:t>相等且已知。比较将检验两个总体是否相同。步骤如下：</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a)陈述试验对象。</w:t>
      </w:r>
    </w:p>
    <w:tbl>
      <w:tblPr>
        <w:tblStyle w:val="33"/>
        <w:tblpPr w:leftFromText="180" w:rightFromText="180" w:vertAnchor="text" w:horzAnchor="margin" w:tblpXSpec="right" w:tblpY="93"/>
        <w:tblW w:w="1357" w:type="dxa"/>
        <w:tblInd w:w="0" w:type="dxa"/>
        <w:tblLayout w:type="autofit"/>
        <w:tblCellMar>
          <w:top w:w="0" w:type="dxa"/>
          <w:left w:w="108" w:type="dxa"/>
          <w:bottom w:w="0" w:type="dxa"/>
          <w:right w:w="108" w:type="dxa"/>
        </w:tblCellMar>
      </w:tblPr>
      <w:tblGrid>
        <w:gridCol w:w="1357"/>
      </w:tblGrid>
      <w:tr>
        <w:tblPrEx>
          <w:tblCellMar>
            <w:top w:w="0" w:type="dxa"/>
            <w:left w:w="108" w:type="dxa"/>
            <w:bottom w:w="0" w:type="dxa"/>
            <w:right w:w="108" w:type="dxa"/>
          </w:tblCellMar>
        </w:tblPrEx>
        <w:tc>
          <w:tcPr>
            <w:tcW w:w="1357" w:type="dxa"/>
          </w:tcPr>
          <w:p>
            <w:pPr>
              <w:tabs>
                <w:tab w:val="left" w:pos="284"/>
                <w:tab w:val="left" w:pos="567"/>
              </w:tabs>
              <w:spacing w:before="156" w:beforeLines="50" w:after="156" w:afterLines="50" w:line="0" w:lineRule="atLeast"/>
              <w:jc w:val="center"/>
              <w:rPr>
                <w:rFonts w:ascii="宋体" w:hAnsi="宋体"/>
              </w:rPr>
            </w:pPr>
            <m:oMathPara>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0</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2</m:t>
                    </m:r>
                    <m:ctrlPr>
                      <w:rPr>
                        <w:rFonts w:ascii="Cambria Math" w:hAnsi="Cambria Math"/>
                        <w:i/>
                        <w:szCs w:val="22"/>
                      </w:rPr>
                    </m:ctrlPr>
                  </m:sub>
                </m:sSub>
              </m:oMath>
            </m:oMathPara>
          </w:p>
          <w:p>
            <w:pPr>
              <w:tabs>
                <w:tab w:val="left" w:pos="284"/>
                <w:tab w:val="left" w:pos="567"/>
              </w:tabs>
              <w:spacing w:before="156" w:beforeLines="50" w:after="156" w:afterLines="50" w:line="0" w:lineRule="atLeast"/>
              <w:jc w:val="center"/>
              <w:rPr>
                <w:rFonts w:ascii="宋体" w:hAnsi="宋体"/>
              </w:rPr>
            </w:pPr>
            <m:oMathPara>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a</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m:sty m:val="p"/>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2</m:t>
                    </m:r>
                    <m:ctrlPr>
                      <w:rPr>
                        <w:rFonts w:ascii="Cambria Math" w:hAnsi="Cambria Math"/>
                        <w:i/>
                        <w:szCs w:val="22"/>
                      </w:rPr>
                    </m:ctrlPr>
                  </m:sub>
                </m:sSub>
              </m:oMath>
            </m:oMathPara>
          </w:p>
          <w:p>
            <w:pPr>
              <w:tabs>
                <w:tab w:val="left" w:pos="284"/>
                <w:tab w:val="left" w:pos="567"/>
              </w:tabs>
              <w:spacing w:before="156" w:beforeLines="50" w:after="156" w:afterLines="50" w:line="0" w:lineRule="atLeast"/>
              <w:jc w:val="center"/>
              <w:rPr>
                <w:rFonts w:ascii="宋体" w:hAnsi="宋体"/>
                <w:szCs w:val="22"/>
              </w:rPr>
            </w:pPr>
            <w:r>
              <w:rPr>
                <w:rFonts w:hint="eastAsia" w:ascii="宋体" w:hAnsi="宋体"/>
              </w:rPr>
              <w:t>（双侧）</w:t>
            </w:r>
          </w:p>
        </w:tc>
      </w:tr>
    </w:tbl>
    <w:p>
      <w:pPr>
        <w:tabs>
          <w:tab w:val="left" w:pos="284"/>
          <w:tab w:val="left" w:pos="567"/>
        </w:tabs>
        <w:spacing w:before="156" w:beforeLines="50" w:after="156" w:afterLines="50" w:line="0" w:lineRule="atLeast"/>
        <w:ind w:firstLine="420" w:firstLineChars="200"/>
        <w:rPr>
          <w:rFonts w:ascii="宋体" w:hAnsi="宋体"/>
          <w:szCs w:val="22"/>
        </w:rPr>
      </w:pPr>
    </w:p>
    <w:p>
      <w:pPr>
        <w:tabs>
          <w:tab w:val="left" w:pos="284"/>
          <w:tab w:val="left" w:pos="567"/>
        </w:tabs>
        <w:spacing w:before="156" w:beforeLines="50" w:after="156" w:afterLines="50" w:line="0" w:lineRule="atLeast"/>
        <w:ind w:firstLine="420" w:firstLineChars="200"/>
        <w:rPr>
          <w:rFonts w:ascii="宋体" w:hAnsi="宋体"/>
        </w:rPr>
      </w:pPr>
    </w:p>
    <w:p>
      <w:pPr>
        <w:tabs>
          <w:tab w:val="left" w:pos="284"/>
          <w:tab w:val="left" w:pos="567"/>
        </w:tabs>
        <w:spacing w:before="156" w:beforeLines="50" w:after="156" w:afterLines="50" w:line="0" w:lineRule="atLeast"/>
        <w:ind w:firstLine="420" w:firstLineChars="200"/>
        <w:rPr>
          <w:rFonts w:ascii="宋体" w:hAnsi="宋体"/>
        </w:rPr>
      </w:pPr>
    </w:p>
    <w:p>
      <w:pPr>
        <w:tabs>
          <w:tab w:val="left" w:pos="284"/>
          <w:tab w:val="left" w:pos="567"/>
        </w:tabs>
        <w:spacing w:before="156" w:beforeLines="50" w:after="156" w:afterLines="50" w:line="0" w:lineRule="atLeast"/>
        <w:ind w:firstLine="420" w:firstLineChars="200"/>
        <w:rPr>
          <w:rFonts w:ascii="宋体" w:hAnsi="宋体"/>
        </w:rPr>
      </w:pPr>
      <w:r>
        <w:rPr>
          <w:rFonts w:hint="eastAsia" w:ascii="Arial" w:hAnsi="Arial" w:cs="Arial"/>
          <w:color w:val="000000"/>
          <w:shd w:val="clear" w:color="auto" w:fill="FFFFFF"/>
        </w:rPr>
        <w:t>等价：</w:t>
      </w:r>
      <w:r>
        <w:rPr>
          <w:rFonts w:ascii="Arial" w:hAnsi="Arial" w:cs="Arial"/>
          <w:i/>
          <w:color w:val="000000"/>
          <w:shd w:val="clear" w:color="auto" w:fill="FFFFFF"/>
        </w:rPr>
        <w:t>H</w:t>
      </w:r>
      <w:r>
        <w:rPr>
          <w:rFonts w:ascii="Arial" w:hAnsi="Arial" w:cs="Arial"/>
          <w:color w:val="000000"/>
          <w:shd w:val="clear" w:color="auto" w:fill="FFFFFF"/>
          <w:vertAlign w:val="subscript"/>
        </w:rPr>
        <w:t>a1</w:t>
      </w:r>
      <w:r>
        <w:rPr>
          <w:rFonts w:hint="eastAsia" w:ascii="Arial" w:hAnsi="Arial" w:cs="Arial"/>
          <w:color w:val="000000"/>
          <w:shd w:val="clear" w:color="auto" w:fill="FFFFFF"/>
        </w:rPr>
        <w:t>：</w:t>
      </w:r>
      <w:r>
        <w:rPr>
          <w:rFonts w:ascii="Arial" w:hAnsi="Arial" w:cs="Arial"/>
          <w:i/>
          <w:color w:val="000000"/>
          <w:shd w:val="clear" w:color="auto" w:fill="FFFFFF"/>
        </w:rPr>
        <w:t>μ</w:t>
      </w:r>
      <w:r>
        <w:rPr>
          <w:rFonts w:ascii="Arial" w:hAnsi="Arial" w:cs="Arial"/>
          <w:color w:val="000000"/>
          <w:shd w:val="clear" w:color="auto" w:fill="FFFFFF"/>
          <w:vertAlign w:val="subscript"/>
        </w:rPr>
        <w:t>2</w:t>
      </w:r>
      <w:r>
        <w:rPr>
          <w:rFonts w:ascii="Arial" w:hAnsi="Arial" w:cs="Arial"/>
          <w:color w:val="000000"/>
          <w:shd w:val="clear" w:color="auto" w:fill="FFFFFF"/>
        </w:rPr>
        <w:t>&lt;</w:t>
      </w:r>
      <w:r>
        <w:rPr>
          <w:rFonts w:ascii="Arial" w:hAnsi="Arial" w:cs="Arial"/>
          <w:i/>
          <w:color w:val="000000"/>
          <w:shd w:val="clear" w:color="auto" w:fill="FFFFFF"/>
        </w:rPr>
        <w:t>μ</w:t>
      </w:r>
      <w:r>
        <w:rPr>
          <w:rFonts w:ascii="Arial" w:hAnsi="Arial" w:cs="Arial"/>
          <w:color w:val="000000"/>
          <w:shd w:val="clear" w:color="auto" w:fill="FFFFFF"/>
          <w:vertAlign w:val="subscript"/>
        </w:rPr>
        <w:t>1</w:t>
      </w:r>
      <w:r>
        <w:rPr>
          <w:rFonts w:hint="eastAsia" w:ascii="Arial" w:hAnsi="Arial" w:cs="Arial"/>
          <w:color w:val="000000"/>
          <w:shd w:val="clear" w:color="auto" w:fill="FFFFFF"/>
        </w:rPr>
        <w:t>，有</w:t>
      </w:r>
      <w:r>
        <w:rPr>
          <w:rFonts w:ascii="Arial" w:hAnsi="Arial" w:cs="Arial"/>
          <w:i/>
          <w:color w:val="000000"/>
          <w:shd w:val="clear" w:color="auto" w:fill="FFFFFF"/>
        </w:rPr>
        <w:t>α</w:t>
      </w:r>
      <w:r>
        <w:rPr>
          <w:rFonts w:ascii="Arial" w:hAnsi="Arial" w:cs="Arial"/>
          <w:color w:val="000000"/>
          <w:shd w:val="clear" w:color="auto" w:fill="FFFFFF"/>
        </w:rPr>
        <w:t>/2</w:t>
      </w:r>
      <w:r>
        <w:rPr>
          <w:rFonts w:hint="eastAsia" w:ascii="Arial" w:hAnsi="Arial" w:cs="Arial"/>
          <w:color w:val="000000"/>
          <w:shd w:val="clear" w:color="auto" w:fill="FFFFFF"/>
        </w:rPr>
        <w:t>风险</w:t>
      </w:r>
    </w:p>
    <w:p>
      <w:pPr>
        <w:tabs>
          <w:tab w:val="left" w:pos="284"/>
          <w:tab w:val="left" w:pos="567"/>
        </w:tabs>
        <w:spacing w:before="156" w:beforeLines="50" w:after="156" w:afterLines="50" w:line="0" w:lineRule="atLeast"/>
        <w:ind w:left="630" w:leftChars="300" w:firstLine="420" w:firstLineChars="200"/>
        <w:rPr>
          <w:rFonts w:ascii="宋体" w:hAnsi="宋体"/>
        </w:rPr>
      </w:pPr>
      <w:r>
        <w:rPr>
          <w:rFonts w:ascii="Arial" w:hAnsi="Arial" w:cs="Arial"/>
          <w:i/>
          <w:color w:val="000000"/>
          <w:shd w:val="clear" w:color="auto" w:fill="FFFFFF"/>
        </w:rPr>
        <w:t>H</w:t>
      </w:r>
      <w:r>
        <w:rPr>
          <w:rFonts w:ascii="Arial" w:hAnsi="Arial" w:cs="Arial"/>
          <w:color w:val="000000"/>
          <w:shd w:val="clear" w:color="auto" w:fill="FFFFFF"/>
          <w:vertAlign w:val="subscript"/>
        </w:rPr>
        <w:t>a2</w:t>
      </w:r>
      <w:r>
        <w:rPr>
          <w:rFonts w:hint="eastAsia" w:ascii="Arial" w:hAnsi="Arial" w:cs="Arial"/>
          <w:color w:val="000000"/>
          <w:shd w:val="clear" w:color="auto" w:fill="FFFFFF"/>
        </w:rPr>
        <w:t>：</w:t>
      </w:r>
      <w:r>
        <w:rPr>
          <w:rFonts w:ascii="Arial" w:hAnsi="Arial" w:cs="Arial"/>
          <w:i/>
          <w:color w:val="000000"/>
          <w:shd w:val="clear" w:color="auto" w:fill="FFFFFF"/>
        </w:rPr>
        <w:t>μ</w:t>
      </w:r>
      <w:r>
        <w:rPr>
          <w:rFonts w:ascii="Arial" w:hAnsi="Arial" w:cs="Arial"/>
          <w:color w:val="000000"/>
          <w:shd w:val="clear" w:color="auto" w:fill="FFFFFF"/>
          <w:vertAlign w:val="subscript"/>
        </w:rPr>
        <w:t>2</w:t>
      </w:r>
      <w:r>
        <w:rPr>
          <w:rFonts w:ascii="Arial" w:hAnsi="Arial" w:cs="Arial"/>
          <w:color w:val="000000"/>
          <w:shd w:val="clear" w:color="auto" w:fill="FFFFFF"/>
        </w:rPr>
        <w:t>&gt;</w:t>
      </w:r>
      <w:r>
        <w:rPr>
          <w:rFonts w:ascii="Arial" w:hAnsi="Arial" w:cs="Arial"/>
          <w:i/>
          <w:color w:val="000000"/>
          <w:shd w:val="clear" w:color="auto" w:fill="FFFFFF"/>
        </w:rPr>
        <w:t>μ</w:t>
      </w:r>
      <w:r>
        <w:rPr>
          <w:rFonts w:ascii="Arial" w:hAnsi="Arial" w:cs="Arial"/>
          <w:color w:val="000000"/>
          <w:shd w:val="clear" w:color="auto" w:fill="FFFFFF"/>
          <w:vertAlign w:val="subscript"/>
        </w:rPr>
        <w:t>1</w:t>
      </w:r>
      <w:r>
        <w:rPr>
          <w:rFonts w:hint="eastAsia" w:ascii="Arial" w:hAnsi="Arial" w:cs="Arial"/>
          <w:color w:val="000000"/>
          <w:shd w:val="clear" w:color="auto" w:fill="FFFFFF"/>
        </w:rPr>
        <w:t>，有</w:t>
      </w:r>
      <w:r>
        <w:rPr>
          <w:rFonts w:ascii="Arial" w:hAnsi="Arial" w:cs="Arial"/>
          <w:i/>
          <w:color w:val="000000"/>
          <w:shd w:val="clear" w:color="auto" w:fill="FFFFFF"/>
        </w:rPr>
        <w:t>α</w:t>
      </w:r>
      <w:r>
        <w:rPr>
          <w:rFonts w:ascii="Arial" w:hAnsi="Arial" w:cs="Arial"/>
          <w:color w:val="000000"/>
          <w:shd w:val="clear" w:color="auto" w:fill="FFFFFF"/>
        </w:rPr>
        <w:t>/2</w:t>
      </w:r>
      <w:r>
        <w:rPr>
          <w:rFonts w:hint="eastAsia" w:ascii="Arial" w:hAnsi="Arial" w:cs="Arial"/>
          <w:color w:val="000000"/>
          <w:shd w:val="clear" w:color="auto" w:fill="FFFFFF"/>
        </w:rPr>
        <w:t>风险</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b)选择</w:t>
      </w:r>
      <w:r>
        <w:rPr>
          <w:i/>
        </w:rPr>
        <w:t>α</w:t>
      </w:r>
      <w:r>
        <w:rPr>
          <w:rFonts w:hint="eastAsia"/>
        </w:rPr>
        <w:t>、</w:t>
      </w:r>
      <w:r>
        <w:rPr>
          <w:i/>
        </w:rPr>
        <w:t>β</w:t>
      </w:r>
      <w:r>
        <w:rPr>
          <w:rFonts w:hint="eastAsia"/>
        </w:rPr>
        <w:t>、</w:t>
      </w:r>
      <w:r>
        <w:rPr>
          <w:i/>
        </w:rPr>
        <w:t>δ</w:t>
      </w:r>
      <w:r>
        <w:rPr>
          <w:vertAlign w:val="superscript"/>
        </w:rPr>
        <w:t>2</w:t>
      </w:r>
      <w:r>
        <w:rPr>
          <w:rFonts w:hint="eastAsia"/>
        </w:rPr>
        <w:t>、</w:t>
      </w:r>
      <w:r>
        <w:rPr>
          <w:rFonts w:ascii="宋体" w:hAnsi="宋体"/>
          <w:i/>
        </w:rPr>
        <w:sym w:font="Symbol" w:char="0073"/>
      </w:r>
      <w:r>
        <w:rPr>
          <w:rFonts w:hint="eastAsia" w:ascii="宋体" w:hAnsi="宋体"/>
          <w:vertAlign w:val="superscript"/>
        </w:rPr>
        <w:t>2</w:t>
      </w:r>
    </w:p>
    <w:tbl>
      <w:tblPr>
        <w:tblStyle w:val="33"/>
        <w:tblpPr w:leftFromText="180" w:rightFromText="180" w:vertAnchor="text" w:horzAnchor="margin" w:tblpXSpec="right" w:tblpY="223"/>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pPr>
            <w:r>
              <w:rPr>
                <w:i/>
              </w:rPr>
              <w:t>α</w:t>
            </w:r>
            <w:r>
              <w:t>=0.01</w:t>
            </w:r>
          </w:p>
          <w:p>
            <w:pPr>
              <w:tabs>
                <w:tab w:val="left" w:pos="284"/>
                <w:tab w:val="left" w:pos="567"/>
              </w:tabs>
              <w:spacing w:before="156" w:beforeLines="50" w:after="156" w:afterLines="50" w:line="0" w:lineRule="atLeast"/>
              <w:jc w:val="center"/>
            </w:pPr>
            <w:r>
              <w:rPr>
                <w:i/>
              </w:rPr>
              <w:t>β</w:t>
            </w:r>
            <w:r>
              <w:t>=0.02</w:t>
            </w:r>
          </w:p>
          <w:p>
            <w:pPr>
              <w:tabs>
                <w:tab w:val="left" w:pos="284"/>
                <w:tab w:val="left" w:pos="567"/>
              </w:tabs>
              <w:spacing w:before="156" w:beforeLines="50" w:after="156" w:afterLines="50" w:line="0" w:lineRule="atLeast"/>
              <w:jc w:val="center"/>
            </w:pPr>
            <w:r>
              <w:rPr>
                <w:i/>
              </w:rPr>
              <w:t>δ</w:t>
            </w:r>
            <w:r>
              <w:rPr>
                <w:vertAlign w:val="superscript"/>
              </w:rPr>
              <w:t>2</w:t>
            </w:r>
            <w:r>
              <w:t>=1</w:t>
            </w:r>
          </w:p>
          <w:p>
            <w:pPr>
              <w:tabs>
                <w:tab w:val="left" w:pos="284"/>
                <w:tab w:val="left" w:pos="567"/>
              </w:tabs>
              <w:spacing w:before="156" w:beforeLines="50" w:after="156" w:afterLines="50" w:line="0" w:lineRule="atLeast"/>
              <w:jc w:val="center"/>
              <w:rPr>
                <w:szCs w:val="22"/>
              </w:rPr>
            </w:pPr>
            <w:r>
              <w:rPr>
                <w:rFonts w:ascii="宋体" w:hAnsi="宋体"/>
                <w:i/>
              </w:rPr>
              <w:sym w:font="Symbol" w:char="0073"/>
            </w:r>
            <w:r>
              <w:rPr>
                <w:rFonts w:hint="eastAsia" w:ascii="宋体" w:hAnsi="宋体"/>
                <w:vertAlign w:val="superscript"/>
              </w:rPr>
              <w:t>2</w:t>
            </w:r>
            <w:r>
              <w:t>=2</w:t>
            </w:r>
          </w:p>
        </w:tc>
      </w:tr>
    </w:tbl>
    <w:p>
      <w:pPr>
        <w:tabs>
          <w:tab w:val="left" w:pos="284"/>
          <w:tab w:val="left" w:pos="567"/>
        </w:tabs>
        <w:spacing w:before="156" w:beforeLines="50" w:after="156" w:afterLines="50" w:line="0" w:lineRule="atLeast"/>
        <w:ind w:firstLine="420" w:firstLineChars="200"/>
        <w:rPr>
          <w:rFonts w:ascii="宋体" w:hAnsi="宋体"/>
          <w:szCs w:val="22"/>
        </w:rPr>
      </w:pPr>
    </w:p>
    <w:p>
      <w:pPr>
        <w:tabs>
          <w:tab w:val="left" w:pos="284"/>
          <w:tab w:val="left" w:pos="567"/>
        </w:tabs>
        <w:spacing w:before="156" w:beforeLines="50" w:after="156" w:afterLines="50" w:line="0" w:lineRule="atLeast"/>
        <w:ind w:firstLine="420" w:firstLineChars="200"/>
        <w:rPr>
          <w:rFonts w:ascii="宋体" w:hAnsi="宋体"/>
        </w:rPr>
      </w:pPr>
    </w:p>
    <w:p>
      <w:pPr>
        <w:tabs>
          <w:tab w:val="left" w:pos="284"/>
          <w:tab w:val="left" w:pos="567"/>
        </w:tabs>
        <w:spacing w:before="156" w:beforeLines="50" w:after="156" w:afterLines="50" w:line="0" w:lineRule="atLeast"/>
        <w:ind w:firstLine="420" w:firstLineChars="200"/>
        <w:rPr>
          <w:rFonts w:ascii="宋体" w:hAnsi="宋体"/>
        </w:rPr>
      </w:pPr>
    </w:p>
    <w:p>
      <w:pPr>
        <w:tabs>
          <w:tab w:val="left" w:pos="284"/>
          <w:tab w:val="left" w:pos="567"/>
        </w:tabs>
        <w:spacing w:before="156" w:beforeLines="50" w:after="156" w:afterLines="50" w:line="0" w:lineRule="atLeast"/>
        <w:ind w:firstLine="420" w:firstLineChars="200"/>
        <w:rPr>
          <w:rFonts w:ascii="宋体" w:hAnsi="宋体"/>
        </w:rPr>
      </w:pPr>
    </w:p>
    <w:p>
      <w:pPr>
        <w:tabs>
          <w:tab w:val="left" w:pos="284"/>
          <w:tab w:val="left" w:pos="567"/>
        </w:tabs>
        <w:spacing w:before="156" w:beforeLines="50" w:after="156" w:afterLines="50" w:line="0" w:lineRule="atLeast"/>
        <w:ind w:firstLine="420" w:firstLineChars="200"/>
        <w:rPr>
          <w:rFonts w:ascii="宋体" w:hAnsi="宋体"/>
        </w:rPr>
      </w:pP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c)查</w:t>
      </w:r>
      <w:r>
        <w:rPr>
          <w:i/>
        </w:rPr>
        <w:t>Z</w:t>
      </w:r>
      <w:r>
        <w:rPr>
          <w:i/>
          <w:vertAlign w:val="subscript"/>
        </w:rPr>
        <w:t>α</w:t>
      </w:r>
      <w:r>
        <w:rPr>
          <w:rFonts w:hint="eastAsia"/>
        </w:rPr>
        <w:t>值（双侧正态）</w:t>
      </w:r>
    </w:p>
    <w:tbl>
      <w:tblPr>
        <w:tblStyle w:val="33"/>
        <w:tblpPr w:leftFromText="180" w:rightFromText="180" w:vertAnchor="text" w:horzAnchor="margin" w:tblpXSpec="right" w:tblpY="-17"/>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i/>
              </w:rPr>
              <w:t>Z</w:t>
            </w:r>
            <w:r>
              <w:rPr>
                <w:vertAlign w:val="subscript"/>
              </w:rPr>
              <w:t>α</w:t>
            </w:r>
            <w:r>
              <w:t>=2.576</w:t>
            </w:r>
          </w:p>
        </w:tc>
      </w:tr>
    </w:tbl>
    <w:p>
      <w:pPr>
        <w:tabs>
          <w:tab w:val="left" w:pos="284"/>
          <w:tab w:val="left" w:pos="567"/>
        </w:tabs>
        <w:spacing w:before="156" w:beforeLines="50" w:after="156" w:afterLines="50" w:line="0" w:lineRule="atLeast"/>
        <w:ind w:firstLine="420" w:firstLineChars="200"/>
        <w:rPr>
          <w:rFonts w:ascii="宋体" w:hAnsi="宋体"/>
          <w:szCs w:val="22"/>
        </w:rPr>
      </w:pPr>
    </w:p>
    <w:p>
      <w:pPr>
        <w:tabs>
          <w:tab w:val="left" w:pos="284"/>
          <w:tab w:val="left" w:pos="567"/>
        </w:tabs>
        <w:spacing w:before="156" w:beforeLines="50" w:after="156" w:afterLines="50" w:line="0" w:lineRule="atLeast"/>
        <w:ind w:firstLine="420" w:firstLineChars="200"/>
      </w:pPr>
      <w:r>
        <w:t xml:space="preserve">d) </w:t>
      </w:r>
      <w:r>
        <w:rPr>
          <w:rFonts w:hint="eastAsia"/>
        </w:rPr>
        <w:t>查</w:t>
      </w:r>
      <w:r>
        <w:rPr>
          <w:i/>
        </w:rPr>
        <w:t>Z</w:t>
      </w:r>
      <w:r>
        <w:rPr>
          <w:i/>
          <w:vertAlign w:val="subscript"/>
        </w:rPr>
        <w:t>β</w:t>
      </w:r>
      <w:r>
        <w:rPr>
          <w:rFonts w:hint="eastAsia"/>
        </w:rPr>
        <w:t>值（单侧正态）</w:t>
      </w:r>
    </w:p>
    <w:tbl>
      <w:tblPr>
        <w:tblStyle w:val="33"/>
        <w:tblpPr w:leftFromText="180" w:rightFromText="180" w:vertAnchor="text" w:horzAnchor="margin" w:tblpXSpec="right" w:tblpY="-35"/>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i/>
              </w:rPr>
              <w:t>Z</w:t>
            </w:r>
            <w:r>
              <w:rPr>
                <w:i/>
                <w:vertAlign w:val="subscript"/>
              </w:rPr>
              <w:t>β</w:t>
            </w:r>
            <w:r>
              <w:t>=2.054</w:t>
            </w:r>
          </w:p>
        </w:tc>
      </w:tr>
    </w:tbl>
    <w:p>
      <w:pPr>
        <w:tabs>
          <w:tab w:val="left" w:pos="284"/>
          <w:tab w:val="left" w:pos="567"/>
        </w:tabs>
        <w:spacing w:before="156" w:beforeLines="50" w:after="156" w:afterLines="50" w:line="0" w:lineRule="atLeast"/>
        <w:ind w:firstLine="420" w:firstLineChars="200"/>
        <w:rPr>
          <w:szCs w:val="22"/>
        </w:rPr>
      </w:pP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e)计</w:t>
      </w:r>
      <w:r>
        <w:t>算</w:t>
      </w:r>
      <w:r>
        <w:rPr>
          <w:i/>
        </w:rPr>
        <w:t>N</w:t>
      </w:r>
      <w:r>
        <w:rPr>
          <w:vertAlign w:val="subscript"/>
        </w:rPr>
        <w:t>1</w:t>
      </w:r>
      <w:r>
        <w:t>，此处</w:t>
      </w:r>
    </w:p>
    <w:p>
      <w:pPr>
        <w:tabs>
          <w:tab w:val="left" w:pos="284"/>
          <w:tab w:val="left" w:pos="567"/>
        </w:tabs>
        <w:spacing w:before="156" w:beforeLines="50" w:after="156" w:afterLines="50" w:line="0" w:lineRule="atLeast"/>
        <w:ind w:left="420" w:leftChars="200" w:firstLine="420" w:firstLineChars="200"/>
      </w:pPr>
      <w:r>
        <w:rPr>
          <w:i/>
        </w:rPr>
        <w:t>N</w:t>
      </w:r>
      <w:r>
        <w:rPr>
          <w:vertAlign w:val="subscript"/>
        </w:rPr>
        <w:t>1</w:t>
      </w:r>
      <w:r>
        <w:t xml:space="preserve"> = </w:t>
      </w:r>
      <w:r>
        <w:rPr>
          <w:i/>
        </w:rPr>
        <w:t>N</w:t>
      </w:r>
      <w:r>
        <w:rPr>
          <w:vertAlign w:val="subscript"/>
        </w:rPr>
        <w:t>2</w:t>
      </w:r>
      <w:r>
        <w:t xml:space="preserve"> = </w:t>
      </w:r>
      <w:r>
        <w:rPr>
          <w:i/>
        </w:rPr>
        <w:t>N</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 xml:space="preserve"> 并且是下式计算值</w:t>
      </w:r>
      <w:r>
        <w:rPr>
          <w:rFonts w:hint="eastAsia"/>
        </w:rPr>
        <w:t>向上圆整</w:t>
      </w:r>
      <w:r>
        <w:rPr>
          <w:rFonts w:hint="eastAsia" w:ascii="宋体" w:hAnsi="宋体"/>
        </w:rPr>
        <w:t>的整数：</w:t>
      </w:r>
    </w:p>
    <w:p>
      <w:pPr>
        <w:tabs>
          <w:tab w:val="left" w:pos="284"/>
          <w:tab w:val="left" w:pos="567"/>
        </w:tabs>
        <w:spacing w:before="156" w:beforeLines="50" w:after="156" w:afterLines="50" w:line="0" w:lineRule="atLeast"/>
        <w:ind w:left="420" w:leftChars="200" w:firstLine="420" w:firstLineChars="200"/>
      </w:pPr>
      <m:oMath>
        <m:r>
          <m:rPr>
            <m:sty m:val="p"/>
          </m:rPr>
          <w:rPr>
            <w:rFonts w:ascii="Cambria Math" w:hAnsi="Cambria Math"/>
          </w:rPr>
          <m:t>2</m:t>
        </m:r>
        <m:sSup>
          <m:sSupPr>
            <m:ctrlPr>
              <w:rPr>
                <w:rFonts w:ascii="Cambria Math" w:hAnsi="Cambria Math"/>
                <w:szCs w:val="22"/>
              </w:rPr>
            </m:ctrlPr>
          </m:sSupPr>
          <m:e>
            <m:r>
              <m:rPr/>
              <w:rPr>
                <w:rFonts w:ascii="Cambria Math" w:hAnsi="Cambria Math"/>
              </w:rPr>
              <m:t>(</m:t>
            </m:r>
            <m:sSub>
              <m:sSubPr>
                <m:ctrlPr>
                  <w:rPr>
                    <w:rFonts w:ascii="Cambria Math" w:hAnsi="Cambria Math"/>
                    <w:i/>
                    <w:szCs w:val="22"/>
                  </w:rPr>
                </m:ctrlPr>
              </m:sSubPr>
              <m:e>
                <m:r>
                  <m:rPr/>
                  <w:rPr>
                    <w:rFonts w:ascii="Cambria Math" w:hAnsi="Cambria Math"/>
                  </w:rPr>
                  <m:t>Z</m:t>
                </m:r>
                <m:ctrlPr>
                  <w:rPr>
                    <w:rFonts w:ascii="Cambria Math" w:hAnsi="Cambria Math"/>
                    <w:i/>
                    <w:szCs w:val="22"/>
                  </w:rPr>
                </m:ctrlPr>
              </m:e>
              <m:sub>
                <m:r>
                  <m:rPr/>
                  <w:rPr>
                    <w:rFonts w:ascii="Cambria Math" w:hAnsi="Cambria Math"/>
                  </w:rPr>
                  <m:t>α</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Z</m:t>
                </m:r>
                <m:ctrlPr>
                  <w:rPr>
                    <w:rFonts w:ascii="Cambria Math" w:hAnsi="Cambria Math"/>
                    <w:i/>
                    <w:szCs w:val="22"/>
                  </w:rPr>
                </m:ctrlPr>
              </m:e>
              <m:sub>
                <m:r>
                  <m:rPr/>
                  <w:rPr>
                    <w:rFonts w:ascii="Cambria Math" w:hAnsi="Cambria Math"/>
                  </w:rPr>
                  <m:t>β</m:t>
                </m:r>
                <m:ctrlPr>
                  <w:rPr>
                    <w:rFonts w:ascii="Cambria Math" w:hAnsi="Cambria Math"/>
                    <w:i/>
                    <w:szCs w:val="22"/>
                  </w:rPr>
                </m:ctrlPr>
              </m:sub>
            </m:sSub>
            <m:r>
              <m:rPr/>
              <w:rPr>
                <w:rFonts w:ascii="Cambria Math" w:hAnsi="Cambria Math"/>
              </w:rPr>
              <m:t>)</m:t>
            </m:r>
            <m:ctrlPr>
              <w:rPr>
                <w:rFonts w:ascii="Cambria Math" w:hAnsi="Cambria Math"/>
                <w:szCs w:val="22"/>
              </w:rPr>
            </m:ctrlPr>
          </m:e>
          <m:sup>
            <m:r>
              <m:rPr/>
              <w:rPr>
                <w:rFonts w:ascii="Cambria Math" w:hAnsi="Cambria Math"/>
              </w:rPr>
              <m:t>2</m:t>
            </m:r>
            <m:ctrlPr>
              <w:rPr>
                <w:rFonts w:ascii="Cambria Math" w:hAnsi="Cambria Math"/>
                <w:szCs w:val="22"/>
              </w:rPr>
            </m:ctrlPr>
          </m:sup>
        </m:sSup>
        <m:sSup>
          <m:sSupPr>
            <m:ctrlPr>
              <w:rPr>
                <w:rFonts w:ascii="Cambria Math" w:hAnsi="Cambria Math"/>
                <w:i/>
                <w:szCs w:val="22"/>
              </w:rPr>
            </m:ctrlPr>
          </m:sSupPr>
          <m:e>
            <m:r>
              <m:rPr/>
              <w:rPr>
                <w:rFonts w:ascii="Cambria Math" w:hAnsi="Cambria Math"/>
              </w:rPr>
              <m:t>σ</m:t>
            </m:r>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r>
              <m:rPr/>
              <w:rPr>
                <w:rFonts w:ascii="Cambria Math" w:hAnsi="Cambria Math"/>
              </w:rPr>
              <m:t>δ</m:t>
            </m:r>
            <m:ctrlPr>
              <w:rPr>
                <w:rFonts w:ascii="Cambria Math" w:hAnsi="Cambria Math"/>
                <w:i/>
                <w:szCs w:val="22"/>
              </w:rPr>
            </m:ctrlPr>
          </m:e>
          <m:sup>
            <m:r>
              <m:rPr/>
              <w:rPr>
                <w:rFonts w:ascii="Cambria Math" w:hAnsi="Cambria Math"/>
              </w:rPr>
              <m:t>2</m:t>
            </m:r>
            <m:ctrlPr>
              <w:rPr>
                <w:rFonts w:ascii="Cambria Math" w:hAnsi="Cambria Math"/>
                <w:i/>
                <w:szCs w:val="22"/>
              </w:rPr>
            </m:ctrlPr>
          </m:sup>
        </m:sSup>
      </m:oMath>
      <w:r>
        <w:t xml:space="preserve"> </w:t>
      </w:r>
    </w:p>
    <w:tbl>
      <w:tblPr>
        <w:tblStyle w:val="33"/>
        <w:tblpPr w:leftFromText="180" w:rightFromText="180" w:vertAnchor="text" w:horzAnchor="margin" w:tblpXSpec="right" w:tblpY="-35"/>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i/>
              </w:rPr>
              <w:t xml:space="preserve">N </w:t>
            </w:r>
            <w:r>
              <w:t>= 86</w:t>
            </w:r>
          </w:p>
        </w:tc>
      </w:tr>
    </w:tbl>
    <w:p>
      <w:pPr>
        <w:tabs>
          <w:tab w:val="left" w:pos="284"/>
          <w:tab w:val="left" w:pos="567"/>
        </w:tabs>
        <w:spacing w:before="156" w:beforeLines="50" w:after="156" w:afterLines="50" w:line="0" w:lineRule="atLeast"/>
        <w:ind w:firstLine="420" w:firstLineChars="200"/>
        <w:rPr>
          <w:szCs w:val="22"/>
        </w:rPr>
      </w:pPr>
    </w:p>
    <w:p>
      <w:pPr>
        <w:tabs>
          <w:tab w:val="left" w:pos="284"/>
          <w:tab w:val="left" w:pos="567"/>
        </w:tabs>
        <w:spacing w:before="156" w:beforeLines="50" w:after="156" w:afterLines="50" w:line="0" w:lineRule="atLeast"/>
        <w:ind w:firstLine="420" w:firstLineChars="200"/>
        <w:rPr>
          <w:rFonts w:ascii="宋体" w:hAnsi="宋体"/>
        </w:rPr>
      </w:pPr>
    </w:p>
    <w:p>
      <w:pPr>
        <w:pStyle w:val="51"/>
        <w:spacing w:before="156" w:after="156"/>
      </w:pPr>
      <w:r>
        <w:rPr>
          <w:rFonts w:hint="eastAsia"/>
        </w:rPr>
        <w:t>两种材料成对样本的比较</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步骤如下：</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a)陈述试验对象。</w:t>
      </w:r>
    </w:p>
    <w:p>
      <w:pPr>
        <w:tabs>
          <w:tab w:val="left" w:pos="284"/>
          <w:tab w:val="left" w:pos="567"/>
        </w:tabs>
        <w:spacing w:before="156" w:beforeLines="50" w:after="156" w:afterLines="50" w:line="0" w:lineRule="atLeast"/>
        <w:ind w:left="5460" w:leftChars="2600" w:firstLine="1680" w:firstLineChars="800"/>
        <w:rPr>
          <w:rFonts w:ascii="宋体" w:hAnsi="宋体"/>
        </w:rPr>
      </w:pPr>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0</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m:sty m:val="p"/>
              </m:rPr>
              <w:rPr>
                <w:rFonts w:ascii="Cambria Math" w:hAnsi="Cambria Math"/>
              </w:rPr>
              <m:t>diff</m:t>
            </m:r>
            <m:ctrlPr>
              <w:rPr>
                <w:rFonts w:ascii="Cambria Math" w:hAnsi="Cambria Math"/>
                <w:i/>
                <w:szCs w:val="22"/>
              </w:rPr>
            </m:ctrlPr>
          </m:sub>
        </m:sSub>
        <m:r>
          <m:rPr/>
          <w:rPr>
            <w:rFonts w:ascii="Cambria Math" w:hAnsi="Cambria Math"/>
          </w:rPr>
          <m:t>=0</m:t>
        </m:r>
      </m:oMath>
      <w:r>
        <w:rPr>
          <w:rFonts w:hint="eastAsia" w:ascii="宋体" w:hAnsi="宋体"/>
        </w:rPr>
        <w:t xml:space="preserve"> </w:t>
      </w:r>
    </w:p>
    <w:p>
      <w:pPr>
        <w:tabs>
          <w:tab w:val="left" w:pos="284"/>
          <w:tab w:val="left" w:pos="567"/>
        </w:tabs>
        <w:spacing w:before="156" w:beforeLines="50" w:after="156" w:afterLines="50" w:line="0" w:lineRule="atLeast"/>
        <w:ind w:left="6720" w:leftChars="3200" w:firstLine="420" w:firstLineChars="200"/>
        <w:rPr>
          <w:rFonts w:ascii="宋体" w:hAnsi="宋体"/>
        </w:rPr>
      </w:pPr>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a</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m:sty m:val="p"/>
              </m:rPr>
              <w:rPr>
                <w:rFonts w:ascii="Cambria Math" w:hAnsi="Cambria Math"/>
              </w:rPr>
              <m:t>diff</m:t>
            </m:r>
            <m:ctrlPr>
              <w:rPr>
                <w:rFonts w:ascii="Cambria Math" w:hAnsi="Cambria Math"/>
                <w:i/>
                <w:szCs w:val="22"/>
              </w:rPr>
            </m:ctrlPr>
          </m:sub>
        </m:sSub>
        <m:r>
          <m:rPr/>
          <w:rPr>
            <w:rFonts w:ascii="Cambria Math" w:hAnsi="Cambria Math"/>
          </w:rPr>
          <m:t>&gt;0</m:t>
        </m:r>
      </m:oMath>
      <w:r>
        <w:rPr>
          <w:rFonts w:hint="eastAsia" w:ascii="宋体" w:hAnsi="宋体"/>
        </w:rPr>
        <w:t xml:space="preserve"> </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b)选择</w:t>
      </w:r>
      <w:r>
        <w:rPr>
          <w:i/>
        </w:rPr>
        <w:t>α</w:t>
      </w:r>
      <w:r>
        <w:rPr>
          <w:rFonts w:hint="eastAsia"/>
        </w:rPr>
        <w:t>、</w:t>
      </w:r>
      <w:r>
        <w:rPr>
          <w:i/>
        </w:rPr>
        <w:t>β</w:t>
      </w:r>
      <w:r>
        <w:rPr>
          <w:rFonts w:hint="eastAsia"/>
        </w:rPr>
        <w:t>、</w:t>
      </w:r>
      <w:r>
        <w:rPr>
          <w:i/>
        </w:rPr>
        <w:t>δ</w:t>
      </w:r>
      <w:r>
        <w:rPr>
          <w:rFonts w:hint="eastAsia"/>
        </w:rPr>
        <w:t>并估计</w:t>
      </w:r>
      <w:r>
        <w:t>(</w:t>
      </w:r>
      <w:r>
        <w:rPr>
          <w:rFonts w:ascii="宋体" w:hAnsi="宋体"/>
          <w:i/>
        </w:rPr>
        <w:sym w:font="Symbol" w:char="0073"/>
      </w:r>
      <w:r>
        <w:rPr>
          <w:vertAlign w:val="subscript"/>
        </w:rPr>
        <w:t>diff</w:t>
      </w:r>
      <w:r>
        <w:rPr>
          <w:rFonts w:hint="eastAsia" w:ascii="宋体" w:hAnsi="宋体"/>
        </w:rPr>
        <w:t>)</w:t>
      </w:r>
      <w:r>
        <w:rPr>
          <w:rFonts w:hint="eastAsia" w:ascii="宋体" w:hAnsi="宋体"/>
          <w:vertAlign w:val="superscript"/>
        </w:rPr>
        <w:t>2</w:t>
      </w:r>
    </w:p>
    <w:p>
      <w:pPr>
        <w:tabs>
          <w:tab w:val="left" w:pos="284"/>
          <w:tab w:val="left" w:pos="567"/>
        </w:tabs>
        <w:spacing w:before="156" w:beforeLines="50" w:after="156" w:afterLines="50" w:line="0" w:lineRule="atLeast"/>
        <w:ind w:firstLine="360" w:firstLineChars="200"/>
        <w:rPr>
          <w:sz w:val="18"/>
          <w:szCs w:val="18"/>
        </w:rPr>
      </w:pPr>
      <w:r>
        <w:rPr>
          <w:rFonts w:hint="eastAsia"/>
          <w:sz w:val="18"/>
          <w:szCs w:val="18"/>
        </w:rPr>
        <w:t>注：如果潜在总体方差是</w:t>
      </w:r>
      <w:r>
        <w:rPr>
          <w:i/>
          <w:color w:val="000000"/>
          <w:sz w:val="18"/>
          <w:szCs w:val="18"/>
          <w:shd w:val="clear" w:color="auto" w:fill="FFFFFF"/>
        </w:rPr>
        <w:t>σ</w:t>
      </w:r>
      <w:r>
        <w:rPr>
          <w:color w:val="000000"/>
          <w:sz w:val="18"/>
          <w:szCs w:val="18"/>
          <w:shd w:val="clear" w:color="auto" w:fill="FFFFFF"/>
          <w:vertAlign w:val="superscript"/>
        </w:rPr>
        <w:t>2</w:t>
      </w:r>
      <w:r>
        <w:rPr>
          <w:rFonts w:hint="eastAsia"/>
          <w:sz w:val="18"/>
          <w:szCs w:val="18"/>
        </w:rPr>
        <w:t>，</w:t>
      </w:r>
      <w:r>
        <w:rPr>
          <w:rFonts w:hint="eastAsia"/>
          <w:color w:val="000000"/>
          <w:sz w:val="18"/>
          <w:szCs w:val="18"/>
          <w:shd w:val="clear" w:color="auto" w:fill="FFFFFF"/>
        </w:rPr>
        <w:t>并且假设两个总体的方差相同，则两个值</w:t>
      </w:r>
      <w:r>
        <w:rPr>
          <w:color w:val="000000"/>
          <w:sz w:val="18"/>
          <w:szCs w:val="18"/>
          <w:shd w:val="clear" w:color="auto" w:fill="FFFFFF"/>
        </w:rPr>
        <w:t>(</w:t>
      </w:r>
      <w:r>
        <w:rPr>
          <w:rFonts w:hint="eastAsia"/>
          <w:color w:val="000000"/>
          <w:sz w:val="18"/>
          <w:szCs w:val="18"/>
          <w:shd w:val="clear" w:color="auto" w:fill="FFFFFF"/>
        </w:rPr>
        <w:t>每个总体一个</w:t>
      </w:r>
      <w:r>
        <w:rPr>
          <w:color w:val="000000"/>
          <w:sz w:val="18"/>
          <w:szCs w:val="18"/>
          <w:shd w:val="clear" w:color="auto" w:fill="FFFFFF"/>
        </w:rPr>
        <w:t>)</w:t>
      </w:r>
      <w:r>
        <w:rPr>
          <w:rFonts w:hint="eastAsia"/>
          <w:color w:val="000000"/>
          <w:sz w:val="18"/>
          <w:szCs w:val="18"/>
          <w:shd w:val="clear" w:color="auto" w:fill="FFFFFF"/>
        </w:rPr>
        <w:t>之间的差异的方差为</w:t>
      </w:r>
      <w:r>
        <w:rPr>
          <w:color w:val="000000"/>
          <w:sz w:val="18"/>
          <w:szCs w:val="18"/>
          <w:shd w:val="clear" w:color="auto" w:fill="FFFFFF"/>
        </w:rPr>
        <w:t>2</w:t>
      </w:r>
      <w:r>
        <w:rPr>
          <w:i/>
          <w:color w:val="000000"/>
          <w:sz w:val="18"/>
          <w:szCs w:val="18"/>
          <w:shd w:val="clear" w:color="auto" w:fill="FFFFFF"/>
        </w:rPr>
        <w:t>σ</w:t>
      </w:r>
      <w:r>
        <w:rPr>
          <w:color w:val="000000"/>
          <w:sz w:val="18"/>
          <w:szCs w:val="18"/>
          <w:shd w:val="clear" w:color="auto" w:fill="FFFFFF"/>
          <w:vertAlign w:val="superscript"/>
        </w:rPr>
        <w:t>2</w:t>
      </w:r>
      <w:r>
        <w:rPr>
          <w:rFonts w:hint="eastAsia"/>
          <w:color w:val="000000"/>
          <w:sz w:val="18"/>
          <w:szCs w:val="18"/>
          <w:shd w:val="clear" w:color="auto" w:fill="FFFFFF"/>
        </w:rPr>
        <w:t>。</w:t>
      </w:r>
    </w:p>
    <w:tbl>
      <w:tblPr>
        <w:tblStyle w:val="33"/>
        <w:tblpPr w:leftFromText="180" w:rightFromText="180" w:vertAnchor="text" w:horzAnchor="margin" w:tblpXSpec="right" w:tblpY="223"/>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pPr>
            <w:r>
              <w:rPr>
                <w:i/>
              </w:rPr>
              <w:t>α</w:t>
            </w:r>
            <w:r>
              <w:t xml:space="preserve"> =0.01</w:t>
            </w:r>
          </w:p>
          <w:p>
            <w:pPr>
              <w:tabs>
                <w:tab w:val="left" w:pos="284"/>
                <w:tab w:val="left" w:pos="567"/>
              </w:tabs>
              <w:spacing w:before="156" w:beforeLines="50" w:after="156" w:afterLines="50" w:line="0" w:lineRule="atLeast"/>
              <w:jc w:val="center"/>
            </w:pPr>
            <w:r>
              <w:rPr>
                <w:i/>
              </w:rPr>
              <w:t>β</w:t>
            </w:r>
            <w:r>
              <w:t xml:space="preserve"> =0.05</w:t>
            </w:r>
          </w:p>
          <w:p>
            <w:pPr>
              <w:tabs>
                <w:tab w:val="left" w:pos="284"/>
                <w:tab w:val="left" w:pos="567"/>
              </w:tabs>
              <w:spacing w:before="156" w:beforeLines="50" w:after="156" w:afterLines="50" w:line="0" w:lineRule="atLeast"/>
              <w:jc w:val="center"/>
            </w:pPr>
            <w:r>
              <w:rPr>
                <w:i/>
              </w:rPr>
              <w:t>δ</w:t>
            </w:r>
            <w:r>
              <w:t xml:space="preserve"> =1</w:t>
            </w:r>
          </w:p>
          <w:p>
            <w:pPr>
              <w:tabs>
                <w:tab w:val="left" w:pos="284"/>
                <w:tab w:val="left" w:pos="567"/>
              </w:tabs>
              <w:spacing w:before="156" w:beforeLines="50" w:after="156" w:afterLines="50" w:line="0" w:lineRule="atLeast"/>
              <w:jc w:val="center"/>
              <w:rPr>
                <w:szCs w:val="22"/>
              </w:rPr>
            </w:pPr>
            <w:r>
              <w:rPr>
                <w:rFonts w:hint="eastAsia" w:ascii="宋体" w:hAnsi="宋体"/>
              </w:rPr>
              <w:t>(</w:t>
            </w:r>
            <w:r>
              <w:rPr>
                <w:rFonts w:ascii="宋体" w:hAnsi="宋体"/>
                <w:i/>
              </w:rPr>
              <w:sym w:font="Symbol" w:char="0073"/>
            </w:r>
            <w:r>
              <w:rPr>
                <w:rFonts w:hint="eastAsia" w:ascii="宋体" w:hAnsi="宋体"/>
                <w:vertAlign w:val="subscript"/>
              </w:rPr>
              <w:t>diff</w:t>
            </w:r>
            <w:r>
              <w:rPr>
                <w:rFonts w:hint="eastAsia" w:ascii="宋体" w:hAnsi="宋体"/>
              </w:rPr>
              <w:t>)</w:t>
            </w:r>
            <w:r>
              <w:rPr>
                <w:rFonts w:hint="eastAsia" w:ascii="宋体" w:hAnsi="宋体"/>
                <w:vertAlign w:val="superscript"/>
              </w:rPr>
              <w:t>2</w:t>
            </w:r>
            <w:r>
              <w:rPr>
                <w:rFonts w:hint="eastAsia" w:ascii="宋体" w:hAnsi="宋体"/>
              </w:rPr>
              <w:t xml:space="preserve"> </w:t>
            </w:r>
            <w:r>
              <w:t xml:space="preserve">= </w:t>
            </w:r>
            <w:r>
              <w:rPr>
                <w:color w:val="000000"/>
                <w:sz w:val="18"/>
                <w:szCs w:val="18"/>
                <w:shd w:val="clear" w:color="auto" w:fill="FFFFFF"/>
              </w:rPr>
              <w:t>2</w:t>
            </w:r>
            <w:r>
              <w:rPr>
                <w:i/>
                <w:color w:val="000000"/>
                <w:sz w:val="18"/>
                <w:szCs w:val="18"/>
                <w:shd w:val="clear" w:color="auto" w:fill="FFFFFF"/>
              </w:rPr>
              <w:t>σ</w:t>
            </w:r>
            <w:r>
              <w:rPr>
                <w:color w:val="000000"/>
                <w:sz w:val="18"/>
                <w:szCs w:val="18"/>
                <w:shd w:val="clear" w:color="auto" w:fill="FFFFFF"/>
                <w:vertAlign w:val="superscript"/>
              </w:rPr>
              <w:t xml:space="preserve">2 </w:t>
            </w:r>
            <w:r>
              <w:t>= 2</w:t>
            </w:r>
          </w:p>
        </w:tc>
      </w:tr>
    </w:tbl>
    <w:p>
      <w:pPr>
        <w:tabs>
          <w:tab w:val="left" w:pos="284"/>
          <w:tab w:val="left" w:pos="567"/>
        </w:tabs>
        <w:spacing w:before="156" w:beforeLines="50" w:after="156" w:afterLines="50" w:line="0" w:lineRule="atLeast"/>
        <w:ind w:firstLine="420" w:firstLineChars="200"/>
        <w:rPr>
          <w:rFonts w:ascii="宋体" w:hAnsi="宋体"/>
          <w:szCs w:val="22"/>
        </w:rPr>
      </w:pPr>
    </w:p>
    <w:p>
      <w:pPr>
        <w:tabs>
          <w:tab w:val="left" w:pos="284"/>
          <w:tab w:val="left" w:pos="567"/>
        </w:tabs>
        <w:spacing w:before="156" w:beforeLines="50" w:after="156" w:afterLines="50" w:line="0" w:lineRule="atLeast"/>
        <w:ind w:firstLine="420" w:firstLineChars="200"/>
        <w:rPr>
          <w:rFonts w:ascii="宋体" w:hAnsi="宋体"/>
        </w:rPr>
      </w:pPr>
    </w:p>
    <w:p>
      <w:pPr>
        <w:tabs>
          <w:tab w:val="left" w:pos="284"/>
          <w:tab w:val="left" w:pos="567"/>
        </w:tabs>
        <w:spacing w:before="156" w:beforeLines="50" w:after="156" w:afterLines="50" w:line="0" w:lineRule="atLeast"/>
        <w:ind w:firstLine="420" w:firstLineChars="200"/>
        <w:rPr>
          <w:rFonts w:ascii="宋体" w:hAnsi="宋体"/>
        </w:rPr>
      </w:pPr>
    </w:p>
    <w:p>
      <w:pPr>
        <w:tabs>
          <w:tab w:val="left" w:pos="284"/>
          <w:tab w:val="left" w:pos="567"/>
        </w:tabs>
        <w:spacing w:before="156" w:beforeLines="50" w:after="156" w:afterLines="50" w:line="0" w:lineRule="atLeast"/>
        <w:ind w:firstLine="420" w:firstLineChars="200"/>
        <w:rPr>
          <w:rFonts w:ascii="宋体" w:hAnsi="宋体"/>
        </w:rPr>
      </w:pPr>
    </w:p>
    <w:p>
      <w:pPr>
        <w:tabs>
          <w:tab w:val="left" w:pos="284"/>
          <w:tab w:val="left" w:pos="567"/>
        </w:tabs>
        <w:spacing w:before="156" w:beforeLines="50" w:after="156" w:afterLines="50" w:line="0" w:lineRule="atLeast"/>
        <w:ind w:firstLine="420" w:firstLineChars="200"/>
        <w:rPr>
          <w:rFonts w:ascii="宋体" w:hAnsi="宋体"/>
        </w:rPr>
      </w:pP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c)查</w:t>
      </w:r>
      <w:r>
        <w:rPr>
          <w:i/>
        </w:rPr>
        <w:t>Z</w:t>
      </w:r>
      <w:r>
        <w:rPr>
          <w:i/>
          <w:vertAlign w:val="subscript"/>
        </w:rPr>
        <w:t>α</w:t>
      </w:r>
      <w:r>
        <w:rPr>
          <w:rFonts w:hint="eastAsia"/>
        </w:rPr>
        <w:t>值（单侧正态）</w:t>
      </w:r>
    </w:p>
    <w:tbl>
      <w:tblPr>
        <w:tblStyle w:val="33"/>
        <w:tblpPr w:leftFromText="180" w:rightFromText="180" w:vertAnchor="text" w:horzAnchor="margin" w:tblpXSpec="right" w:tblpY="-17"/>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i/>
              </w:rPr>
              <w:t>Z</w:t>
            </w:r>
            <w:r>
              <w:rPr>
                <w:vertAlign w:val="subscript"/>
              </w:rPr>
              <w:t>α</w:t>
            </w:r>
            <w:r>
              <w:t>=1.282</w:t>
            </w:r>
          </w:p>
        </w:tc>
      </w:tr>
    </w:tbl>
    <w:p>
      <w:pPr>
        <w:tabs>
          <w:tab w:val="left" w:pos="284"/>
          <w:tab w:val="left" w:pos="567"/>
        </w:tabs>
        <w:spacing w:before="156" w:beforeLines="50" w:after="156" w:afterLines="50" w:line="0" w:lineRule="atLeast"/>
        <w:ind w:firstLine="420" w:firstLineChars="200"/>
        <w:rPr>
          <w:rFonts w:ascii="宋体" w:hAnsi="宋体"/>
          <w:szCs w:val="22"/>
        </w:rPr>
      </w:pPr>
    </w:p>
    <w:p>
      <w:pPr>
        <w:tabs>
          <w:tab w:val="left" w:pos="284"/>
          <w:tab w:val="left" w:pos="567"/>
        </w:tabs>
        <w:spacing w:before="156" w:beforeLines="50" w:after="156" w:afterLines="50" w:line="0" w:lineRule="atLeast"/>
        <w:ind w:firstLine="420" w:firstLineChars="200"/>
      </w:pPr>
      <w:r>
        <w:t xml:space="preserve">d) </w:t>
      </w:r>
      <w:r>
        <w:rPr>
          <w:rFonts w:hint="eastAsia"/>
        </w:rPr>
        <w:t>查</w:t>
      </w:r>
      <w:r>
        <w:rPr>
          <w:i/>
        </w:rPr>
        <w:t>Z</w:t>
      </w:r>
      <w:r>
        <w:rPr>
          <w:i/>
          <w:vertAlign w:val="subscript"/>
        </w:rPr>
        <w:t>β</w:t>
      </w:r>
      <w:r>
        <w:rPr>
          <w:rFonts w:hint="eastAsia"/>
        </w:rPr>
        <w:t>值（双侧正态）</w:t>
      </w:r>
    </w:p>
    <w:tbl>
      <w:tblPr>
        <w:tblStyle w:val="33"/>
        <w:tblpPr w:leftFromText="180" w:rightFromText="180" w:vertAnchor="text" w:horzAnchor="margin" w:tblpXSpec="right" w:tblpY="-35"/>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i/>
              </w:rPr>
              <w:t>Z</w:t>
            </w:r>
            <w:r>
              <w:rPr>
                <w:i/>
                <w:vertAlign w:val="subscript"/>
              </w:rPr>
              <w:t>β</w:t>
            </w:r>
            <w:r>
              <w:t>=1.645</w:t>
            </w:r>
          </w:p>
        </w:tc>
      </w:tr>
    </w:tbl>
    <w:p>
      <w:pPr>
        <w:tabs>
          <w:tab w:val="left" w:pos="284"/>
          <w:tab w:val="left" w:pos="567"/>
        </w:tabs>
        <w:spacing w:before="156" w:beforeLines="50" w:after="156" w:afterLines="50" w:line="0" w:lineRule="atLeast"/>
        <w:ind w:firstLine="420" w:firstLineChars="200"/>
        <w:rPr>
          <w:szCs w:val="22"/>
        </w:rPr>
      </w:pP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e)计算</w:t>
      </w:r>
      <w:r>
        <w:rPr>
          <w:rFonts w:hint="eastAsia" w:ascii="宋体" w:hAnsi="宋体"/>
          <w:i/>
        </w:rPr>
        <w:t>N</w:t>
      </w:r>
      <w:r>
        <w:rPr>
          <w:rFonts w:hint="eastAsia" w:ascii="宋体" w:hAnsi="宋体"/>
        </w:rPr>
        <w:t>对，此处</w:t>
      </w:r>
      <w:r>
        <w:rPr>
          <w:rFonts w:hint="eastAsia" w:ascii="宋体" w:hAnsi="宋体"/>
          <w:i/>
        </w:rPr>
        <w:t>N</w:t>
      </w:r>
      <w:r>
        <w:rPr>
          <w:rFonts w:hint="eastAsia" w:ascii="宋体" w:hAnsi="宋体"/>
        </w:rPr>
        <w:t>是下式计算值</w:t>
      </w:r>
      <w:r>
        <w:rPr>
          <w:rFonts w:hint="eastAsia"/>
        </w:rPr>
        <w:t>向上圆整</w:t>
      </w:r>
      <w:r>
        <w:rPr>
          <w:rFonts w:hint="eastAsia" w:ascii="宋体" w:hAnsi="宋体"/>
        </w:rPr>
        <w:t>的整数：</w:t>
      </w:r>
    </w:p>
    <w:p>
      <w:pPr>
        <w:tabs>
          <w:tab w:val="left" w:pos="284"/>
          <w:tab w:val="left" w:pos="567"/>
        </w:tabs>
        <w:spacing w:before="156" w:beforeLines="50" w:after="156" w:afterLines="50" w:line="0" w:lineRule="atLeast"/>
        <w:ind w:left="420" w:leftChars="200" w:firstLine="420" w:firstLineChars="200"/>
      </w:pPr>
      <m:oMath>
        <m:sSup>
          <m:sSupPr>
            <m:ctrlPr>
              <w:rPr>
                <w:rFonts w:ascii="Cambria Math" w:hAnsi="Cambria Math"/>
                <w:szCs w:val="22"/>
              </w:rPr>
            </m:ctrlPr>
          </m:sSupPr>
          <m:e>
            <m:d>
              <m:dPr>
                <m:ctrlPr>
                  <w:rPr>
                    <w:rFonts w:ascii="Cambria Math" w:hAnsi="Cambria Math"/>
                    <w:i/>
                    <w:szCs w:val="22"/>
                  </w:rPr>
                </m:ctrlPr>
              </m:dPr>
              <m:e>
                <m:sSub>
                  <m:sSubPr>
                    <m:ctrlPr>
                      <w:rPr>
                        <w:rFonts w:ascii="Cambria Math" w:hAnsi="Cambria Math"/>
                        <w:i/>
                        <w:szCs w:val="22"/>
                      </w:rPr>
                    </m:ctrlPr>
                  </m:sSubPr>
                  <m:e>
                    <m:r>
                      <m:rPr/>
                      <w:rPr>
                        <w:rFonts w:ascii="Cambria Math" w:hAnsi="Cambria Math"/>
                      </w:rPr>
                      <m:t>Z</m:t>
                    </m:r>
                    <m:ctrlPr>
                      <w:rPr>
                        <w:rFonts w:ascii="Cambria Math" w:hAnsi="Cambria Math"/>
                        <w:i/>
                        <w:szCs w:val="22"/>
                      </w:rPr>
                    </m:ctrlPr>
                  </m:e>
                  <m:sub>
                    <m:r>
                      <m:rPr/>
                      <w:rPr>
                        <w:rFonts w:ascii="Cambria Math" w:hAnsi="Cambria Math"/>
                      </w:rPr>
                      <m:t>α</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Z</m:t>
                    </m:r>
                    <m:ctrlPr>
                      <w:rPr>
                        <w:rFonts w:ascii="Cambria Math" w:hAnsi="Cambria Math"/>
                        <w:i/>
                        <w:szCs w:val="22"/>
                      </w:rPr>
                    </m:ctrlPr>
                  </m:e>
                  <m:sub>
                    <m:r>
                      <m:rPr/>
                      <w:rPr>
                        <w:rFonts w:ascii="Cambria Math" w:hAnsi="Cambria Math"/>
                      </w:rPr>
                      <m:t>β</m:t>
                    </m:r>
                    <m:ctrlPr>
                      <w:rPr>
                        <w:rFonts w:ascii="Cambria Math" w:hAnsi="Cambria Math"/>
                        <w:i/>
                        <w:szCs w:val="22"/>
                      </w:rPr>
                    </m:ctrlPr>
                  </m:sub>
                </m:sSub>
                <m:ctrlPr>
                  <w:rPr>
                    <w:rFonts w:ascii="Cambria Math" w:hAnsi="Cambria Math"/>
                    <w:i/>
                    <w:szCs w:val="22"/>
                  </w:rPr>
                </m:ctrlPr>
              </m:e>
            </m:d>
            <m:ctrlPr>
              <w:rPr>
                <w:rFonts w:ascii="Cambria Math" w:hAnsi="Cambria Math"/>
                <w:szCs w:val="22"/>
              </w:rPr>
            </m:ctrlPr>
          </m:e>
          <m:sup>
            <m:r>
              <m:rPr/>
              <w:rPr>
                <w:rFonts w:ascii="Cambria Math" w:hAnsi="Cambria Math"/>
              </w:rPr>
              <m:t>2</m:t>
            </m:r>
            <m:ctrlPr>
              <w:rPr>
                <w:rFonts w:ascii="Cambria Math" w:hAnsi="Cambria Math"/>
                <w:szCs w:val="22"/>
              </w:rPr>
            </m:ctrlPr>
          </m:sup>
        </m:sSup>
        <m:r>
          <m:rPr>
            <m:sty m:val="p"/>
          </m:rPr>
          <w:rPr>
            <w:rFonts w:ascii="Cambria Math" w:hAnsi="Cambria Math"/>
          </w:rPr>
          <m:t>(</m:t>
        </m:r>
        <m:r>
          <m:rPr/>
          <w:rPr>
            <w:rFonts w:ascii="Cambria Math" w:hAnsi="Cambria Math"/>
          </w:rPr>
          <m:t>2</m:t>
        </m:r>
        <m:sSup>
          <m:sSupPr>
            <m:ctrlPr>
              <w:rPr>
                <w:rFonts w:ascii="Cambria Math" w:hAnsi="Cambria Math"/>
                <w:i/>
                <w:szCs w:val="22"/>
              </w:rPr>
            </m:ctrlPr>
          </m:sSupPr>
          <m:e>
            <m:r>
              <m:rPr/>
              <w:rPr>
                <w:rFonts w:ascii="Cambria Math" w:hAnsi="Cambria Math"/>
              </w:rPr>
              <m:t>σ</m:t>
            </m:r>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p>
          <m:sSupPr>
            <m:ctrlPr>
              <w:rPr>
                <w:rFonts w:ascii="Cambria Math" w:hAnsi="Cambria Math"/>
                <w:i/>
                <w:szCs w:val="22"/>
              </w:rPr>
            </m:ctrlPr>
          </m:sSupPr>
          <m:e>
            <m:r>
              <m:rPr/>
              <w:rPr>
                <w:rFonts w:ascii="Cambria Math" w:hAnsi="Cambria Math"/>
              </w:rPr>
              <m:t>δ</m:t>
            </m:r>
            <m:ctrlPr>
              <w:rPr>
                <w:rFonts w:ascii="Cambria Math" w:hAnsi="Cambria Math"/>
                <w:i/>
                <w:szCs w:val="22"/>
              </w:rPr>
            </m:ctrlPr>
          </m:e>
          <m:sup>
            <m:r>
              <m:rPr/>
              <w:rPr>
                <w:rFonts w:ascii="Cambria Math" w:hAnsi="Cambria Math"/>
              </w:rPr>
              <m:t>2</m:t>
            </m:r>
            <m:ctrlPr>
              <w:rPr>
                <w:rFonts w:ascii="Cambria Math" w:hAnsi="Cambria Math"/>
                <w:i/>
                <w:szCs w:val="22"/>
              </w:rPr>
            </m:ctrlPr>
          </m:sup>
        </m:sSup>
      </m:oMath>
      <w:r>
        <w:t xml:space="preserve">  </w:t>
      </w:r>
    </w:p>
    <w:tbl>
      <w:tblPr>
        <w:tblStyle w:val="33"/>
        <w:tblpPr w:leftFromText="180" w:rightFromText="180" w:vertAnchor="text" w:horzAnchor="margin" w:tblpXSpec="right" w:tblpY="-35"/>
        <w:tblW w:w="13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7" w:type="dxa"/>
            <w:tcBorders>
              <w:top w:val="single" w:color="auto" w:sz="4" w:space="0"/>
              <w:left w:val="single" w:color="auto" w:sz="4" w:space="0"/>
              <w:bottom w:val="single" w:color="auto" w:sz="4" w:space="0"/>
              <w:right w:val="single" w:color="auto" w:sz="4" w:space="0"/>
            </w:tcBorders>
          </w:tcPr>
          <w:p>
            <w:pPr>
              <w:tabs>
                <w:tab w:val="left" w:pos="284"/>
                <w:tab w:val="left" w:pos="567"/>
              </w:tabs>
              <w:spacing w:before="156" w:beforeLines="50" w:after="156" w:afterLines="50" w:line="0" w:lineRule="atLeast"/>
              <w:jc w:val="center"/>
              <w:rPr>
                <w:szCs w:val="22"/>
              </w:rPr>
            </w:pPr>
            <w:r>
              <w:rPr>
                <w:i/>
              </w:rPr>
              <w:t xml:space="preserve">N </w:t>
            </w:r>
            <w:r>
              <w:t>= 18</w:t>
            </w:r>
          </w:p>
        </w:tc>
      </w:tr>
    </w:tbl>
    <w:p>
      <w:pPr>
        <w:tabs>
          <w:tab w:val="left" w:pos="284"/>
          <w:tab w:val="left" w:pos="567"/>
        </w:tabs>
        <w:spacing w:before="156" w:beforeLines="50" w:after="156" w:afterLines="50" w:line="0" w:lineRule="atLeast"/>
        <w:ind w:firstLine="420" w:firstLineChars="200"/>
        <w:rPr>
          <w:rFonts w:ascii="宋体" w:hAnsi="宋体"/>
          <w:szCs w:val="22"/>
        </w:rPr>
      </w:pPr>
    </w:p>
    <w:p>
      <w:pPr>
        <w:tabs>
          <w:tab w:val="left" w:pos="284"/>
          <w:tab w:val="left" w:pos="567"/>
        </w:tabs>
        <w:spacing w:before="156" w:beforeLines="50" w:after="156" w:afterLines="50" w:line="0" w:lineRule="atLeast"/>
        <w:ind w:firstLine="420" w:firstLineChars="200"/>
        <w:rPr>
          <w:rFonts w:ascii="宋体" w:hAnsi="宋体"/>
        </w:rPr>
      </w:pPr>
    </w:p>
    <w:p>
      <w:pPr>
        <w:pStyle w:val="46"/>
        <w:spacing w:before="156" w:after="156"/>
      </w:pPr>
      <w:r>
        <w:rPr>
          <w:rFonts w:hint="eastAsia"/>
        </w:rPr>
        <w:t>响应实验</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这些包括两水平因素设计和复合设计。本标准未涉及它们，具体请参阅参考资料。17.3.3给出了一些例子。</w:t>
      </w:r>
    </w:p>
    <w:p>
      <w:pPr>
        <w:pStyle w:val="42"/>
      </w:pPr>
      <w:bookmarkStart w:id="265" w:name="_Toc124173975"/>
      <w:r>
        <w:rPr>
          <w:rFonts w:hint="eastAsia"/>
        </w:rPr>
        <w:t>在橡胶试验中的应用</w:t>
      </w:r>
      <w:bookmarkEnd w:id="265"/>
    </w:p>
    <w:p>
      <w:pPr>
        <w:pStyle w:val="46"/>
        <w:spacing w:before="156" w:after="156"/>
      </w:pPr>
      <w:r>
        <w:rPr>
          <w:rFonts w:hint="eastAsia"/>
        </w:rPr>
        <w:t>描述性实验</w:t>
      </w:r>
    </w:p>
    <w:p>
      <w:pPr>
        <w:pStyle w:val="51"/>
        <w:spacing w:before="156" w:after="156"/>
      </w:pPr>
      <w:r>
        <w:rPr>
          <w:rFonts w:hint="eastAsia"/>
        </w:rPr>
        <w:t>置信限的细化</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 xml:space="preserve">宜参考14.3.2，其中给出了应力松弛的例子。当按17.2.2的步骤进行时，得到下列结果： </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 xml:space="preserve">a) </w:t>
      </w:r>
      <w:r>
        <w:rPr>
          <w:rFonts w:ascii="宋体" w:hAnsi="宋体"/>
          <w:i/>
        </w:rPr>
        <w:sym w:font="Symbol" w:char="0073"/>
      </w:r>
      <w:r>
        <w:rPr>
          <w:rFonts w:hint="eastAsia" w:ascii="宋体" w:hAnsi="宋体"/>
        </w:rPr>
        <w:t xml:space="preserve"> = 0.31 （每十年的标准偏差为0.31%）</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 xml:space="preserve">b) </w:t>
      </w:r>
      <w:r>
        <w:rPr>
          <w:i/>
        </w:rPr>
        <w:t>δ</w:t>
      </w:r>
      <w:r>
        <w:rPr>
          <w:rFonts w:hint="eastAsia" w:ascii="宋体" w:hAnsi="宋体"/>
        </w:rPr>
        <w:t xml:space="preserve"> = 0.34 （所要求的置信区间的一半宽度是6.8%的5%，也就是0.34%。）</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 xml:space="preserve">c) </w:t>
      </w:r>
      <w:r>
        <w:rPr>
          <w:i/>
        </w:rPr>
        <w:t>α</w:t>
      </w:r>
      <w:r>
        <w:rPr>
          <w:rFonts w:hint="eastAsia" w:ascii="宋体" w:hAnsi="宋体"/>
        </w:rPr>
        <w:t xml:space="preserve"> = 0.01 （需要99%的置信区间）</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 xml:space="preserve">d) </w:t>
      </w:r>
      <m:oMath>
        <m:sSub>
          <m:sSubPr>
            <m:ctrlPr>
              <w:rPr>
                <w:rFonts w:ascii="Cambria Math" w:hAnsi="Cambria Math"/>
                <w:i/>
                <w:szCs w:val="22"/>
              </w:rPr>
            </m:ctrlPr>
          </m:sSubPr>
          <m:e>
            <m:r>
              <m:rPr/>
              <w:rPr>
                <w:rFonts w:ascii="Cambria Math" w:hAnsi="Cambria Math"/>
              </w:rPr>
              <m:t>Z</m:t>
            </m:r>
            <m:ctrlPr>
              <w:rPr>
                <w:rFonts w:ascii="Cambria Math" w:hAnsi="Cambria Math"/>
                <w:i/>
                <w:szCs w:val="22"/>
              </w:rPr>
            </m:ctrlPr>
          </m:e>
          <m:sub>
            <m:r>
              <m:rPr/>
              <w:rPr>
                <w:rFonts w:ascii="Cambria Math" w:hAnsi="Cambria Math"/>
              </w:rPr>
              <m:t>α</m:t>
            </m:r>
            <m:ctrlPr>
              <w:rPr>
                <w:rFonts w:ascii="Cambria Math" w:hAnsi="Cambria Math"/>
                <w:i/>
                <w:szCs w:val="22"/>
              </w:rPr>
            </m:ctrlPr>
          </m:sub>
        </m:sSub>
      </m:oMath>
      <w:r>
        <w:rPr>
          <w:rFonts w:hint="eastAsia" w:ascii="宋体" w:hAnsi="宋体"/>
        </w:rPr>
        <w:t xml:space="preserve"> = 2.576 （需要一个双侧图，以便将</w:t>
      </w:r>
      <w:r>
        <w:rPr>
          <w:rFonts w:hint="eastAsia" w:ascii="宋体" w:hAnsi="宋体"/>
          <w:i/>
        </w:rPr>
        <w:t>α</w:t>
      </w:r>
      <w:r>
        <w:rPr>
          <w:rFonts w:hint="eastAsia" w:ascii="宋体" w:hAnsi="宋体"/>
        </w:rPr>
        <w:t>在分布的两极之间分开）</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e) (</w:t>
      </w:r>
      <w:r>
        <w:rPr>
          <w:rFonts w:hint="eastAsia" w:ascii="宋体" w:hAnsi="宋体"/>
          <w:i/>
        </w:rPr>
        <w:t>Z</w:t>
      </w:r>
      <w:r>
        <w:rPr>
          <w:vertAlign w:val="subscript"/>
        </w:rPr>
        <w:t>α</w:t>
      </w:r>
      <w:r>
        <w:rPr/>
        <w:sym w:font="Symbol" w:char="0073"/>
      </w:r>
      <w:r>
        <w:t>/</w:t>
      </w:r>
      <w:r>
        <w:rPr>
          <w:i/>
        </w:rPr>
        <w:t>δ</w:t>
      </w:r>
      <w:r>
        <w:t>)</w:t>
      </w:r>
      <w:r>
        <w:rPr>
          <w:vertAlign w:val="superscript"/>
        </w:rPr>
        <w:t>2</w:t>
      </w:r>
      <w:r>
        <w:t xml:space="preserve"> </w:t>
      </w:r>
      <w:r>
        <w:rPr>
          <w:rFonts w:hint="eastAsia" w:ascii="宋体" w:hAnsi="宋体"/>
        </w:rPr>
        <w:t>= 5.52</w:t>
      </w:r>
      <w:r>
        <w:rPr>
          <w:rFonts w:ascii="宋体" w:hAnsi="宋体"/>
        </w:rPr>
        <w:t xml:space="preserve"> </w:t>
      </w:r>
    </w:p>
    <w:p>
      <w:pPr>
        <w:tabs>
          <w:tab w:val="left" w:pos="284"/>
          <w:tab w:val="left" w:pos="567"/>
        </w:tabs>
        <w:spacing w:before="156" w:beforeLines="50" w:after="156" w:afterLines="50" w:line="0" w:lineRule="atLeast"/>
        <w:ind w:left="420" w:leftChars="200" w:firstLine="420" w:firstLineChars="200"/>
        <w:rPr>
          <w:rFonts w:ascii="宋体" w:hAnsi="宋体"/>
        </w:rPr>
      </w:pPr>
      <w:r>
        <w:rPr>
          <w:rFonts w:hint="eastAsia" w:ascii="宋体" w:hAnsi="宋体"/>
        </w:rPr>
        <w:t>取整：</w:t>
      </w:r>
      <w:r>
        <w:rPr>
          <w:i/>
        </w:rPr>
        <w:t>N</w:t>
      </w:r>
      <w:r>
        <w:rPr>
          <w:rFonts w:hint="eastAsia" w:ascii="宋体" w:hAnsi="宋体"/>
        </w:rPr>
        <w:t xml:space="preserve"> = 6</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f) 必要时重复步骤1)和2)，得到下列结果：</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1) </w:t>
      </w:r>
      <w:r>
        <w:rPr>
          <w:rFonts w:hint="eastAsia" w:ascii="宋体" w:hAnsi="宋体"/>
          <w:i/>
        </w:rPr>
        <w:t>t</w:t>
      </w:r>
      <w:r>
        <w:rPr>
          <w:vertAlign w:val="subscript"/>
        </w:rPr>
        <w:t>α</w:t>
      </w:r>
      <w:r>
        <w:t xml:space="preserve"> = 4.032 </w:t>
      </w:r>
      <w:r>
        <w:rPr>
          <w:rFonts w:hint="eastAsia"/>
        </w:rPr>
        <w:t>（表</w:t>
      </w:r>
      <w:r>
        <w:t>11</w:t>
      </w:r>
      <w:r>
        <w:rPr>
          <w:rFonts w:hint="eastAsia"/>
        </w:rPr>
        <w:t>：双侧：</w:t>
      </w:r>
      <w:r>
        <w:t>99%</w:t>
      </w:r>
      <w:r>
        <w:rPr>
          <w:rFonts w:hint="eastAsia"/>
        </w:rPr>
        <w:t>：</w:t>
      </w:r>
      <w:r>
        <w:rPr>
          <w:i/>
        </w:rPr>
        <w:t>n</w:t>
      </w:r>
      <w:r>
        <w:t>=6</w:t>
      </w:r>
      <w:r>
        <w:rPr>
          <w:rFonts w:hint="eastAsia"/>
        </w:rPr>
        <w:t>）</w:t>
      </w:r>
    </w:p>
    <w:p>
      <w:pPr>
        <w:tabs>
          <w:tab w:val="left" w:pos="284"/>
          <w:tab w:val="left" w:pos="567"/>
        </w:tabs>
        <w:spacing w:before="156" w:beforeLines="50" w:after="156" w:afterLines="50" w:line="0" w:lineRule="atLeast"/>
        <w:ind w:left="210" w:leftChars="100" w:firstLine="420" w:firstLineChars="200"/>
        <w:rPr>
          <w:i/>
        </w:rPr>
      </w:pPr>
      <w:r>
        <w:rPr>
          <w:rFonts w:hint="eastAsia" w:ascii="宋体" w:hAnsi="宋体"/>
        </w:rPr>
        <w:t xml:space="preserve">2) </w:t>
      </w:r>
      <w:r>
        <w:rPr>
          <w:rFonts w:hint="eastAsia"/>
          <w:i/>
        </w:rPr>
        <w:t xml:space="preserve">N </w:t>
      </w:r>
      <w:r>
        <w:rPr>
          <w:rFonts w:hint="eastAsia"/>
        </w:rPr>
        <w:t>= 14</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第一次重复：</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3) </w:t>
      </w:r>
      <w:r>
        <w:rPr>
          <w:rFonts w:hint="eastAsia" w:ascii="宋体" w:hAnsi="宋体"/>
          <w:i/>
        </w:rPr>
        <w:t>t</w:t>
      </w:r>
      <w:r>
        <w:rPr>
          <w:vertAlign w:val="subscript"/>
        </w:rPr>
        <w:t>α</w:t>
      </w:r>
      <w:r>
        <w:t xml:space="preserve"> = 3.012 </w:t>
      </w:r>
      <w:r>
        <w:rPr>
          <w:rFonts w:hint="eastAsia"/>
        </w:rPr>
        <w:t>（表</w:t>
      </w:r>
      <w:r>
        <w:t>11</w:t>
      </w:r>
      <w:r>
        <w:rPr>
          <w:rFonts w:hint="eastAsia"/>
        </w:rPr>
        <w:t>：双侧：</w:t>
      </w:r>
      <w:r>
        <w:t>99%</w:t>
      </w:r>
      <w:r>
        <w:rPr>
          <w:rFonts w:hint="eastAsia"/>
        </w:rPr>
        <w:t>：</w:t>
      </w:r>
      <w:r>
        <w:rPr>
          <w:i/>
        </w:rPr>
        <w:t>n</w:t>
      </w:r>
      <w:r>
        <w:t>=14</w:t>
      </w:r>
      <w:r>
        <w:rPr>
          <w:rFonts w:hint="eastAsia"/>
        </w:rPr>
        <w:t>）</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4) </w:t>
      </w:r>
      <w:r>
        <w:rPr>
          <w:rFonts w:hint="eastAsia"/>
          <w:i/>
        </w:rPr>
        <w:t xml:space="preserve">N </w:t>
      </w:r>
      <w:r>
        <w:rPr>
          <w:rFonts w:hint="eastAsia" w:ascii="宋体" w:hAnsi="宋体"/>
        </w:rPr>
        <w:t>= 8</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第二次重复：</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5) </w:t>
      </w:r>
      <w:r>
        <w:rPr>
          <w:rFonts w:hint="eastAsia" w:ascii="宋体" w:hAnsi="宋体"/>
          <w:i/>
        </w:rPr>
        <w:t>t</w:t>
      </w:r>
      <w:r>
        <w:rPr>
          <w:vertAlign w:val="subscript"/>
        </w:rPr>
        <w:t>α</w:t>
      </w:r>
      <w:r>
        <w:t xml:space="preserve"> = 3.499 </w:t>
      </w:r>
      <w:r>
        <w:rPr>
          <w:rFonts w:hint="eastAsia"/>
        </w:rPr>
        <w:t>（表</w:t>
      </w:r>
      <w:r>
        <w:t>11</w:t>
      </w:r>
      <w:r>
        <w:rPr>
          <w:rFonts w:hint="eastAsia"/>
        </w:rPr>
        <w:t>：双侧：</w:t>
      </w:r>
      <w:r>
        <w:t>99%</w:t>
      </w:r>
      <w:r>
        <w:rPr>
          <w:rFonts w:hint="eastAsia"/>
        </w:rPr>
        <w:t>：</w:t>
      </w:r>
      <w:r>
        <w:rPr>
          <w:i/>
        </w:rPr>
        <w:t>n</w:t>
      </w:r>
      <w:r>
        <w:t>=8</w:t>
      </w:r>
      <w:r>
        <w:rPr>
          <w:rFonts w:hint="eastAsia"/>
        </w:rPr>
        <w:t>）</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6) </w:t>
      </w:r>
      <w:r>
        <w:rPr>
          <w:rFonts w:hint="eastAsia"/>
          <w:i/>
        </w:rPr>
        <w:t xml:space="preserve">N </w:t>
      </w:r>
      <w:r>
        <w:rPr>
          <w:rFonts w:hint="eastAsia" w:ascii="宋体" w:hAnsi="宋体"/>
        </w:rPr>
        <w:t>= 11</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第三次重复：</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7) </w:t>
      </w:r>
      <w:r>
        <w:rPr>
          <w:rFonts w:hint="eastAsia" w:ascii="宋体" w:hAnsi="宋体"/>
          <w:i/>
        </w:rPr>
        <w:t>t</w:t>
      </w:r>
      <w:r>
        <w:rPr>
          <w:vertAlign w:val="subscript"/>
        </w:rPr>
        <w:t>α</w:t>
      </w:r>
      <w:r>
        <w:t xml:space="preserve"> = 3.169 </w:t>
      </w:r>
      <w:r>
        <w:rPr>
          <w:rFonts w:hint="eastAsia"/>
        </w:rPr>
        <w:t>（表</w:t>
      </w:r>
      <w:r>
        <w:t>11</w:t>
      </w:r>
      <w:r>
        <w:rPr>
          <w:rFonts w:hint="eastAsia"/>
        </w:rPr>
        <w:t>：双侧：</w:t>
      </w:r>
      <w:r>
        <w:t>99%</w:t>
      </w:r>
      <w:r>
        <w:rPr>
          <w:rFonts w:hint="eastAsia"/>
        </w:rPr>
        <w:t>：</w:t>
      </w:r>
      <w:r>
        <w:rPr>
          <w:i/>
        </w:rPr>
        <w:t>n</w:t>
      </w:r>
      <w:r>
        <w:t>=11</w:t>
      </w:r>
      <w:r>
        <w:rPr>
          <w:rFonts w:hint="eastAsia"/>
        </w:rPr>
        <w:t>）</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8) </w:t>
      </w:r>
      <w:r>
        <w:rPr>
          <w:rFonts w:hint="eastAsia"/>
          <w:i/>
        </w:rPr>
        <w:t xml:space="preserve">N </w:t>
      </w:r>
      <w:r>
        <w:rPr>
          <w:rFonts w:hint="eastAsia" w:ascii="宋体" w:hAnsi="宋体"/>
        </w:rPr>
        <w:t>= 9</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第四次重复：</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9) </w:t>
      </w:r>
      <w:r>
        <w:rPr>
          <w:rFonts w:hint="eastAsia" w:ascii="宋体" w:hAnsi="宋体"/>
          <w:i/>
        </w:rPr>
        <w:t>t</w:t>
      </w:r>
      <w:r>
        <w:rPr>
          <w:vertAlign w:val="subscript"/>
        </w:rPr>
        <w:t>α</w:t>
      </w:r>
      <w:r>
        <w:t xml:space="preserve"> = 3.355 </w:t>
      </w:r>
      <w:r>
        <w:rPr>
          <w:rFonts w:hint="eastAsia"/>
        </w:rPr>
        <w:t>（表</w:t>
      </w:r>
      <w:r>
        <w:t>11</w:t>
      </w:r>
      <w:r>
        <w:rPr>
          <w:rFonts w:hint="eastAsia"/>
        </w:rPr>
        <w:t>：双侧：</w:t>
      </w:r>
      <w:r>
        <w:t>99%</w:t>
      </w:r>
      <w:r>
        <w:rPr>
          <w:rFonts w:hint="eastAsia"/>
        </w:rPr>
        <w:t>：</w:t>
      </w:r>
      <w:r>
        <w:rPr>
          <w:i/>
        </w:rPr>
        <w:t>n</w:t>
      </w:r>
      <w:r>
        <w:t>=9</w:t>
      </w:r>
      <w:r>
        <w:rPr>
          <w:rFonts w:hint="eastAsia"/>
        </w:rPr>
        <w:t>）</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10) </w:t>
      </w:r>
      <w:r>
        <w:rPr>
          <w:rFonts w:hint="eastAsia"/>
          <w:i/>
        </w:rPr>
        <w:t xml:space="preserve">N </w:t>
      </w:r>
      <w:r>
        <w:rPr>
          <w:rFonts w:hint="eastAsia" w:ascii="宋体" w:hAnsi="宋体"/>
        </w:rPr>
        <w:t>= 10</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第五次重复：</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11) </w:t>
      </w:r>
      <w:r>
        <w:rPr>
          <w:rFonts w:hint="eastAsia" w:ascii="宋体" w:hAnsi="宋体"/>
          <w:i/>
        </w:rPr>
        <w:t>t</w:t>
      </w:r>
      <w:r>
        <w:rPr>
          <w:vertAlign w:val="subscript"/>
        </w:rPr>
        <w:t>α</w:t>
      </w:r>
      <w:r>
        <w:t xml:space="preserve"> = 3.25 </w:t>
      </w:r>
      <w:r>
        <w:rPr>
          <w:rFonts w:hint="eastAsia"/>
        </w:rPr>
        <w:t>（表</w:t>
      </w:r>
      <w:r>
        <w:t>11</w:t>
      </w:r>
      <w:r>
        <w:rPr>
          <w:rFonts w:hint="eastAsia"/>
        </w:rPr>
        <w:t>：双侧：</w:t>
      </w:r>
      <w:r>
        <w:t>99%</w:t>
      </w:r>
      <w:r>
        <w:rPr>
          <w:rFonts w:hint="eastAsia"/>
        </w:rPr>
        <w:t>：</w:t>
      </w:r>
      <w:r>
        <w:rPr>
          <w:i/>
        </w:rPr>
        <w:t>n</w:t>
      </w:r>
      <w:r>
        <w:t>=10</w:t>
      </w:r>
      <w:r>
        <w:rPr>
          <w:rFonts w:hint="eastAsia"/>
        </w:rPr>
        <w:t>）</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12) </w:t>
      </w:r>
      <w:r>
        <w:rPr>
          <w:rFonts w:hint="eastAsia"/>
          <w:i/>
        </w:rPr>
        <w:t xml:space="preserve">N </w:t>
      </w:r>
      <w:r>
        <w:rPr>
          <w:rFonts w:hint="eastAsia" w:ascii="宋体" w:hAnsi="宋体"/>
        </w:rPr>
        <w:t>= 9</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这样，重复迭代给出的</w:t>
      </w:r>
      <w:r>
        <w:rPr>
          <w:rFonts w:hint="eastAsia"/>
          <w:i/>
        </w:rPr>
        <w:t>N</w:t>
      </w:r>
      <w:r>
        <w:rPr>
          <w:rFonts w:hint="eastAsia" w:ascii="宋体" w:hAnsi="宋体"/>
        </w:rPr>
        <w:t>值在9和10之间振荡。更可靠的选择是10。</w:t>
      </w:r>
    </w:p>
    <w:p>
      <w:pPr>
        <w:pStyle w:val="51"/>
        <w:spacing w:before="156" w:after="156"/>
      </w:pPr>
      <w:r>
        <w:rPr>
          <w:rFonts w:hint="eastAsia"/>
        </w:rPr>
        <w:t>通过检验、不通过检验的细化</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宜参考14.3.3，其中给出了渗透性的例子。当按14.2.2的步骤进行时，得到下列结果：</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 xml:space="preserve">a) </w:t>
      </w:r>
      <w:r>
        <w:rPr>
          <w:rFonts w:ascii="宋体" w:hAnsi="宋体"/>
          <w:i/>
        </w:rPr>
        <w:sym w:font="Symbol" w:char="0073"/>
      </w:r>
      <w:r>
        <w:rPr>
          <w:rFonts w:hint="eastAsia" w:ascii="宋体" w:hAnsi="宋体"/>
        </w:rPr>
        <w:t xml:space="preserve"> = 1.45 （1.45×10</w:t>
      </w:r>
      <w:r>
        <w:rPr>
          <w:rFonts w:hint="eastAsia" w:ascii="宋体" w:hAnsi="宋体"/>
          <w:vertAlign w:val="superscript"/>
        </w:rPr>
        <w:t>-15</w:t>
      </w:r>
      <w:r>
        <w:rPr>
          <w:rFonts w:hint="eastAsia" w:ascii="宋体" w:hAnsi="宋体"/>
        </w:rPr>
        <w:t>m</w:t>
      </w:r>
      <w:r>
        <w:rPr>
          <w:rFonts w:hint="eastAsia" w:ascii="宋体" w:hAnsi="宋体"/>
          <w:vertAlign w:val="superscript"/>
        </w:rPr>
        <w:t>2</w:t>
      </w:r>
      <w:r>
        <w:t>‧</w:t>
      </w:r>
      <w:r>
        <w:rPr>
          <w:rFonts w:hint="eastAsia" w:ascii="宋体" w:hAnsi="宋体"/>
        </w:rPr>
        <w:t>s</w:t>
      </w:r>
      <w:r>
        <w:rPr>
          <w:rFonts w:hint="eastAsia" w:ascii="宋体" w:hAnsi="宋体"/>
          <w:vertAlign w:val="superscript"/>
        </w:rPr>
        <w:t>-1</w:t>
      </w:r>
      <w:r>
        <w:t>‧</w:t>
      </w:r>
      <w:r>
        <w:rPr>
          <w:rFonts w:hint="eastAsia" w:ascii="宋体" w:hAnsi="宋体"/>
        </w:rPr>
        <w:t>Pa</w:t>
      </w:r>
      <w:r>
        <w:rPr>
          <w:rFonts w:hint="eastAsia" w:ascii="宋体" w:hAnsi="宋体"/>
          <w:vertAlign w:val="superscript"/>
        </w:rPr>
        <w:t>-1</w:t>
      </w:r>
      <w:r>
        <w:rPr>
          <w:rFonts w:hint="eastAsia" w:ascii="宋体" w:hAnsi="宋体"/>
        </w:rPr>
        <w:t>）</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 xml:space="preserve">b) </w:t>
      </w:r>
      <w:r>
        <w:rPr>
          <w:i/>
        </w:rPr>
        <w:t>δ</w:t>
      </w:r>
      <w:r>
        <w:rPr>
          <w:rFonts w:hint="eastAsia" w:ascii="宋体" w:hAnsi="宋体"/>
        </w:rPr>
        <w:t xml:space="preserve"> = 1.1   [(6.1-5) ×10</w:t>
      </w:r>
      <w:r>
        <w:rPr>
          <w:rFonts w:hint="eastAsia" w:ascii="宋体" w:hAnsi="宋体"/>
          <w:vertAlign w:val="superscript"/>
        </w:rPr>
        <w:t>-15</w:t>
      </w:r>
      <w:r>
        <w:rPr>
          <w:rFonts w:hint="eastAsia" w:ascii="宋体" w:hAnsi="宋体"/>
        </w:rPr>
        <w:t>m</w:t>
      </w:r>
      <w:r>
        <w:rPr>
          <w:rFonts w:hint="eastAsia" w:ascii="宋体" w:hAnsi="宋体"/>
          <w:vertAlign w:val="superscript"/>
        </w:rPr>
        <w:t>2</w:t>
      </w:r>
      <w:r>
        <w:t>‧</w:t>
      </w:r>
      <w:r>
        <w:rPr>
          <w:rFonts w:hint="eastAsia" w:ascii="宋体" w:hAnsi="宋体"/>
        </w:rPr>
        <w:t>s</w:t>
      </w:r>
      <w:r>
        <w:rPr>
          <w:rFonts w:hint="eastAsia" w:ascii="宋体" w:hAnsi="宋体"/>
          <w:vertAlign w:val="superscript"/>
        </w:rPr>
        <w:t>-1</w:t>
      </w:r>
      <w:r>
        <w:t>‧</w:t>
      </w:r>
      <w:r>
        <w:rPr>
          <w:rFonts w:hint="eastAsia" w:ascii="宋体" w:hAnsi="宋体"/>
        </w:rPr>
        <w:t>Pa</w:t>
      </w:r>
      <w:r>
        <w:rPr>
          <w:rFonts w:hint="eastAsia" w:ascii="宋体" w:hAnsi="宋体"/>
          <w:vertAlign w:val="superscript"/>
        </w:rPr>
        <w:t>-1</w:t>
      </w:r>
      <w:r>
        <w:rPr>
          <w:rFonts w:hint="eastAsia" w:ascii="宋体" w:hAnsi="宋体"/>
        </w:rPr>
        <w:t>]</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 xml:space="preserve">c) </w:t>
      </w:r>
      <w:r>
        <w:rPr>
          <w:i/>
        </w:rPr>
        <w:t>α</w:t>
      </w:r>
      <w:r>
        <w:rPr>
          <w:rFonts w:hint="eastAsia" w:ascii="宋体" w:hAnsi="宋体"/>
        </w:rPr>
        <w:t xml:space="preserve"> = 0.05 （要求95%的置信度）</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 xml:space="preserve">d) </w:t>
      </w:r>
      <m:oMath>
        <m:sSub>
          <m:sSubPr>
            <m:ctrlPr>
              <w:rPr>
                <w:rFonts w:ascii="Cambria Math" w:hAnsi="Cambria Math"/>
                <w:i/>
                <w:szCs w:val="22"/>
              </w:rPr>
            </m:ctrlPr>
          </m:sSubPr>
          <m:e>
            <m:r>
              <m:rPr/>
              <w:rPr>
                <w:rFonts w:ascii="Cambria Math" w:hAnsi="Cambria Math"/>
              </w:rPr>
              <m:t>Z</m:t>
            </m:r>
            <m:ctrlPr>
              <w:rPr>
                <w:rFonts w:ascii="Cambria Math" w:hAnsi="Cambria Math"/>
                <w:i/>
                <w:szCs w:val="22"/>
              </w:rPr>
            </m:ctrlPr>
          </m:e>
          <m:sub>
            <m:r>
              <m:rPr/>
              <w:rPr>
                <w:rFonts w:ascii="Cambria Math" w:hAnsi="Cambria Math"/>
              </w:rPr>
              <m:t>α</m:t>
            </m:r>
            <m:ctrlPr>
              <w:rPr>
                <w:rFonts w:ascii="Cambria Math" w:hAnsi="Cambria Math"/>
                <w:i/>
                <w:szCs w:val="22"/>
              </w:rPr>
            </m:ctrlPr>
          </m:sub>
        </m:sSub>
      </m:oMath>
      <w:r>
        <w:rPr>
          <w:rFonts w:hint="eastAsia" w:ascii="宋体" w:hAnsi="宋体"/>
        </w:rPr>
        <w:t xml:space="preserve"> = 1.645 （要求一个单侧图，因为关注的仅是渗透性不小于5×10</w:t>
      </w:r>
      <w:r>
        <w:rPr>
          <w:rFonts w:hint="eastAsia" w:ascii="宋体" w:hAnsi="宋体"/>
          <w:vertAlign w:val="superscript"/>
        </w:rPr>
        <w:t>-15</w:t>
      </w:r>
      <w:r>
        <w:rPr>
          <w:rFonts w:hint="eastAsia" w:ascii="宋体" w:hAnsi="宋体"/>
        </w:rPr>
        <w:t>m</w:t>
      </w:r>
      <w:r>
        <w:rPr>
          <w:rFonts w:hint="eastAsia" w:ascii="宋体" w:hAnsi="宋体"/>
          <w:vertAlign w:val="superscript"/>
        </w:rPr>
        <w:t>2</w:t>
      </w:r>
      <w:r>
        <w:t>‧</w:t>
      </w:r>
      <w:r>
        <w:rPr>
          <w:rFonts w:hint="eastAsia" w:ascii="宋体" w:hAnsi="宋体"/>
        </w:rPr>
        <w:t>s</w:t>
      </w:r>
      <w:r>
        <w:rPr>
          <w:rFonts w:hint="eastAsia" w:ascii="宋体" w:hAnsi="宋体"/>
          <w:vertAlign w:val="superscript"/>
        </w:rPr>
        <w:t>-1</w:t>
      </w:r>
      <w:r>
        <w:t>‧</w:t>
      </w:r>
      <w:r>
        <w:rPr>
          <w:rFonts w:hint="eastAsia" w:ascii="宋体" w:hAnsi="宋体"/>
        </w:rPr>
        <w:t>Pa</w:t>
      </w:r>
      <w:r>
        <w:rPr>
          <w:rFonts w:hint="eastAsia" w:ascii="宋体" w:hAnsi="宋体"/>
          <w:vertAlign w:val="superscript"/>
        </w:rPr>
        <w:t>-1</w:t>
      </w:r>
      <w:r>
        <w:rPr>
          <w:rFonts w:hint="eastAsia" w:ascii="宋体" w:hAnsi="宋体"/>
        </w:rPr>
        <w:t>）</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e) (</w:t>
      </w:r>
      <w:r>
        <w:rPr>
          <w:rFonts w:hint="eastAsia" w:ascii="宋体" w:hAnsi="宋体"/>
          <w:i/>
        </w:rPr>
        <w:t>Z</w:t>
      </w:r>
      <w:r>
        <w:rPr>
          <w:vertAlign w:val="subscript"/>
        </w:rPr>
        <w:t>α</w:t>
      </w:r>
      <w:r>
        <w:rPr/>
        <w:sym w:font="Symbol" w:char="0073"/>
      </w:r>
      <w:r>
        <w:t>/</w:t>
      </w:r>
      <w:r>
        <w:rPr>
          <w:i/>
        </w:rPr>
        <w:t>δ</w:t>
      </w:r>
      <w:r>
        <w:t>)</w:t>
      </w:r>
      <w:r>
        <w:rPr>
          <w:vertAlign w:val="superscript"/>
        </w:rPr>
        <w:t>2</w:t>
      </w:r>
      <w:r>
        <w:t xml:space="preserve"> </w:t>
      </w:r>
      <w:r>
        <w:rPr>
          <w:rFonts w:hint="eastAsia" w:ascii="宋体" w:hAnsi="宋体"/>
        </w:rPr>
        <w:t>= 4.7</w:t>
      </w:r>
    </w:p>
    <w:p>
      <w:pPr>
        <w:tabs>
          <w:tab w:val="left" w:pos="284"/>
          <w:tab w:val="left" w:pos="567"/>
        </w:tabs>
        <w:spacing w:before="156" w:beforeLines="50" w:after="156" w:afterLines="50" w:line="0" w:lineRule="atLeast"/>
        <w:ind w:left="420" w:leftChars="200" w:firstLine="420" w:firstLineChars="200"/>
        <w:rPr>
          <w:rFonts w:ascii="宋体" w:hAnsi="宋体"/>
        </w:rPr>
      </w:pPr>
      <w:r>
        <w:rPr>
          <w:rFonts w:hint="eastAsia" w:ascii="宋体" w:hAnsi="宋体"/>
        </w:rPr>
        <w:t>取整：</w:t>
      </w:r>
      <w:r>
        <w:rPr>
          <w:i/>
        </w:rPr>
        <w:t>N</w:t>
      </w:r>
      <w:r>
        <w:rPr>
          <w:rFonts w:hint="eastAsia" w:ascii="宋体" w:hAnsi="宋体"/>
        </w:rPr>
        <w:t xml:space="preserve"> = 5</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f) 必要时重复步骤1)和2)，得到下列结果：</w:t>
      </w:r>
    </w:p>
    <w:p>
      <w:pPr>
        <w:tabs>
          <w:tab w:val="left" w:pos="284"/>
          <w:tab w:val="left" w:pos="567"/>
        </w:tabs>
        <w:spacing w:before="156" w:beforeLines="50" w:after="156" w:afterLines="50" w:line="0" w:lineRule="atLeast"/>
        <w:ind w:left="210" w:leftChars="100" w:firstLine="420" w:firstLineChars="200"/>
      </w:pPr>
      <w:r>
        <w:rPr>
          <w:rFonts w:hint="eastAsia" w:ascii="宋体" w:hAnsi="宋体"/>
        </w:rPr>
        <w:t xml:space="preserve">1) </w:t>
      </w:r>
      <w:r>
        <w:rPr>
          <w:rFonts w:hint="eastAsia" w:ascii="宋体" w:hAnsi="宋体"/>
          <w:i/>
        </w:rPr>
        <w:t>t</w:t>
      </w:r>
      <w:r>
        <w:rPr>
          <w:vertAlign w:val="subscript"/>
        </w:rPr>
        <w:t>α</w:t>
      </w:r>
      <w:r>
        <w:t xml:space="preserve"> = 2.132 </w:t>
      </w:r>
      <w:r>
        <w:rPr>
          <w:rFonts w:hint="eastAsia"/>
        </w:rPr>
        <w:t>（表</w:t>
      </w:r>
      <w:r>
        <w:t>11</w:t>
      </w:r>
      <w:r>
        <w:rPr>
          <w:rFonts w:hint="eastAsia"/>
        </w:rPr>
        <w:t>：单侧：</w:t>
      </w:r>
      <w:r>
        <w:t>95%</w:t>
      </w:r>
      <w:r>
        <w:rPr>
          <w:rFonts w:hint="eastAsia"/>
        </w:rPr>
        <w:t>：</w:t>
      </w:r>
      <w:r>
        <w:rPr>
          <w:i/>
        </w:rPr>
        <w:t>n</w:t>
      </w:r>
      <w:r>
        <w:t>=5</w:t>
      </w:r>
      <w:r>
        <w:rPr>
          <w:rFonts w:hint="eastAsia"/>
        </w:rPr>
        <w:t>）</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2) </w:t>
      </w:r>
      <w:r>
        <w:rPr>
          <w:rFonts w:hint="eastAsia"/>
          <w:i/>
        </w:rPr>
        <w:t>N</w:t>
      </w:r>
      <w:r>
        <w:rPr>
          <w:rFonts w:hint="eastAsia" w:ascii="宋体" w:hAnsi="宋体"/>
        </w:rPr>
        <w:t xml:space="preserve"> = 8</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第一次重复：</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3) </w:t>
      </w:r>
      <w:r>
        <w:rPr>
          <w:rFonts w:hint="eastAsia" w:ascii="宋体" w:hAnsi="宋体"/>
          <w:i/>
        </w:rPr>
        <w:t>t</w:t>
      </w:r>
      <w:r>
        <w:rPr>
          <w:vertAlign w:val="subscript"/>
        </w:rPr>
        <w:t>α</w:t>
      </w:r>
      <w:r>
        <w:t xml:space="preserve"> = 1.895 </w:t>
      </w:r>
      <w:r>
        <w:rPr>
          <w:rFonts w:hint="eastAsia"/>
        </w:rPr>
        <w:t>（表</w:t>
      </w:r>
      <w:r>
        <w:t>11</w:t>
      </w:r>
      <w:r>
        <w:rPr>
          <w:rFonts w:hint="eastAsia"/>
        </w:rPr>
        <w:t>：单侧：</w:t>
      </w:r>
      <w:r>
        <w:t>95%</w:t>
      </w:r>
      <w:r>
        <w:rPr>
          <w:rFonts w:hint="eastAsia"/>
        </w:rPr>
        <w:t>：</w:t>
      </w:r>
      <w:r>
        <w:rPr>
          <w:i/>
        </w:rPr>
        <w:t>n</w:t>
      </w:r>
      <w:r>
        <w:t>=8</w:t>
      </w:r>
      <w:r>
        <w:rPr>
          <w:rFonts w:hint="eastAsia"/>
        </w:rPr>
        <w:t>）</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4) </w:t>
      </w:r>
      <w:r>
        <w:rPr>
          <w:rFonts w:hint="eastAsia"/>
          <w:i/>
        </w:rPr>
        <w:t xml:space="preserve">N </w:t>
      </w:r>
      <w:r>
        <w:rPr>
          <w:rFonts w:hint="eastAsia" w:ascii="宋体" w:hAnsi="宋体"/>
        </w:rPr>
        <w:t>= 7</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第二次重复：</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5) </w:t>
      </w:r>
      <w:r>
        <w:rPr>
          <w:rFonts w:hint="eastAsia" w:ascii="宋体" w:hAnsi="宋体"/>
          <w:i/>
        </w:rPr>
        <w:t>t</w:t>
      </w:r>
      <w:r>
        <w:rPr>
          <w:vertAlign w:val="subscript"/>
        </w:rPr>
        <w:t>α</w:t>
      </w:r>
      <w:r>
        <w:t xml:space="preserve"> = 1.943 </w:t>
      </w:r>
      <w:r>
        <w:rPr>
          <w:rFonts w:hint="eastAsia"/>
        </w:rPr>
        <w:t>（表</w:t>
      </w:r>
      <w:r>
        <w:t>11</w:t>
      </w:r>
      <w:r>
        <w:rPr>
          <w:rFonts w:hint="eastAsia"/>
        </w:rPr>
        <w:t>：单侧：</w:t>
      </w:r>
      <w:r>
        <w:t>95%</w:t>
      </w:r>
      <w:r>
        <w:rPr>
          <w:rFonts w:hint="eastAsia"/>
        </w:rPr>
        <w:t>：</w:t>
      </w:r>
      <w:r>
        <w:rPr>
          <w:i/>
        </w:rPr>
        <w:t>n</w:t>
      </w:r>
      <w:r>
        <w:t>=7</w:t>
      </w:r>
      <w:r>
        <w:rPr>
          <w:rFonts w:hint="eastAsia"/>
        </w:rPr>
        <w:t>）</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 xml:space="preserve">6) </w:t>
      </w:r>
      <w:r>
        <w:rPr>
          <w:rFonts w:hint="eastAsia"/>
          <w:i/>
        </w:rPr>
        <w:t xml:space="preserve">N </w:t>
      </w:r>
      <w:r>
        <w:rPr>
          <w:rFonts w:hint="eastAsia" w:ascii="宋体" w:hAnsi="宋体"/>
        </w:rPr>
        <w:t>= 7</w:t>
      </w:r>
    </w:p>
    <w:p>
      <w:pPr>
        <w:tabs>
          <w:tab w:val="left" w:pos="284"/>
          <w:tab w:val="left" w:pos="567"/>
        </w:tabs>
        <w:spacing w:before="156" w:beforeLines="50" w:after="156" w:afterLines="50" w:line="0" w:lineRule="atLeast"/>
        <w:ind w:left="210" w:leftChars="100" w:firstLine="420" w:firstLineChars="200"/>
        <w:rPr>
          <w:rFonts w:ascii="宋体" w:hAnsi="宋体"/>
        </w:rPr>
      </w:pPr>
      <w:r>
        <w:rPr>
          <w:rFonts w:hint="eastAsia" w:ascii="宋体" w:hAnsi="宋体"/>
        </w:rPr>
        <w:t>因此，七个试样是需要的。</w:t>
      </w:r>
    </w:p>
    <w:p>
      <w:pPr>
        <w:pStyle w:val="46"/>
        <w:spacing w:before="156" w:after="156"/>
      </w:pPr>
      <w:r>
        <w:rPr>
          <w:rFonts w:hint="eastAsia"/>
        </w:rPr>
        <w:t>比较实验</w:t>
      </w:r>
    </w:p>
    <w:p>
      <w:pPr>
        <w:pStyle w:val="51"/>
        <w:spacing w:before="156" w:after="156"/>
      </w:pPr>
      <w:r>
        <w:rPr>
          <w:rFonts w:hint="eastAsia"/>
        </w:rPr>
        <w:t>新材料与标准材料的比较</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宜参照14.3.3。在本应用中，设标准橡胶膜渗透性为5×10</w:t>
      </w:r>
      <w:r>
        <w:rPr>
          <w:rFonts w:hint="eastAsia" w:ascii="宋体" w:hAnsi="宋体"/>
          <w:vertAlign w:val="superscript"/>
        </w:rPr>
        <w:t>-15</w:t>
      </w:r>
      <w:r>
        <w:rPr>
          <w:rFonts w:hint="eastAsia" w:ascii="宋体" w:hAnsi="宋体"/>
        </w:rPr>
        <w:t>m</w:t>
      </w:r>
      <w:r>
        <w:rPr>
          <w:rFonts w:hint="eastAsia" w:ascii="宋体" w:hAnsi="宋体"/>
          <w:vertAlign w:val="superscript"/>
        </w:rPr>
        <w:t>2</w:t>
      </w:r>
      <w:r>
        <w:t>‧</w:t>
      </w:r>
      <w:r>
        <w:rPr>
          <w:rFonts w:hint="eastAsia" w:ascii="宋体" w:hAnsi="宋体"/>
        </w:rPr>
        <w:t>s</w:t>
      </w:r>
      <w:r>
        <w:rPr>
          <w:rFonts w:hint="eastAsia" w:ascii="宋体" w:hAnsi="宋体"/>
          <w:vertAlign w:val="superscript"/>
        </w:rPr>
        <w:t>-1</w:t>
      </w:r>
      <w:r>
        <w:t>‧</w:t>
      </w:r>
      <w:r>
        <w:rPr>
          <w:rFonts w:hint="eastAsia" w:ascii="宋体" w:hAnsi="宋体"/>
        </w:rPr>
        <w:t>Pa</w:t>
      </w:r>
      <w:r>
        <w:rPr>
          <w:rFonts w:hint="eastAsia" w:ascii="宋体" w:hAnsi="宋体"/>
          <w:vertAlign w:val="superscript"/>
        </w:rPr>
        <w:t>-1</w:t>
      </w:r>
      <w:r>
        <w:rPr>
          <w:rFonts w:hint="eastAsia" w:ascii="宋体" w:hAnsi="宋体"/>
        </w:rPr>
        <w:t>，标准偏差</w:t>
      </w:r>
      <w:r>
        <w:rPr>
          <w:rFonts w:ascii="宋体" w:hAnsi="宋体"/>
        </w:rPr>
        <w:sym w:font="Symbol" w:char="0073"/>
      </w:r>
      <w:r>
        <w:rPr>
          <w:rFonts w:hint="eastAsia" w:ascii="宋体" w:hAnsi="宋体"/>
        </w:rPr>
        <w:t xml:space="preserve"> = 1.45×10</w:t>
      </w:r>
      <w:r>
        <w:rPr>
          <w:rFonts w:hint="eastAsia" w:ascii="宋体" w:hAnsi="宋体"/>
          <w:vertAlign w:val="superscript"/>
        </w:rPr>
        <w:t>-15</w:t>
      </w:r>
      <w:r>
        <w:rPr>
          <w:rFonts w:hint="eastAsia" w:ascii="宋体" w:hAnsi="宋体"/>
        </w:rPr>
        <w:t>m</w:t>
      </w:r>
      <w:r>
        <w:rPr>
          <w:rFonts w:hint="eastAsia" w:ascii="宋体" w:hAnsi="宋体"/>
          <w:vertAlign w:val="superscript"/>
        </w:rPr>
        <w:t>2</w:t>
      </w:r>
      <w:r>
        <w:t>‧</w:t>
      </w:r>
      <w:r>
        <w:rPr>
          <w:rFonts w:hint="eastAsia" w:ascii="宋体" w:hAnsi="宋体"/>
        </w:rPr>
        <w:t>s</w:t>
      </w:r>
      <w:r>
        <w:rPr>
          <w:rFonts w:hint="eastAsia" w:ascii="宋体" w:hAnsi="宋体"/>
          <w:vertAlign w:val="superscript"/>
        </w:rPr>
        <w:t>-1</w:t>
      </w:r>
      <w:r>
        <w:t>‧</w:t>
      </w:r>
      <w:r>
        <w:rPr>
          <w:rFonts w:hint="eastAsia" w:ascii="宋体" w:hAnsi="宋体"/>
        </w:rPr>
        <w:t>Pa</w:t>
      </w:r>
      <w:r>
        <w:rPr>
          <w:rFonts w:hint="eastAsia" w:ascii="宋体" w:hAnsi="宋体"/>
          <w:vertAlign w:val="superscript"/>
        </w:rPr>
        <w:t>-1</w:t>
      </w:r>
      <w:r>
        <w:rPr>
          <w:rFonts w:hint="eastAsia" w:ascii="宋体" w:hAnsi="宋体"/>
        </w:rPr>
        <w:t>。假设新材料的渗透性具有相同的方差，可以计算出检测至少1×10</w:t>
      </w:r>
      <w:r>
        <w:rPr>
          <w:rFonts w:hint="eastAsia" w:ascii="宋体" w:hAnsi="宋体"/>
          <w:vertAlign w:val="superscript"/>
        </w:rPr>
        <w:t>-15</w:t>
      </w:r>
      <w:r>
        <w:rPr>
          <w:rFonts w:hint="eastAsia" w:ascii="宋体" w:hAnsi="宋体"/>
        </w:rPr>
        <w:t>m</w:t>
      </w:r>
      <w:r>
        <w:rPr>
          <w:rFonts w:hint="eastAsia" w:ascii="宋体" w:hAnsi="宋体"/>
          <w:vertAlign w:val="superscript"/>
        </w:rPr>
        <w:t>2</w:t>
      </w:r>
      <w:r>
        <w:t>‧</w:t>
      </w:r>
      <w:r>
        <w:rPr>
          <w:rFonts w:hint="eastAsia" w:ascii="宋体" w:hAnsi="宋体"/>
        </w:rPr>
        <w:t>s</w:t>
      </w:r>
      <w:r>
        <w:rPr>
          <w:rFonts w:hint="eastAsia" w:ascii="宋体" w:hAnsi="宋体"/>
          <w:vertAlign w:val="superscript"/>
        </w:rPr>
        <w:t>-1</w:t>
      </w:r>
      <w:r>
        <w:t>‧</w:t>
      </w:r>
      <w:r>
        <w:rPr>
          <w:rFonts w:hint="eastAsia" w:ascii="宋体" w:hAnsi="宋体"/>
        </w:rPr>
        <w:t>Pa</w:t>
      </w:r>
      <w:r>
        <w:rPr>
          <w:rFonts w:hint="eastAsia" w:ascii="宋体" w:hAnsi="宋体"/>
          <w:vertAlign w:val="superscript"/>
        </w:rPr>
        <w:t>-1</w:t>
      </w:r>
      <w:r>
        <w:rPr>
          <w:rFonts w:hint="eastAsia" w:ascii="宋体" w:hAnsi="宋体"/>
        </w:rPr>
        <w:t>的改进</w:t>
      </w:r>
      <w:r>
        <w:rPr>
          <w:i/>
        </w:rPr>
        <w:t>δ</w:t>
      </w:r>
      <w:r>
        <w:rPr>
          <w:rFonts w:hint="eastAsia" w:ascii="宋体" w:hAnsi="宋体"/>
        </w:rPr>
        <w:t>所需的样本量。当按17.2.3.1的步骤进行时，得到下列结果：</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a) 设标准材料渗透性均值的真值为</w:t>
      </w:r>
      <w:r>
        <w:rPr>
          <w:rFonts w:ascii="宋体" w:hAnsi="宋体"/>
          <w:i/>
        </w:rPr>
        <w:sym w:font="Symbol" w:char="006D"/>
      </w:r>
      <w:r>
        <w:rPr>
          <w:rFonts w:hint="eastAsia" w:ascii="宋体" w:hAnsi="宋体"/>
          <w:vertAlign w:val="subscript"/>
        </w:rPr>
        <w:t>0</w:t>
      </w:r>
      <w:r>
        <w:rPr>
          <w:rFonts w:hint="eastAsia" w:ascii="宋体" w:hAnsi="宋体"/>
        </w:rPr>
        <w:t>，新材料渗透性均值的真值为</w:t>
      </w:r>
      <w:r>
        <w:rPr>
          <w:rFonts w:ascii="宋体" w:hAnsi="宋体"/>
          <w:i/>
        </w:rPr>
        <w:sym w:font="Symbol" w:char="006D"/>
      </w:r>
      <w:r>
        <w:rPr>
          <w:rFonts w:hint="eastAsia" w:ascii="宋体" w:hAnsi="宋体"/>
          <w:vertAlign w:val="subscript"/>
        </w:rPr>
        <w:t>1</w:t>
      </w:r>
      <w:r>
        <w:rPr>
          <w:rFonts w:hint="eastAsia" w:ascii="宋体" w:hAnsi="宋体"/>
        </w:rPr>
        <w:t>。</w:t>
      </w:r>
    </w:p>
    <w:p>
      <w:pPr>
        <w:tabs>
          <w:tab w:val="left" w:pos="284"/>
          <w:tab w:val="left" w:pos="567"/>
        </w:tabs>
        <w:spacing w:before="156" w:beforeLines="50" w:after="156" w:afterLines="50" w:line="0" w:lineRule="atLeast"/>
        <w:ind w:firstLine="420" w:firstLineChars="200"/>
        <w:rPr>
          <w:rFonts w:ascii="宋体" w:hAnsi="宋体"/>
        </w:rPr>
      </w:pPr>
      <w:r>
        <w:rPr>
          <w:rFonts w:hint="eastAsia" w:ascii="宋体" w:hAnsi="宋体"/>
        </w:rPr>
        <w:t>那么，</w:t>
      </w:r>
    </w:p>
    <w:p>
      <w:pPr>
        <w:tabs>
          <w:tab w:val="left" w:pos="284"/>
          <w:tab w:val="left" w:pos="567"/>
        </w:tabs>
        <w:spacing w:before="156" w:beforeLines="50" w:after="156" w:afterLines="50" w:line="0" w:lineRule="atLeast"/>
        <w:ind w:left="840" w:leftChars="400"/>
        <w:jc w:val="left"/>
        <w:rPr>
          <w:rFonts w:ascii="宋体" w:hAnsi="宋体"/>
        </w:rPr>
      </w:pPr>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0</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0</m:t>
            </m:r>
            <m:ctrlPr>
              <w:rPr>
                <w:rFonts w:ascii="Cambria Math" w:hAnsi="Cambria Math"/>
                <w:i/>
                <w:szCs w:val="22"/>
              </w:rPr>
            </m:ctrlPr>
          </m:sub>
        </m:sSub>
      </m:oMath>
      <w:r>
        <w:rPr>
          <w:rFonts w:hint="eastAsia" w:ascii="宋体" w:hAnsi="宋体"/>
        </w:rPr>
        <w:t xml:space="preserve"> （原假设为无差异。）</w:t>
      </w:r>
    </w:p>
    <w:p>
      <w:pPr>
        <w:tabs>
          <w:tab w:val="left" w:pos="284"/>
          <w:tab w:val="left" w:pos="567"/>
        </w:tabs>
        <w:spacing w:before="156" w:beforeLines="50" w:after="156" w:afterLines="50" w:line="0" w:lineRule="atLeast"/>
        <w:ind w:left="840" w:leftChars="400"/>
        <w:jc w:val="left"/>
        <w:rPr>
          <w:rFonts w:ascii="宋体" w:hAnsi="宋体"/>
        </w:rPr>
      </w:pPr>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a</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w:rPr>
            <w:rFonts w:ascii="Cambria Math" w:hAnsi="Cambria Math"/>
          </w:rPr>
          <m:t>&gt;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0</m:t>
            </m:r>
            <m:ctrlPr>
              <w:rPr>
                <w:rFonts w:ascii="Cambria Math" w:hAnsi="Cambria Math"/>
                <w:i/>
                <w:szCs w:val="22"/>
              </w:rPr>
            </m:ctrlPr>
          </m:sub>
        </m:sSub>
      </m:oMath>
      <w:r>
        <w:rPr>
          <w:rFonts w:hint="eastAsia" w:ascii="宋体" w:hAnsi="宋体"/>
        </w:rPr>
        <w:t xml:space="preserve"> （备择假设为渗透性增加：单侧变化。）</w:t>
      </w:r>
    </w:p>
    <w:p>
      <w:pPr>
        <w:tabs>
          <w:tab w:val="left" w:pos="284"/>
          <w:tab w:val="left" w:pos="567"/>
        </w:tabs>
        <w:spacing w:before="312" w:beforeLines="100" w:after="156" w:afterLines="50" w:line="0" w:lineRule="atLeast"/>
        <w:ind w:firstLine="420" w:firstLineChars="200"/>
      </w:pPr>
      <w:r>
        <w:rPr>
          <w:rFonts w:hint="eastAsia" w:ascii="宋体" w:hAnsi="宋体"/>
        </w:rPr>
        <w:t>b) 选定</w:t>
      </w:r>
      <w:r>
        <w:rPr>
          <w:i/>
        </w:rPr>
        <w:t>α</w:t>
      </w:r>
      <w:r>
        <w:rPr>
          <w:rFonts w:hint="eastAsia" w:ascii="宋体" w:hAnsi="宋体"/>
        </w:rPr>
        <w:t>、</w:t>
      </w:r>
      <w:r>
        <w:rPr>
          <w:i/>
        </w:rPr>
        <w:t>β</w:t>
      </w:r>
      <w:r>
        <w:rPr>
          <w:rFonts w:hint="eastAsia" w:ascii="宋体" w:hAnsi="宋体"/>
        </w:rPr>
        <w:t>、</w:t>
      </w:r>
      <w:r>
        <w:rPr>
          <w:i/>
        </w:rPr>
        <w:t>δ</w:t>
      </w:r>
      <w:r>
        <w:rPr>
          <w:rFonts w:hint="eastAsia"/>
        </w:rPr>
        <w:t>。</w:t>
      </w:r>
    </w:p>
    <w:p>
      <w:pPr>
        <w:tabs>
          <w:tab w:val="left" w:pos="284"/>
          <w:tab w:val="left" w:pos="567"/>
        </w:tabs>
        <w:spacing w:before="156" w:beforeLines="50" w:after="156" w:afterLines="50" w:line="0" w:lineRule="atLeast"/>
        <w:ind w:left="840" w:leftChars="400"/>
        <w:jc w:val="left"/>
      </w:pPr>
      <w:r>
        <w:rPr>
          <w:i/>
        </w:rPr>
        <w:t>α</w:t>
      </w:r>
      <w:r>
        <w:t xml:space="preserve"> = 0.05 </w:t>
      </w:r>
      <w:r>
        <w:rPr>
          <w:rFonts w:hint="eastAsia"/>
        </w:rPr>
        <w:t>（旨在查找</w:t>
      </w:r>
      <w:r>
        <w:t>95%</w:t>
      </w:r>
      <w:r>
        <w:rPr>
          <w:rFonts w:hint="eastAsia"/>
        </w:rPr>
        <w:t>的置信区间）</w:t>
      </w:r>
    </w:p>
    <w:p>
      <w:pPr>
        <w:tabs>
          <w:tab w:val="left" w:pos="284"/>
          <w:tab w:val="left" w:pos="567"/>
        </w:tabs>
        <w:spacing w:before="156" w:beforeLines="50" w:after="156" w:afterLines="50" w:line="0" w:lineRule="atLeast"/>
        <w:ind w:left="840" w:leftChars="400"/>
        <w:jc w:val="left"/>
      </w:pPr>
      <w:r>
        <w:rPr>
          <w:i/>
        </w:rPr>
        <w:t xml:space="preserve">β </w:t>
      </w:r>
      <w:r>
        <w:t xml:space="preserve">= 0.05 </w:t>
      </w:r>
      <w:r>
        <w:rPr>
          <w:rFonts w:hint="eastAsia"/>
        </w:rPr>
        <w:t>（旨在如果存在差异，就有</w:t>
      </w:r>
      <w:r>
        <w:t>95%</w:t>
      </w:r>
      <w:r>
        <w:rPr>
          <w:rFonts w:hint="eastAsia"/>
        </w:rPr>
        <w:t>的机会检测到）</w:t>
      </w:r>
    </w:p>
    <w:p>
      <w:pPr>
        <w:tabs>
          <w:tab w:val="left" w:pos="284"/>
          <w:tab w:val="left" w:pos="567"/>
        </w:tabs>
        <w:spacing w:before="156" w:beforeLines="50" w:after="156" w:afterLines="50" w:line="0" w:lineRule="atLeast"/>
        <w:ind w:left="840" w:leftChars="400"/>
        <w:jc w:val="left"/>
        <w:rPr>
          <w:rFonts w:ascii="Cambria Math" w:hAnsi="Cambria Math"/>
        </w:rPr>
      </w:pPr>
      <w:r>
        <w:rPr>
          <w:i/>
        </w:rPr>
        <w:t>δ</w:t>
      </w:r>
      <w:r>
        <w:t xml:space="preserve"> = 1 </w:t>
      </w:r>
      <w:r>
        <w:rPr>
          <w:rFonts w:hint="eastAsia"/>
        </w:rPr>
        <w:t>（仅当</w:t>
      </w:r>
      <w:r>
        <w:rPr>
          <w:rFonts w:hint="eastAsia" w:ascii="宋体" w:hAnsi="宋体"/>
        </w:rPr>
        <w:t>至少有1×10</w:t>
      </w:r>
      <w:r>
        <w:rPr>
          <w:rFonts w:hint="eastAsia" w:ascii="宋体" w:hAnsi="宋体"/>
          <w:vertAlign w:val="superscript"/>
        </w:rPr>
        <w:t>-15</w:t>
      </w:r>
      <w:r>
        <w:rPr>
          <w:rFonts w:hint="eastAsia" w:ascii="宋体" w:hAnsi="宋体"/>
        </w:rPr>
        <w:t>m</w:t>
      </w:r>
      <w:r>
        <w:rPr>
          <w:rFonts w:hint="eastAsia" w:ascii="宋体" w:hAnsi="宋体"/>
          <w:vertAlign w:val="superscript"/>
        </w:rPr>
        <w:t>2</w:t>
      </w:r>
      <w:r>
        <w:t>‧</w:t>
      </w:r>
      <w:r>
        <w:rPr>
          <w:rFonts w:hint="eastAsia" w:ascii="宋体" w:hAnsi="宋体"/>
        </w:rPr>
        <w:t>s</w:t>
      </w:r>
      <w:r>
        <w:rPr>
          <w:rFonts w:hint="eastAsia" w:ascii="宋体" w:hAnsi="宋体"/>
          <w:vertAlign w:val="superscript"/>
        </w:rPr>
        <w:t>-1</w:t>
      </w:r>
      <w:r>
        <w:t>‧</w:t>
      </w:r>
      <w:r>
        <w:rPr>
          <w:rFonts w:hint="eastAsia" w:ascii="宋体" w:hAnsi="宋体"/>
        </w:rPr>
        <w:t>Pa</w:t>
      </w:r>
      <w:r>
        <w:rPr>
          <w:rFonts w:hint="eastAsia" w:ascii="宋体" w:hAnsi="宋体"/>
          <w:vertAlign w:val="superscript"/>
        </w:rPr>
        <w:t>-1</w:t>
      </w:r>
      <w:r>
        <w:rPr>
          <w:rFonts w:hint="eastAsia" w:ascii="宋体" w:hAnsi="宋体"/>
        </w:rPr>
        <w:t>的差异时才会被视为存在技术优势）</w:t>
      </w:r>
    </w:p>
    <w:p>
      <w:pPr>
        <w:tabs>
          <w:tab w:val="left" w:pos="284"/>
          <w:tab w:val="left" w:pos="567"/>
        </w:tabs>
        <w:spacing w:before="312" w:beforeLines="100" w:after="156" w:afterLines="50" w:line="0" w:lineRule="atLeast"/>
        <w:ind w:firstLine="420" w:firstLineChars="200"/>
      </w:pPr>
      <w:r>
        <w:t>c)</w:t>
      </w:r>
      <w:r>
        <w:rPr>
          <w:i/>
        </w:rPr>
        <w:t xml:space="preserve">  Z</w:t>
      </w:r>
      <w:r>
        <w:rPr>
          <w:vertAlign w:val="subscript"/>
        </w:rPr>
        <w:t>α</w:t>
      </w:r>
      <w:r>
        <w:t xml:space="preserve"> = 1.645</w:t>
      </w:r>
    </w:p>
    <w:p>
      <w:pPr>
        <w:tabs>
          <w:tab w:val="left" w:pos="284"/>
          <w:tab w:val="left" w:pos="567"/>
        </w:tabs>
        <w:spacing w:before="312" w:beforeLines="100" w:after="156" w:afterLines="50" w:line="0" w:lineRule="atLeast"/>
        <w:ind w:firstLine="420" w:firstLineChars="200"/>
      </w:pPr>
      <w:r>
        <w:t xml:space="preserve">d) </w:t>
      </w:r>
      <w:r>
        <w:rPr>
          <w:i/>
        </w:rPr>
        <w:t xml:space="preserve"> Z</w:t>
      </w:r>
      <w:r>
        <w:rPr>
          <w:i/>
          <w:vertAlign w:val="subscript"/>
        </w:rPr>
        <w:t>β</w:t>
      </w:r>
      <w:r>
        <w:t xml:space="preserve"> = 1.645</w:t>
      </w:r>
    </w:p>
    <w:p>
      <w:pPr>
        <w:tabs>
          <w:tab w:val="left" w:pos="284"/>
          <w:tab w:val="left" w:pos="567"/>
        </w:tabs>
        <w:spacing w:before="312" w:beforeLines="100" w:after="156" w:afterLines="50" w:line="0" w:lineRule="atLeast"/>
        <w:ind w:firstLine="420" w:firstLineChars="200"/>
      </w:pPr>
      <w:r>
        <w:t>e)  [(</w:t>
      </w:r>
      <w:r>
        <w:rPr>
          <w:i/>
        </w:rPr>
        <w:t>Z</w:t>
      </w:r>
      <w:r>
        <w:rPr>
          <w:vertAlign w:val="subscript"/>
        </w:rPr>
        <w:t>α</w:t>
      </w:r>
      <w:r>
        <w:t xml:space="preserve"> + </w:t>
      </w:r>
      <w:r>
        <w:rPr>
          <w:i/>
        </w:rPr>
        <w:t>Z</w:t>
      </w:r>
      <w:r>
        <w:rPr>
          <w:i/>
          <w:vertAlign w:val="subscript"/>
        </w:rPr>
        <w:t>β</w:t>
      </w:r>
      <w:r>
        <w:t xml:space="preserve"> )</w:t>
      </w:r>
      <w:r>
        <w:rPr>
          <w:i/>
        </w:rPr>
        <w:sym w:font="Symbol" w:char="0073"/>
      </w:r>
      <w:r>
        <w:t>/</w:t>
      </w:r>
      <w:r>
        <w:rPr>
          <w:i/>
        </w:rPr>
        <w:t>δ</w:t>
      </w:r>
      <w:r>
        <w:t xml:space="preserve"> ]</w:t>
      </w:r>
      <w:r>
        <w:rPr>
          <w:vertAlign w:val="superscript"/>
        </w:rPr>
        <w:t>2</w:t>
      </w:r>
      <w:r>
        <w:t xml:space="preserve"> = 22.</w:t>
      </w:r>
      <w:r>
        <w:rPr>
          <w:color w:val="FF0000"/>
        </w:rPr>
        <w:t>8</w:t>
      </w:r>
    </w:p>
    <w:p>
      <w:pPr>
        <w:tabs>
          <w:tab w:val="left" w:pos="284"/>
          <w:tab w:val="left" w:pos="567"/>
        </w:tabs>
        <w:spacing w:before="312" w:beforeLines="100" w:after="156" w:afterLines="50" w:line="0" w:lineRule="atLeast"/>
        <w:ind w:left="420" w:leftChars="200" w:firstLine="420" w:firstLineChars="200"/>
      </w:pPr>
      <w:r>
        <w:rPr>
          <w:rFonts w:hint="eastAsia"/>
        </w:rPr>
        <w:t>取整：</w:t>
      </w:r>
      <w:r>
        <w:rPr>
          <w:i/>
        </w:rPr>
        <w:t>N</w:t>
      </w:r>
      <w:r>
        <w:t xml:space="preserve"> = 23</w:t>
      </w:r>
    </w:p>
    <w:p>
      <w:pPr>
        <w:pStyle w:val="51"/>
        <w:spacing w:before="156" w:after="156"/>
      </w:pPr>
      <w:r>
        <w:rPr>
          <w:rFonts w:hint="eastAsia"/>
        </w:rPr>
        <w:t>使用独立样本比较两种材料</w:t>
      </w:r>
    </w:p>
    <w:p>
      <w:pPr>
        <w:tabs>
          <w:tab w:val="left" w:pos="284"/>
          <w:tab w:val="left" w:pos="567"/>
        </w:tabs>
        <w:spacing w:before="312" w:beforeLines="100" w:after="156" w:afterLines="50" w:line="0" w:lineRule="atLeast"/>
        <w:ind w:firstLine="420" w:firstLineChars="200"/>
      </w:pPr>
      <w:r>
        <w:rPr>
          <w:rFonts w:hint="eastAsia"/>
        </w:rPr>
        <w:t>宜参照</w:t>
      </w:r>
      <w:r>
        <w:t>7.3.3</w:t>
      </w:r>
      <w:r>
        <w:rPr>
          <w:rFonts w:hint="eastAsia"/>
        </w:rPr>
        <w:t>。同一混炼胶由两个实验室进行</w:t>
      </w:r>
      <w:r>
        <w:rPr>
          <w:rFonts w:hint="eastAsia"/>
          <w:color w:val="FF0000"/>
          <w:highlight w:val="yellow"/>
        </w:rPr>
        <w:t>撕裂测试</w:t>
      </w:r>
      <w:r>
        <w:rPr>
          <w:rFonts w:hint="eastAsia"/>
        </w:rPr>
        <w:t>，以发现撕裂测试方法是否存在一个方向或另一方向的偏差。假设提供给两个实验室的试样没有差异。平均真值和方差是相同的。然而，由于测量设备或方法的不同，测量结果之间可能会有差异。</w:t>
      </w:r>
    </w:p>
    <w:p>
      <w:pPr>
        <w:tabs>
          <w:tab w:val="left" w:pos="284"/>
          <w:tab w:val="left" w:pos="567"/>
        </w:tabs>
        <w:spacing w:before="156" w:beforeLines="50" w:after="156" w:afterLines="50" w:line="0" w:lineRule="atLeast"/>
        <w:ind w:firstLine="420" w:firstLineChars="200"/>
      </w:pPr>
      <w:r>
        <w:t>设</w:t>
      </w:r>
      <w:r>
        <w:rPr>
          <w:i/>
        </w:rPr>
        <w:t>μ</w:t>
      </w:r>
      <w:r>
        <w:rPr>
          <w:vertAlign w:val="subscript"/>
        </w:rPr>
        <w:t>1</w:t>
      </w:r>
      <w:r>
        <w:t>是实验室1所测得的真实平均值，</w:t>
      </w:r>
      <w:r>
        <w:rPr>
          <w:i/>
        </w:rPr>
        <w:t>μ</w:t>
      </w:r>
      <w:r>
        <w:rPr>
          <w:vertAlign w:val="subscript"/>
        </w:rPr>
        <w:t>2</w:t>
      </w:r>
      <w:r>
        <w:t>是实验室2所测得的真实平均值。</w:t>
      </w:r>
    </w:p>
    <w:p>
      <w:pPr>
        <w:tabs>
          <w:tab w:val="left" w:pos="284"/>
          <w:tab w:val="left" w:pos="567"/>
        </w:tabs>
        <w:spacing w:before="156" w:beforeLines="50" w:after="156" w:afterLines="50" w:line="0" w:lineRule="atLeast"/>
        <w:ind w:firstLine="420" w:firstLineChars="200"/>
      </w:pPr>
      <w:r>
        <w:rPr>
          <w:rFonts w:hint="eastAsia"/>
        </w:rPr>
        <w:t>根据经验，或初步试验，已知该材料的标准偏差</w:t>
      </w:r>
      <w:r>
        <w:t>σ</w:t>
      </w:r>
      <w:r>
        <w:rPr>
          <w:rFonts w:hint="eastAsia"/>
        </w:rPr>
        <w:t>可预期为</w:t>
      </w:r>
      <w:r>
        <w:t>0.9</w:t>
      </w:r>
      <w:r>
        <w:rPr>
          <w:rFonts w:hint="eastAsia"/>
        </w:rPr>
        <w:t>。</w:t>
      </w:r>
    </w:p>
    <w:p>
      <w:pPr>
        <w:tabs>
          <w:tab w:val="left" w:pos="284"/>
          <w:tab w:val="left" w:pos="567"/>
        </w:tabs>
        <w:spacing w:before="156" w:beforeLines="50" w:after="156" w:afterLines="50" w:line="0" w:lineRule="atLeast"/>
        <w:ind w:firstLine="420" w:firstLineChars="200"/>
      </w:pPr>
      <w:r>
        <w:rPr>
          <w:rFonts w:hint="eastAsia"/>
        </w:rPr>
        <w:t>一个先前的规定可能是差异</w:t>
      </w:r>
      <w:r>
        <w:t>δ</w:t>
      </w:r>
      <w:r>
        <w:rPr>
          <w:rFonts w:hint="eastAsia"/>
        </w:rPr>
        <w:t>超过</w:t>
      </w:r>
      <w:r>
        <w:t>1</w:t>
      </w:r>
      <w:r>
        <w:rPr>
          <w:rFonts w:hint="eastAsia"/>
        </w:rPr>
        <w:t>就可触发技术查询。</w:t>
      </w:r>
    </w:p>
    <w:p>
      <w:pPr>
        <w:tabs>
          <w:tab w:val="left" w:pos="284"/>
          <w:tab w:val="left" w:pos="567"/>
        </w:tabs>
        <w:spacing w:before="156" w:beforeLines="50" w:after="156" w:afterLines="50" w:line="0" w:lineRule="atLeast"/>
        <w:ind w:firstLine="420" w:firstLineChars="200"/>
      </w:pPr>
      <w:r>
        <w:rPr>
          <w:rFonts w:hint="eastAsia"/>
        </w:rPr>
        <w:t>当按</w:t>
      </w:r>
      <w:r>
        <w:t>17.2.3.2</w:t>
      </w:r>
      <w:r>
        <w:rPr>
          <w:rFonts w:hint="eastAsia"/>
        </w:rPr>
        <w:t>的步骤进行时，得到下列结果：</w:t>
      </w:r>
    </w:p>
    <w:p>
      <w:pPr>
        <w:tabs>
          <w:tab w:val="left" w:pos="284"/>
          <w:tab w:val="left" w:pos="567"/>
        </w:tabs>
        <w:spacing w:before="156" w:beforeLines="50" w:after="156" w:afterLines="50" w:line="0" w:lineRule="atLeast"/>
        <w:ind w:firstLine="420" w:firstLineChars="200"/>
      </w:pPr>
      <w:r>
        <w:t xml:space="preserve">a) </w:t>
      </w:r>
      <w:r>
        <w:rPr>
          <w:rFonts w:hint="eastAsia"/>
        </w:rPr>
        <w:t>假设是：</w:t>
      </w:r>
    </w:p>
    <w:p>
      <w:pPr>
        <w:tabs>
          <w:tab w:val="left" w:pos="284"/>
          <w:tab w:val="left" w:pos="567"/>
        </w:tabs>
        <w:spacing w:before="156" w:beforeLines="50" w:after="156" w:afterLines="50" w:line="0" w:lineRule="atLeast"/>
        <w:ind w:left="840" w:leftChars="400"/>
        <w:jc w:val="left"/>
        <w:rPr>
          <w:rFonts w:ascii="宋体" w:hAnsi="宋体"/>
        </w:rPr>
      </w:pPr>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0</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0</m:t>
            </m:r>
            <m:ctrlPr>
              <w:rPr>
                <w:rFonts w:ascii="Cambria Math" w:hAnsi="Cambria Math"/>
                <w:i/>
                <w:szCs w:val="22"/>
              </w:rPr>
            </m:ctrlPr>
          </m:sub>
        </m:sSub>
      </m:oMath>
      <w:r>
        <w:rPr>
          <w:rFonts w:hint="eastAsia" w:ascii="宋体" w:hAnsi="宋体"/>
        </w:rPr>
        <w:t xml:space="preserve"> （实验室试验方法产生相同结果。）</w:t>
      </w:r>
    </w:p>
    <w:p>
      <w:pPr>
        <w:tabs>
          <w:tab w:val="left" w:pos="284"/>
          <w:tab w:val="left" w:pos="567"/>
        </w:tabs>
        <w:spacing w:before="156" w:beforeLines="50" w:after="156" w:afterLines="50" w:line="0" w:lineRule="atLeast"/>
        <w:ind w:left="840" w:leftChars="400"/>
        <w:jc w:val="left"/>
        <w:rPr>
          <w:rFonts w:ascii="宋体" w:hAnsi="宋体"/>
        </w:rPr>
      </w:pPr>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a</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m:sty m:val="p"/>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w:rPr>
                <w:rFonts w:ascii="Cambria Math" w:hAnsi="Cambria Math"/>
              </w:rPr>
              <m:t>0</m:t>
            </m:r>
            <m:ctrlPr>
              <w:rPr>
                <w:rFonts w:ascii="Cambria Math" w:hAnsi="Cambria Math"/>
                <w:i/>
                <w:szCs w:val="22"/>
              </w:rPr>
            </m:ctrlPr>
          </m:sub>
        </m:sSub>
      </m:oMath>
      <w:r>
        <w:rPr>
          <w:rFonts w:hint="eastAsia" w:ascii="宋体" w:hAnsi="宋体"/>
        </w:rPr>
        <w:t xml:space="preserve"> （实验室试验方法产生不同结果，即便测试相同材料。）</w:t>
      </w:r>
    </w:p>
    <w:p>
      <w:pPr>
        <w:tabs>
          <w:tab w:val="left" w:pos="284"/>
          <w:tab w:val="left" w:pos="567"/>
        </w:tabs>
        <w:spacing w:before="312" w:beforeLines="100" w:after="156" w:afterLines="50" w:line="0" w:lineRule="atLeast"/>
        <w:ind w:firstLine="420" w:firstLineChars="200"/>
      </w:pPr>
      <w:r>
        <w:rPr>
          <w:rFonts w:hint="eastAsia" w:ascii="宋体" w:hAnsi="宋体"/>
        </w:rPr>
        <w:t>b) 选定</w:t>
      </w:r>
      <w:r>
        <w:rPr>
          <w:i/>
        </w:rPr>
        <w:t>α</w:t>
      </w:r>
      <w:r>
        <w:rPr>
          <w:rFonts w:hint="eastAsia" w:ascii="宋体" w:hAnsi="宋体"/>
        </w:rPr>
        <w:t>、</w:t>
      </w:r>
      <w:r>
        <w:rPr>
          <w:i/>
        </w:rPr>
        <w:t>β</w:t>
      </w:r>
      <w:r>
        <w:rPr>
          <w:rFonts w:hint="eastAsia" w:ascii="宋体" w:hAnsi="宋体"/>
        </w:rPr>
        <w:t>、</w:t>
      </w:r>
      <w:r>
        <w:rPr>
          <w:i/>
        </w:rPr>
        <w:t>δ</w:t>
      </w:r>
      <w:r>
        <w:rPr>
          <w:rFonts w:hint="eastAsia"/>
        </w:rPr>
        <w:t>。</w:t>
      </w:r>
    </w:p>
    <w:p>
      <w:pPr>
        <w:tabs>
          <w:tab w:val="left" w:pos="284"/>
          <w:tab w:val="left" w:pos="567"/>
        </w:tabs>
        <w:spacing w:before="156" w:beforeLines="50" w:after="156" w:afterLines="50" w:line="0" w:lineRule="atLeast"/>
        <w:ind w:left="840" w:leftChars="400"/>
        <w:jc w:val="left"/>
      </w:pPr>
      <w:r>
        <w:rPr>
          <w:i/>
        </w:rPr>
        <w:t>α</w:t>
      </w:r>
      <w:r>
        <w:t xml:space="preserve"> = 0.05 </w:t>
      </w:r>
      <w:r>
        <w:rPr>
          <w:rFonts w:hint="eastAsia"/>
        </w:rPr>
        <w:t>（意在查找</w:t>
      </w:r>
      <w:r>
        <w:t>95%</w:t>
      </w:r>
      <w:r>
        <w:rPr>
          <w:rFonts w:hint="eastAsia"/>
        </w:rPr>
        <w:t>的置信区间）</w:t>
      </w:r>
    </w:p>
    <w:p>
      <w:pPr>
        <w:tabs>
          <w:tab w:val="left" w:pos="284"/>
          <w:tab w:val="left" w:pos="567"/>
        </w:tabs>
        <w:spacing w:before="156" w:beforeLines="50" w:after="156" w:afterLines="50" w:line="0" w:lineRule="atLeast"/>
        <w:ind w:left="840" w:leftChars="400"/>
        <w:jc w:val="left"/>
      </w:pPr>
      <w:r>
        <w:rPr>
          <w:i/>
        </w:rPr>
        <w:t xml:space="preserve">β </w:t>
      </w:r>
      <w:r>
        <w:t xml:space="preserve">= 0.1 </w:t>
      </w:r>
      <w:r>
        <w:rPr>
          <w:rFonts w:hint="eastAsia"/>
        </w:rPr>
        <w:t>（意在如果存在差异，就有</w:t>
      </w:r>
      <w:r>
        <w:t>90%</w:t>
      </w:r>
      <w:r>
        <w:rPr>
          <w:rFonts w:hint="eastAsia"/>
        </w:rPr>
        <w:t>的机会检测到）</w:t>
      </w:r>
    </w:p>
    <w:p>
      <w:pPr>
        <w:tabs>
          <w:tab w:val="left" w:pos="284"/>
          <w:tab w:val="left" w:pos="567"/>
        </w:tabs>
        <w:spacing w:before="156" w:beforeLines="50" w:after="156" w:afterLines="50" w:line="0" w:lineRule="atLeast"/>
        <w:ind w:left="840" w:leftChars="400"/>
        <w:jc w:val="left"/>
        <w:rPr>
          <w:rFonts w:ascii="宋体" w:hAnsi="宋体"/>
        </w:rPr>
      </w:pPr>
      <w:r>
        <w:rPr>
          <w:i/>
        </w:rPr>
        <w:t>δ</w:t>
      </w:r>
      <w:r>
        <w:t xml:space="preserve"> = 1 </w:t>
      </w:r>
    </w:p>
    <w:p>
      <w:pPr>
        <w:tabs>
          <w:tab w:val="left" w:pos="284"/>
          <w:tab w:val="left" w:pos="567"/>
        </w:tabs>
        <w:spacing w:before="156" w:beforeLines="50" w:after="156" w:afterLines="50" w:line="0" w:lineRule="atLeast"/>
        <w:ind w:left="840" w:leftChars="400"/>
        <w:jc w:val="left"/>
        <w:rPr>
          <w:rFonts w:ascii="Cambria Math" w:hAnsi="Cambria Math"/>
        </w:rPr>
      </w:pPr>
      <w:r>
        <w:rPr>
          <w:i/>
        </w:rPr>
        <w:sym w:font="Symbol" w:char="0073"/>
      </w:r>
      <w:r>
        <w:t xml:space="preserve"> = 0.9</w:t>
      </w:r>
    </w:p>
    <w:p>
      <w:pPr>
        <w:tabs>
          <w:tab w:val="left" w:pos="284"/>
          <w:tab w:val="left" w:pos="567"/>
        </w:tabs>
        <w:spacing w:before="312" w:beforeLines="100" w:after="156" w:afterLines="50" w:line="0" w:lineRule="atLeast"/>
        <w:ind w:firstLine="420" w:firstLineChars="200"/>
      </w:pPr>
      <w:r>
        <w:t>c)</w:t>
      </w:r>
      <w:r>
        <w:rPr>
          <w:i/>
        </w:rPr>
        <w:t xml:space="preserve">  Z</w:t>
      </w:r>
      <w:r>
        <w:rPr>
          <w:vertAlign w:val="subscript"/>
        </w:rPr>
        <w:t>α</w:t>
      </w:r>
      <w:r>
        <w:t xml:space="preserve"> = 1.960 </w:t>
      </w:r>
      <w:r>
        <w:rPr>
          <w:rFonts w:hint="eastAsia"/>
        </w:rPr>
        <w:t>（双侧）</w:t>
      </w:r>
    </w:p>
    <w:p>
      <w:pPr>
        <w:tabs>
          <w:tab w:val="left" w:pos="284"/>
          <w:tab w:val="left" w:pos="567"/>
        </w:tabs>
        <w:spacing w:before="312" w:beforeLines="100" w:after="156" w:afterLines="50" w:line="0" w:lineRule="atLeast"/>
        <w:ind w:firstLine="420" w:firstLineChars="200"/>
      </w:pPr>
      <w:r>
        <w:t xml:space="preserve">d) </w:t>
      </w:r>
      <w:r>
        <w:rPr>
          <w:i/>
        </w:rPr>
        <w:t xml:space="preserve"> Z</w:t>
      </w:r>
      <w:r>
        <w:rPr>
          <w:i/>
          <w:vertAlign w:val="subscript"/>
        </w:rPr>
        <w:t>β</w:t>
      </w:r>
      <w:r>
        <w:t xml:space="preserve"> = 1.282 </w:t>
      </w:r>
      <w:r>
        <w:rPr>
          <w:rFonts w:hint="eastAsia"/>
        </w:rPr>
        <w:t>（单侧）</w:t>
      </w:r>
    </w:p>
    <w:p>
      <w:pPr>
        <w:tabs>
          <w:tab w:val="left" w:pos="284"/>
          <w:tab w:val="left" w:pos="567"/>
        </w:tabs>
        <w:spacing w:before="312" w:beforeLines="100" w:after="156" w:afterLines="50" w:line="0" w:lineRule="atLeast"/>
        <w:ind w:firstLine="420" w:firstLineChars="200"/>
        <w:rPr>
          <w:color w:val="FF0000"/>
        </w:rPr>
      </w:pPr>
      <w:r>
        <w:t>e)  2(</w:t>
      </w:r>
      <w:r>
        <w:rPr>
          <w:i/>
        </w:rPr>
        <w:t>Z</w:t>
      </w:r>
      <w:r>
        <w:rPr>
          <w:vertAlign w:val="subscript"/>
        </w:rPr>
        <w:t>α</w:t>
      </w:r>
      <w:r>
        <w:t xml:space="preserve"> + </w:t>
      </w:r>
      <w:r>
        <w:rPr>
          <w:i/>
        </w:rPr>
        <w:t>Z</w:t>
      </w:r>
      <w:r>
        <w:rPr>
          <w:i/>
          <w:vertAlign w:val="subscript"/>
        </w:rPr>
        <w:t>β</w:t>
      </w:r>
      <w:r>
        <w:t xml:space="preserve"> )</w:t>
      </w:r>
      <w:r>
        <w:rPr>
          <w:vertAlign w:val="superscript"/>
        </w:rPr>
        <w:t>2</w:t>
      </w:r>
      <w:r>
        <w:rPr>
          <w:i/>
        </w:rPr>
        <w:sym w:font="Symbol" w:char="0073"/>
      </w:r>
      <w:r>
        <w:rPr>
          <w:vertAlign w:val="superscript"/>
        </w:rPr>
        <w:t>2</w:t>
      </w:r>
      <w:r>
        <w:t>/</w:t>
      </w:r>
      <w:r>
        <w:rPr>
          <w:i/>
        </w:rPr>
        <w:t>δ</w:t>
      </w:r>
      <w:r>
        <w:rPr>
          <w:vertAlign w:val="superscript"/>
        </w:rPr>
        <w:t>2</w:t>
      </w:r>
      <w:r>
        <w:t xml:space="preserve"> = 17.0</w:t>
      </w:r>
      <w:r>
        <w:rPr>
          <w:color w:val="FF0000"/>
        </w:rPr>
        <w:t>3</w:t>
      </w:r>
    </w:p>
    <w:p>
      <w:pPr>
        <w:tabs>
          <w:tab w:val="left" w:pos="284"/>
          <w:tab w:val="left" w:pos="567"/>
        </w:tabs>
        <w:spacing w:before="312" w:beforeLines="100" w:after="156" w:afterLines="50" w:line="0" w:lineRule="atLeast"/>
        <w:ind w:left="420" w:leftChars="200" w:firstLine="420" w:firstLineChars="200"/>
      </w:pPr>
      <w:r>
        <w:rPr>
          <w:rFonts w:hint="eastAsia"/>
        </w:rPr>
        <w:t>取整：</w:t>
      </w:r>
      <w:r>
        <w:rPr>
          <w:i/>
        </w:rPr>
        <w:t>N</w:t>
      </w:r>
      <w:r>
        <w:t xml:space="preserve"> = 18</w:t>
      </w:r>
    </w:p>
    <w:p>
      <w:pPr>
        <w:tabs>
          <w:tab w:val="left" w:pos="284"/>
          <w:tab w:val="left" w:pos="567"/>
        </w:tabs>
        <w:spacing w:before="156" w:beforeLines="50" w:after="156" w:afterLines="50" w:line="0" w:lineRule="atLeast"/>
        <w:ind w:firstLine="420" w:firstLineChars="200"/>
      </w:pPr>
      <w:r>
        <w:rPr>
          <w:rFonts w:hint="eastAsia"/>
        </w:rPr>
        <w:t>因此，宜从源材料上随机部位裁取</w:t>
      </w:r>
      <w:r>
        <w:t>36</w:t>
      </w:r>
      <w:r>
        <w:rPr>
          <w:rFonts w:hint="eastAsia"/>
        </w:rPr>
        <w:t>个试样。每个实验室随机分配</w:t>
      </w:r>
      <w:r>
        <w:t>18</w:t>
      </w:r>
      <w:r>
        <w:rPr>
          <w:rFonts w:hint="eastAsia"/>
        </w:rPr>
        <w:t>个。宜记录下这</w:t>
      </w:r>
      <w:r>
        <w:t>36</w:t>
      </w:r>
      <w:r>
        <w:rPr>
          <w:rFonts w:hint="eastAsia"/>
        </w:rPr>
        <w:t>件试样的原始位置，以防出现暗示着源材料的材料组分及性能背离的</w:t>
      </w:r>
      <w:r>
        <w:rPr>
          <w:rFonts w:hint="eastAsia"/>
          <w:color w:val="FF0000"/>
        </w:rPr>
        <w:t>分散性很大的值</w:t>
      </w:r>
      <w:r>
        <w:rPr>
          <w:rFonts w:hint="eastAsia"/>
        </w:rPr>
        <w:t>。</w:t>
      </w:r>
    </w:p>
    <w:p>
      <w:pPr>
        <w:pStyle w:val="51"/>
        <w:spacing w:before="156" w:after="156"/>
      </w:pPr>
      <w:r>
        <w:rPr>
          <w:rFonts w:hint="eastAsia"/>
        </w:rPr>
        <w:t>两种材料成对样本的比较</w:t>
      </w:r>
    </w:p>
    <w:p>
      <w:pPr>
        <w:pStyle w:val="55"/>
        <w:spacing w:before="156" w:after="156"/>
        <w:ind w:left="0"/>
      </w:pPr>
      <w:r>
        <w:rPr>
          <w:rFonts w:hint="eastAsia"/>
        </w:rPr>
        <w:t>例1</w:t>
      </w:r>
      <w:r>
        <w:t xml:space="preserve"> </w:t>
      </w:r>
      <w:r>
        <w:rPr>
          <w:color w:val="FF0000"/>
          <w:highlight w:val="yellow"/>
        </w:rPr>
        <w:t>两实验室撕裂强度的比较</w:t>
      </w:r>
    </w:p>
    <w:p>
      <w:pPr>
        <w:tabs>
          <w:tab w:val="left" w:pos="284"/>
          <w:tab w:val="left" w:pos="567"/>
        </w:tabs>
        <w:spacing w:before="312" w:beforeLines="100" w:after="156" w:afterLines="50" w:line="0" w:lineRule="atLeast"/>
        <w:ind w:firstLine="420" w:firstLineChars="200"/>
      </w:pPr>
      <w:r>
        <w:t>在17.3.2.2中</w:t>
      </w:r>
      <w:r>
        <w:rPr>
          <w:rFonts w:hint="eastAsia"/>
        </w:rPr>
        <w:t>推荐试样裁切随机取位。另一种选择是成对裁切样品试样。它们的邻接将确保将源材料的任何性能背离的影响降至最低。</w:t>
      </w:r>
    </w:p>
    <w:p>
      <w:pPr>
        <w:tabs>
          <w:tab w:val="left" w:pos="284"/>
          <w:tab w:val="left" w:pos="567"/>
        </w:tabs>
        <w:spacing w:before="156" w:beforeLines="50" w:after="156" w:afterLines="50" w:line="0" w:lineRule="atLeast"/>
        <w:ind w:firstLine="420" w:firstLineChars="200"/>
      </w:pPr>
      <w:r>
        <w:rPr>
          <w:rFonts w:hint="eastAsia"/>
        </w:rPr>
        <w:t>给每一对的两个试样贴上标签</w:t>
      </w:r>
      <w:r>
        <w:t>A</w:t>
      </w:r>
      <w:r>
        <w:rPr>
          <w:rFonts w:hint="eastAsia"/>
        </w:rPr>
        <w:t>和</w:t>
      </w:r>
      <w:r>
        <w:t>B</w:t>
      </w:r>
      <w:r>
        <w:rPr>
          <w:rFonts w:hint="eastAsia"/>
        </w:rPr>
        <w:t>。然后，这些</w:t>
      </w:r>
      <w:r>
        <w:t>A</w:t>
      </w:r>
      <w:r>
        <w:rPr>
          <w:rFonts w:hint="eastAsia"/>
        </w:rPr>
        <w:t>和</w:t>
      </w:r>
      <w:r>
        <w:t>B</w:t>
      </w:r>
      <w:r>
        <w:rPr>
          <w:rFonts w:hint="eastAsia"/>
        </w:rPr>
        <w:t>按随机顺序分配给两个实验室。</w:t>
      </w:r>
    </w:p>
    <w:p>
      <w:pPr>
        <w:tabs>
          <w:tab w:val="left" w:pos="284"/>
          <w:tab w:val="left" w:pos="567"/>
        </w:tabs>
        <w:spacing w:before="156" w:beforeLines="50" w:after="156" w:afterLines="50" w:line="0" w:lineRule="atLeast"/>
        <w:ind w:firstLine="420" w:firstLineChars="200"/>
      </w:pPr>
      <w:r>
        <w:t>因此，如果N=12，随机序列可能是：</w:t>
      </w:r>
    </w:p>
    <w:p>
      <w:pPr>
        <w:tabs>
          <w:tab w:val="left" w:pos="284"/>
          <w:tab w:val="left" w:pos="567"/>
        </w:tabs>
        <w:spacing w:before="156" w:beforeLines="50" w:after="156" w:afterLines="50" w:line="0" w:lineRule="atLeast"/>
        <w:ind w:firstLine="420" w:firstLineChars="200"/>
      </w:pPr>
      <w:r>
        <w:t>实验室1：</w:t>
      </w:r>
      <w:r>
        <w:rPr>
          <w:kern w:val="0"/>
          <w:sz w:val="20"/>
          <w:szCs w:val="20"/>
        </w:rPr>
        <w:t>B A B B A B A A B B B A</w:t>
      </w:r>
    </w:p>
    <w:p>
      <w:pPr>
        <w:tabs>
          <w:tab w:val="left" w:pos="284"/>
          <w:tab w:val="left" w:pos="567"/>
        </w:tabs>
        <w:spacing w:before="156" w:beforeLines="50" w:after="156" w:afterLines="50" w:line="0" w:lineRule="atLeast"/>
        <w:ind w:firstLine="420" w:firstLineChars="200"/>
      </w:pPr>
      <w:r>
        <w:t>实验室2：A B A A B A B B A A A B</w:t>
      </w:r>
    </w:p>
    <w:p>
      <w:pPr>
        <w:tabs>
          <w:tab w:val="left" w:pos="284"/>
          <w:tab w:val="left" w:pos="567"/>
        </w:tabs>
        <w:spacing w:before="156" w:beforeLines="50" w:after="156" w:afterLines="50" w:line="0" w:lineRule="atLeast"/>
        <w:ind w:firstLine="420" w:firstLineChars="200"/>
      </w:pPr>
      <w:r>
        <w:t>在本实验中，关注的变量是每对试样测量值之间的差异。</w:t>
      </w:r>
    </w:p>
    <w:p>
      <w:pPr>
        <w:tabs>
          <w:tab w:val="left" w:pos="284"/>
          <w:tab w:val="left" w:pos="567"/>
        </w:tabs>
        <w:spacing w:before="156" w:beforeLines="50" w:after="156" w:afterLines="50" w:line="0" w:lineRule="atLeast"/>
        <w:ind w:firstLine="420" w:firstLineChars="200"/>
      </w:pPr>
      <w:r>
        <w:t>当按17.2.3.3的步骤进行时，得到下列结果：</w:t>
      </w:r>
    </w:p>
    <w:p>
      <w:pPr>
        <w:tabs>
          <w:tab w:val="left" w:pos="284"/>
          <w:tab w:val="left" w:pos="567"/>
        </w:tabs>
        <w:spacing w:before="156" w:beforeLines="50" w:after="156" w:afterLines="50" w:line="0" w:lineRule="atLeast"/>
        <w:ind w:left="5459" w:leftChars="203" w:hanging="5033" w:hangingChars="2397"/>
      </w:pPr>
      <w:r>
        <w:t xml:space="preserve">a)   </w:t>
      </w:r>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0</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m:sty m:val="p"/>
              </m:rPr>
              <w:rPr>
                <w:rFonts w:ascii="Cambria Math" w:hAnsi="Cambria Math"/>
              </w:rPr>
              <m:t>diff</m:t>
            </m:r>
            <m:ctrlPr>
              <w:rPr>
                <w:rFonts w:ascii="Cambria Math" w:hAnsi="Cambria Math"/>
                <w:i/>
                <w:szCs w:val="22"/>
              </w:rPr>
            </m:ctrlPr>
          </m:sub>
        </m:sSub>
        <m:r>
          <m:rPr/>
          <w:rPr>
            <w:rFonts w:ascii="Cambria Math" w:hAnsi="Cambria Math"/>
          </w:rPr>
          <m:t>=0</m:t>
        </m:r>
      </m:oMath>
      <w:r>
        <w:t xml:space="preserve"> </w:t>
      </w:r>
    </w:p>
    <w:p>
      <w:pPr>
        <w:tabs>
          <w:tab w:val="left" w:pos="284"/>
          <w:tab w:val="left" w:pos="567"/>
        </w:tabs>
        <w:spacing w:before="156" w:beforeLines="50" w:after="156" w:afterLines="50" w:line="0" w:lineRule="atLeast"/>
        <w:ind w:firstLine="360" w:firstLineChars="200"/>
        <w:rPr>
          <w:sz w:val="18"/>
          <w:szCs w:val="18"/>
        </w:rPr>
      </w:pPr>
      <w:r>
        <w:rPr>
          <w:sz w:val="18"/>
          <w:szCs w:val="18"/>
        </w:rPr>
        <w:t>注1： 这是两个实验室测量值间无差异的原假设。</w:t>
      </w:r>
    </w:p>
    <w:p>
      <w:pPr>
        <w:tabs>
          <w:tab w:val="left" w:pos="284"/>
          <w:tab w:val="left" w:pos="567"/>
        </w:tabs>
        <w:spacing w:before="156" w:beforeLines="50" w:after="156" w:afterLines="50" w:line="0" w:lineRule="atLeast"/>
        <w:ind w:left="5879" w:leftChars="403" w:hanging="5033" w:hangingChars="2397"/>
        <w:rPr>
          <w:szCs w:val="22"/>
        </w:rPr>
      </w:pPr>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a</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m:sty m:val="p"/>
              </m:rPr>
              <w:rPr>
                <w:rFonts w:ascii="Cambria Math" w:hAnsi="Cambria Math"/>
              </w:rPr>
              <m:t>diff</m:t>
            </m:r>
            <m:ctrlPr>
              <w:rPr>
                <w:rFonts w:ascii="Cambria Math" w:hAnsi="Cambria Math"/>
                <w:i/>
                <w:szCs w:val="22"/>
              </w:rPr>
            </m:ctrlPr>
          </m:sub>
        </m:sSub>
        <m:r>
          <m:rPr/>
          <w:rPr>
            <w:rFonts w:ascii="Cambria Math" w:hAnsi="Cambria Math"/>
          </w:rPr>
          <m:t>&gt;0</m:t>
        </m:r>
      </m:oMath>
      <w:r>
        <w:t xml:space="preserve"> </w:t>
      </w:r>
    </w:p>
    <w:p>
      <w:pPr>
        <w:tabs>
          <w:tab w:val="left" w:pos="284"/>
          <w:tab w:val="left" w:pos="567"/>
        </w:tabs>
        <w:spacing w:before="156" w:beforeLines="50" w:after="156" w:afterLines="50" w:line="0" w:lineRule="atLeast"/>
        <w:ind w:firstLine="360" w:firstLineChars="200"/>
        <w:rPr>
          <w:sz w:val="18"/>
          <w:szCs w:val="18"/>
        </w:rPr>
      </w:pPr>
      <w:r>
        <w:rPr>
          <w:sz w:val="18"/>
          <w:szCs w:val="18"/>
        </w:rPr>
        <w:t xml:space="preserve"> </w:t>
      </w:r>
      <w:r>
        <w:rPr>
          <w:rFonts w:hint="eastAsia"/>
          <w:sz w:val="18"/>
          <w:szCs w:val="18"/>
        </w:rPr>
        <w:t>注</w:t>
      </w:r>
      <w:r>
        <w:rPr>
          <w:sz w:val="18"/>
          <w:szCs w:val="18"/>
        </w:rPr>
        <w:t>2</w:t>
      </w:r>
      <w:r>
        <w:rPr>
          <w:rFonts w:hint="eastAsia"/>
          <w:sz w:val="18"/>
          <w:szCs w:val="18"/>
        </w:rPr>
        <w:t>：备择假设就是有差异。</w:t>
      </w:r>
    </w:p>
    <w:p>
      <w:pPr>
        <w:tabs>
          <w:tab w:val="left" w:pos="284"/>
          <w:tab w:val="left" w:pos="567"/>
        </w:tabs>
        <w:spacing w:before="156" w:beforeLines="50" w:after="156" w:afterLines="50" w:line="0" w:lineRule="atLeast"/>
        <w:ind w:firstLine="420" w:firstLineChars="200"/>
        <w:rPr>
          <w:szCs w:val="22"/>
        </w:rPr>
      </w:pPr>
      <w:r>
        <w:t xml:space="preserve">b)  </w:t>
      </w:r>
      <w:r>
        <w:rPr>
          <w:i/>
        </w:rPr>
        <w:sym w:font="Symbol" w:char="0073"/>
      </w:r>
      <w:r>
        <w:rPr>
          <w:vertAlign w:val="subscript"/>
        </w:rPr>
        <w:t>diff</w:t>
      </w:r>
      <w:r>
        <w:t xml:space="preserve"> = </w:t>
      </w:r>
      <w:r>
        <w:rPr>
          <w:i/>
        </w:rPr>
        <w:sym w:font="Symbol" w:char="0073"/>
      </w:r>
      <w:r>
        <w:rPr/>
        <w:sym w:font="Symbol" w:char="00D6"/>
      </w:r>
      <w:r>
        <w:t xml:space="preserve">2 </w:t>
      </w:r>
    </w:p>
    <w:p>
      <w:pPr>
        <w:tabs>
          <w:tab w:val="left" w:pos="284"/>
          <w:tab w:val="left" w:pos="567"/>
        </w:tabs>
        <w:spacing w:before="156" w:beforeLines="50" w:after="156" w:afterLines="50" w:line="0" w:lineRule="atLeast"/>
        <w:ind w:left="630" w:leftChars="300" w:firstLine="573" w:firstLineChars="273"/>
      </w:pPr>
      <w:r>
        <w:t>= 0.90 × 1.414</w:t>
      </w:r>
    </w:p>
    <w:p>
      <w:pPr>
        <w:tabs>
          <w:tab w:val="left" w:pos="284"/>
          <w:tab w:val="left" w:pos="567"/>
        </w:tabs>
        <w:spacing w:before="156" w:beforeLines="50" w:after="156" w:afterLines="50" w:line="0" w:lineRule="atLeast"/>
        <w:ind w:left="630" w:leftChars="300" w:firstLine="573" w:firstLineChars="273"/>
      </w:pPr>
      <w:r>
        <w:t>= 1.273</w:t>
      </w:r>
    </w:p>
    <w:p>
      <w:pPr>
        <w:tabs>
          <w:tab w:val="left" w:pos="284"/>
          <w:tab w:val="left" w:pos="567"/>
        </w:tabs>
        <w:spacing w:before="156" w:beforeLines="50" w:after="156" w:afterLines="50" w:line="0" w:lineRule="atLeast"/>
        <w:ind w:left="630" w:leftChars="300" w:firstLine="573" w:firstLineChars="273"/>
        <w:rPr>
          <w:color w:val="FF0000"/>
        </w:rPr>
      </w:pPr>
      <w:r>
        <w:t xml:space="preserve">      </w:t>
      </w:r>
      <w:r>
        <w:rPr>
          <w:color w:val="FF0000"/>
        </w:rPr>
        <w:t xml:space="preserve">  </w:t>
      </w:r>
    </w:p>
    <w:p>
      <w:pPr>
        <w:tabs>
          <w:tab w:val="left" w:pos="284"/>
          <w:tab w:val="left" w:pos="567"/>
        </w:tabs>
        <w:spacing w:before="156" w:beforeLines="50" w:after="156" w:afterLines="50" w:line="0" w:lineRule="atLeast"/>
        <w:ind w:left="420" w:leftChars="200" w:firstLine="420" w:firstLineChars="200"/>
      </w:pPr>
      <w:r>
        <w:rPr>
          <w:rFonts w:hint="eastAsia"/>
        </w:rPr>
        <w:t>使用如</w:t>
      </w:r>
      <w:r>
        <w:t>17.3.2.2</w:t>
      </w:r>
      <w:r>
        <w:rPr>
          <w:rFonts w:hint="eastAsia"/>
        </w:rPr>
        <w:t>中那些相同的值：</w:t>
      </w:r>
    </w:p>
    <w:p>
      <w:pPr>
        <w:tabs>
          <w:tab w:val="left" w:pos="284"/>
          <w:tab w:val="left" w:pos="567"/>
        </w:tabs>
        <w:spacing w:before="156" w:beforeLines="50" w:after="156" w:afterLines="50" w:line="0" w:lineRule="atLeast"/>
        <w:ind w:left="1260" w:leftChars="587" w:hanging="27" w:hangingChars="13"/>
        <w:jc w:val="left"/>
      </w:pPr>
      <w:r>
        <w:rPr>
          <w:i/>
        </w:rPr>
        <w:t>α</w:t>
      </w:r>
      <w:r>
        <w:t xml:space="preserve"> = 0.05 </w:t>
      </w:r>
    </w:p>
    <w:p>
      <w:pPr>
        <w:tabs>
          <w:tab w:val="left" w:pos="284"/>
          <w:tab w:val="left" w:pos="567"/>
        </w:tabs>
        <w:spacing w:before="156" w:beforeLines="50" w:after="156" w:afterLines="50" w:line="0" w:lineRule="atLeast"/>
        <w:ind w:left="1260" w:leftChars="587" w:hanging="27" w:hangingChars="13"/>
        <w:jc w:val="left"/>
      </w:pPr>
      <w:r>
        <w:rPr>
          <w:i/>
        </w:rPr>
        <w:t xml:space="preserve">β </w:t>
      </w:r>
      <w:r>
        <w:t xml:space="preserve">= 0.1 </w:t>
      </w:r>
    </w:p>
    <w:p>
      <w:pPr>
        <w:tabs>
          <w:tab w:val="left" w:pos="284"/>
          <w:tab w:val="left" w:pos="567"/>
        </w:tabs>
        <w:spacing w:before="156" w:beforeLines="50" w:after="156" w:afterLines="50" w:line="0" w:lineRule="atLeast"/>
        <w:ind w:left="1260" w:leftChars="587" w:hanging="27" w:hangingChars="13"/>
        <w:jc w:val="left"/>
        <w:rPr>
          <w:rFonts w:ascii="宋体" w:hAnsi="宋体"/>
        </w:rPr>
      </w:pPr>
      <w:r>
        <w:rPr>
          <w:i/>
        </w:rPr>
        <w:t>δ</w:t>
      </w:r>
      <w:r>
        <w:t xml:space="preserve"> = 1 </w:t>
      </w:r>
    </w:p>
    <w:p>
      <w:pPr>
        <w:tabs>
          <w:tab w:val="left" w:pos="284"/>
          <w:tab w:val="left" w:pos="567"/>
        </w:tabs>
        <w:spacing w:before="312" w:beforeLines="100" w:after="156" w:afterLines="50" w:line="0" w:lineRule="atLeast"/>
        <w:ind w:firstLine="420" w:firstLineChars="200"/>
      </w:pPr>
      <w:r>
        <w:t>c)</w:t>
      </w:r>
      <w:r>
        <w:rPr>
          <w:i/>
        </w:rPr>
        <w:t xml:space="preserve">  Z</w:t>
      </w:r>
      <w:r>
        <w:rPr>
          <w:vertAlign w:val="subscript"/>
        </w:rPr>
        <w:t>α</w:t>
      </w:r>
      <w:r>
        <w:t xml:space="preserve"> = 1.645</w:t>
      </w:r>
    </w:p>
    <w:p>
      <w:pPr>
        <w:tabs>
          <w:tab w:val="left" w:pos="284"/>
          <w:tab w:val="left" w:pos="567"/>
        </w:tabs>
        <w:spacing w:before="312" w:beforeLines="100" w:after="156" w:afterLines="50" w:line="0" w:lineRule="atLeast"/>
        <w:ind w:firstLine="360" w:firstLineChars="200"/>
        <w:rPr>
          <w:sz w:val="18"/>
          <w:szCs w:val="18"/>
        </w:rPr>
      </w:pPr>
      <w:r>
        <w:rPr>
          <w:rFonts w:hint="eastAsia"/>
          <w:sz w:val="18"/>
          <w:szCs w:val="18"/>
        </w:rPr>
        <w:t>注：这是一个单侧值。</w:t>
      </w:r>
    </w:p>
    <w:p>
      <w:pPr>
        <w:tabs>
          <w:tab w:val="left" w:pos="284"/>
          <w:tab w:val="left" w:pos="567"/>
        </w:tabs>
        <w:spacing w:before="312" w:beforeLines="100" w:after="156" w:afterLines="50" w:line="0" w:lineRule="atLeast"/>
        <w:ind w:firstLine="420" w:firstLineChars="200"/>
        <w:rPr>
          <w:szCs w:val="22"/>
        </w:rPr>
      </w:pPr>
      <w:r>
        <w:t xml:space="preserve">d) </w:t>
      </w:r>
      <w:r>
        <w:rPr>
          <w:i/>
        </w:rPr>
        <w:t xml:space="preserve"> Z</w:t>
      </w:r>
      <w:r>
        <w:rPr>
          <w:i/>
          <w:vertAlign w:val="subscript"/>
        </w:rPr>
        <w:t>β</w:t>
      </w:r>
      <w:r>
        <w:t xml:space="preserve"> = 1.282</w:t>
      </w:r>
    </w:p>
    <w:p>
      <w:pPr>
        <w:tabs>
          <w:tab w:val="left" w:pos="284"/>
          <w:tab w:val="left" w:pos="567"/>
        </w:tabs>
        <w:spacing w:before="312" w:beforeLines="100" w:after="156" w:afterLines="50" w:line="0" w:lineRule="atLeast"/>
        <w:ind w:firstLine="360" w:firstLineChars="200"/>
        <w:rPr>
          <w:sz w:val="18"/>
          <w:szCs w:val="18"/>
        </w:rPr>
      </w:pPr>
      <w:r>
        <w:rPr>
          <w:rFonts w:hint="eastAsia"/>
          <w:sz w:val="18"/>
          <w:szCs w:val="18"/>
        </w:rPr>
        <w:t>注：这是一个单侧值。</w:t>
      </w:r>
    </w:p>
    <w:p>
      <w:pPr>
        <w:tabs>
          <w:tab w:val="left" w:pos="284"/>
          <w:tab w:val="left" w:pos="567"/>
        </w:tabs>
        <w:spacing w:before="312" w:beforeLines="100" w:after="156" w:afterLines="50" w:line="0" w:lineRule="atLeast"/>
        <w:ind w:firstLine="420" w:firstLineChars="200"/>
        <w:rPr>
          <w:szCs w:val="22"/>
        </w:rPr>
      </w:pPr>
      <w:r>
        <w:t>e)  (</w:t>
      </w:r>
      <w:r>
        <w:rPr>
          <w:i/>
        </w:rPr>
        <w:t>Z</w:t>
      </w:r>
      <w:r>
        <w:rPr>
          <w:vertAlign w:val="subscript"/>
        </w:rPr>
        <w:t>α</w:t>
      </w:r>
      <w:r>
        <w:t xml:space="preserve"> + </w:t>
      </w:r>
      <w:r>
        <w:rPr>
          <w:i/>
        </w:rPr>
        <w:t>Z</w:t>
      </w:r>
      <w:r>
        <w:rPr>
          <w:i/>
          <w:vertAlign w:val="subscript"/>
        </w:rPr>
        <w:t>β</w:t>
      </w:r>
      <w:r>
        <w:t xml:space="preserve"> )</w:t>
      </w:r>
      <w:r>
        <w:rPr>
          <w:vertAlign w:val="superscript"/>
        </w:rPr>
        <w:t>2</w:t>
      </w:r>
      <m:oMath>
        <m:r>
          <m:rPr>
            <m:sty m:val="p"/>
          </m:rPr>
          <w:rPr>
            <w:rFonts w:ascii="Cambria Math" w:hAnsi="Cambria Math"/>
            <w:color w:val="FF0000"/>
          </w:rPr>
          <m:t>(</m:t>
        </m:r>
        <m:sSup>
          <m:sSupPr>
            <m:ctrlPr>
              <w:rPr>
                <w:rFonts w:ascii="Cambria Math" w:hAnsi="Cambria Math"/>
                <w:i/>
                <w:color w:val="FF0000"/>
                <w:szCs w:val="22"/>
              </w:rPr>
            </m:ctrlPr>
          </m:sSupPr>
          <m:e>
            <m:sSub>
              <m:sSubPr>
                <m:ctrlPr>
                  <w:rPr>
                    <w:rFonts w:ascii="Cambria Math" w:hAnsi="Cambria Math"/>
                    <w:i/>
                    <w:color w:val="FF0000"/>
                  </w:rPr>
                </m:ctrlPr>
              </m:sSubPr>
              <m:e>
                <m:r>
                  <m:rPr/>
                  <w:rPr>
                    <w:rFonts w:ascii="Cambria Math" w:hAnsi="Cambria Math"/>
                    <w:color w:val="FF0000"/>
                  </w:rPr>
                  <m:t>σ</m:t>
                </m:r>
                <m:ctrlPr>
                  <w:rPr>
                    <w:rFonts w:ascii="Cambria Math" w:hAnsi="Cambria Math"/>
                    <w:i/>
                    <w:color w:val="FF0000"/>
                  </w:rPr>
                </m:ctrlPr>
              </m:e>
              <m:sub>
                <m:r>
                  <m:rPr/>
                  <w:rPr>
                    <w:rFonts w:ascii="Cambria Math" w:hAnsi="Cambria Math"/>
                    <w:color w:val="FF0000"/>
                  </w:rPr>
                  <m:t>diff</m:t>
                </m:r>
                <m:ctrlPr>
                  <w:rPr>
                    <w:rFonts w:ascii="Cambria Math" w:hAnsi="Cambria Math"/>
                    <w:i/>
                    <w:color w:val="FF0000"/>
                  </w:rPr>
                </m:ctrlPr>
              </m:sub>
            </m:sSub>
            <m:ctrlPr>
              <w:rPr>
                <w:rFonts w:ascii="Cambria Math" w:hAnsi="Cambria Math"/>
                <w:i/>
                <w:color w:val="FF0000"/>
                <w:szCs w:val="22"/>
              </w:rPr>
            </m:ctrlPr>
          </m:e>
          <m:sup>
            <m:r>
              <m:rPr/>
              <w:rPr>
                <w:rFonts w:ascii="Cambria Math" w:hAnsi="Cambria Math"/>
                <w:color w:val="FF0000"/>
              </w:rPr>
              <m:t>2</m:t>
            </m:r>
            <m:ctrlPr>
              <w:rPr>
                <w:rFonts w:ascii="Cambria Math" w:hAnsi="Cambria Math"/>
                <w:i/>
                <w:color w:val="FF0000"/>
                <w:szCs w:val="22"/>
              </w:rPr>
            </m:ctrlPr>
          </m:sup>
        </m:sSup>
        <m:r>
          <m:rPr/>
          <w:rPr>
            <w:rFonts w:ascii="Cambria Math" w:hAnsi="Cambria Math"/>
          </w:rPr>
          <m:t>)</m:t>
        </m:r>
      </m:oMath>
      <w:r>
        <w:t>/</w:t>
      </w:r>
      <w:r>
        <w:rPr>
          <w:i/>
        </w:rPr>
        <w:t>δ</w:t>
      </w:r>
      <w:r>
        <w:rPr>
          <w:vertAlign w:val="superscript"/>
        </w:rPr>
        <w:t>2</w:t>
      </w:r>
      <w:r>
        <w:t xml:space="preserve"> = 13.88</w:t>
      </w:r>
    </w:p>
    <w:p>
      <w:pPr>
        <w:tabs>
          <w:tab w:val="left" w:pos="284"/>
          <w:tab w:val="left" w:pos="567"/>
        </w:tabs>
        <w:spacing w:before="312" w:beforeLines="100" w:after="156" w:afterLines="50" w:line="0" w:lineRule="atLeast"/>
        <w:ind w:left="420" w:leftChars="200" w:firstLine="420" w:firstLineChars="200"/>
      </w:pPr>
      <w:r>
        <w:rPr>
          <w:rFonts w:hint="eastAsia"/>
        </w:rPr>
        <w:t>取整：</w:t>
      </w:r>
      <w:r>
        <w:rPr>
          <w:i/>
        </w:rPr>
        <w:t>N</w:t>
      </w:r>
      <w:r>
        <w:t xml:space="preserve"> = 14</w:t>
      </w:r>
    </w:p>
    <w:p>
      <w:pPr>
        <w:tabs>
          <w:tab w:val="left" w:pos="284"/>
          <w:tab w:val="left" w:pos="567"/>
        </w:tabs>
        <w:spacing w:before="156" w:beforeLines="50" w:after="156" w:afterLines="50" w:line="0" w:lineRule="atLeast"/>
        <w:ind w:firstLine="420" w:firstLineChars="200"/>
      </w:pPr>
      <w:r>
        <w:rPr>
          <w:rFonts w:hint="eastAsia"/>
        </w:rPr>
        <w:t>因此，宜从源材料切取</w:t>
      </w:r>
      <w:r>
        <w:t>14</w:t>
      </w:r>
      <w:r>
        <w:rPr>
          <w:rFonts w:hint="eastAsia"/>
        </w:rPr>
        <w:t>对试样。在这种情况下，用成对样品比较要比用独立样品成本更低。</w:t>
      </w:r>
    </w:p>
    <w:p>
      <w:pPr>
        <w:pStyle w:val="55"/>
        <w:spacing w:before="156" w:after="156"/>
        <w:ind w:left="0"/>
      </w:pPr>
      <w:r>
        <w:rPr>
          <w:rFonts w:hint="eastAsia"/>
        </w:rPr>
        <w:t>例2：耐磨性能的比较</w:t>
      </w:r>
    </w:p>
    <w:p>
      <w:pPr>
        <w:tabs>
          <w:tab w:val="left" w:pos="284"/>
          <w:tab w:val="left" w:pos="567"/>
        </w:tabs>
        <w:spacing w:before="156" w:beforeLines="50" w:after="156" w:afterLines="50" w:line="0" w:lineRule="atLeast"/>
        <w:ind w:firstLine="420" w:firstLineChars="200"/>
      </w:pPr>
      <w:r>
        <w:rPr>
          <w:rFonts w:hint="eastAsia"/>
        </w:rPr>
        <w:t>制作男孩鞋橡胶底的材料有</w:t>
      </w:r>
      <w:r>
        <w:t>A</w:t>
      </w:r>
      <w:r>
        <w:rPr>
          <w:rFonts w:hint="eastAsia"/>
        </w:rPr>
        <w:t>和</w:t>
      </w:r>
      <w:r>
        <w:t>B</w:t>
      </w:r>
      <w:r>
        <w:rPr>
          <w:rFonts w:hint="eastAsia"/>
        </w:rPr>
        <w:t>两种可供选择。一种实验设计将是给一组男孩提供鞋底材料为</w:t>
      </w:r>
      <w:r>
        <w:t>A</w:t>
      </w:r>
      <w:r>
        <w:rPr>
          <w:rFonts w:hint="eastAsia"/>
        </w:rPr>
        <w:t>的鞋子，为第二组男孩提供鞋底为材料</w:t>
      </w:r>
      <w:r>
        <w:t>B</w:t>
      </w:r>
      <w:r>
        <w:rPr>
          <w:rFonts w:hint="eastAsia"/>
        </w:rPr>
        <w:t>的鞋子。然而，如果男孩们磨损鞋子的速度相差很大，那么两种材料之间的任何差异都可能被隐藏起来。成对实验设计将消除大部分的变异性。每个男孩都会得到一双鞋，一只鞋的鞋底是用</w:t>
      </w:r>
      <w:r>
        <w:t>A</w:t>
      </w:r>
      <w:r>
        <w:rPr>
          <w:rFonts w:hint="eastAsia"/>
        </w:rPr>
        <w:t>材料做的，另一只鞋的鞋底是用</w:t>
      </w:r>
      <w:r>
        <w:t>B</w:t>
      </w:r>
      <w:r>
        <w:rPr>
          <w:rFonts w:hint="eastAsia"/>
        </w:rPr>
        <w:t>材料做的。每个男孩的左脚或右脚的选择则随机决定。</w:t>
      </w:r>
    </w:p>
    <w:p>
      <w:pPr>
        <w:tabs>
          <w:tab w:val="left" w:pos="284"/>
          <w:tab w:val="left" w:pos="567"/>
        </w:tabs>
        <w:spacing w:before="156" w:beforeLines="50" w:after="156" w:afterLines="50" w:line="0" w:lineRule="atLeast"/>
        <w:ind w:firstLine="420" w:firstLineChars="200"/>
      </w:pPr>
      <w:r>
        <w:rPr>
          <w:rFonts w:hint="eastAsia"/>
        </w:rPr>
        <w:t>初步试验表明，一个月后磨损的标准偏差</w:t>
      </w:r>
      <w:r>
        <w:rPr/>
        <w:sym w:font="Symbol" w:char="0073"/>
      </w:r>
      <w:r>
        <w:rPr>
          <w:rFonts w:hint="eastAsia"/>
        </w:rPr>
        <w:t>为</w:t>
      </w:r>
      <w:r>
        <w:t>2mm</w:t>
      </w:r>
      <w:r>
        <w:rPr>
          <w:rFonts w:hint="eastAsia"/>
        </w:rPr>
        <w:t>。大家一致认为，平均值之间的</w:t>
      </w:r>
      <w:r>
        <w:t>1mm</w:t>
      </w:r>
      <w:r>
        <w:rPr>
          <w:rFonts w:hint="eastAsia"/>
        </w:rPr>
        <w:t>差值</w:t>
      </w:r>
      <w:r>
        <w:rPr>
          <w:rFonts w:hint="eastAsia"/>
          <w:i/>
        </w:rPr>
        <w:t>δ</w:t>
      </w:r>
      <w:r>
        <w:rPr>
          <w:rFonts w:hint="eastAsia"/>
        </w:rPr>
        <w:t>将足以判定一种材料比另一种材料更好。有必要计算应该生产多少双鞋，才能以</w:t>
      </w:r>
      <w:r>
        <w:t>95%</w:t>
      </w:r>
      <w:r>
        <w:rPr>
          <w:rFonts w:hint="eastAsia"/>
        </w:rPr>
        <w:t>的置信度</w:t>
      </w:r>
      <w:r>
        <w:t>(</w:t>
      </w:r>
      <w:r>
        <w:rPr>
          <w:rFonts w:hint="eastAsia"/>
          <w:i/>
        </w:rPr>
        <w:t>α</w:t>
      </w:r>
      <w:r>
        <w:t>=0.05)</w:t>
      </w:r>
      <w:r>
        <w:rPr>
          <w:rFonts w:hint="eastAsia"/>
        </w:rPr>
        <w:t>证明</w:t>
      </w:r>
      <w:r>
        <w:t>1mm</w:t>
      </w:r>
      <w:r>
        <w:rPr>
          <w:rFonts w:hint="eastAsia"/>
        </w:rPr>
        <w:t>的差异在统计上是显著的。它还规定，如果存在该差异，则应该有</w:t>
      </w:r>
      <w:r>
        <w:t>95%</w:t>
      </w:r>
      <w:r>
        <w:rPr>
          <w:rFonts w:hint="eastAsia"/>
        </w:rPr>
        <w:t>的机会</w:t>
      </w:r>
      <w:r>
        <w:t>(</w:t>
      </w:r>
      <w:r>
        <w:rPr>
          <w:rFonts w:hint="eastAsia"/>
          <w:i/>
        </w:rPr>
        <w:t>β</w:t>
      </w:r>
      <w:r>
        <w:t>=0.05)</w:t>
      </w:r>
      <w:r>
        <w:rPr>
          <w:rFonts w:hint="eastAsia"/>
        </w:rPr>
        <w:t>检测到。</w:t>
      </w:r>
    </w:p>
    <w:p>
      <w:pPr>
        <w:tabs>
          <w:tab w:val="left" w:pos="284"/>
          <w:tab w:val="left" w:pos="567"/>
        </w:tabs>
        <w:spacing w:before="156" w:beforeLines="50" w:after="156" w:afterLines="50" w:line="0" w:lineRule="atLeast"/>
        <w:ind w:firstLine="420" w:firstLineChars="200"/>
      </w:pPr>
      <w:r>
        <w:rPr>
          <w:rFonts w:hint="eastAsia"/>
        </w:rPr>
        <w:t>当按</w:t>
      </w:r>
      <w:r>
        <w:t>17.2.3.3</w:t>
      </w:r>
      <w:r>
        <w:rPr>
          <w:rFonts w:hint="eastAsia"/>
        </w:rPr>
        <w:t>的步骤进行时，将得到以下结果：</w:t>
      </w:r>
    </w:p>
    <w:p>
      <w:pPr>
        <w:tabs>
          <w:tab w:val="left" w:pos="284"/>
          <w:tab w:val="left" w:pos="567"/>
        </w:tabs>
        <w:spacing w:before="156" w:beforeLines="50" w:after="156" w:afterLines="50" w:line="0" w:lineRule="atLeast"/>
        <w:ind w:left="5459" w:leftChars="203" w:hanging="5033" w:hangingChars="2397"/>
        <w:rPr>
          <w:rFonts w:ascii="宋体" w:hAnsi="宋体"/>
        </w:rPr>
      </w:pPr>
      <w:r>
        <w:t xml:space="preserve">a)   </w:t>
      </w:r>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0</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m:sty m:val="p"/>
              </m:rPr>
              <w:rPr>
                <w:rFonts w:ascii="Cambria Math" w:hAnsi="Cambria Math"/>
              </w:rPr>
              <m:t>mdiff</m:t>
            </m:r>
            <m:ctrlPr>
              <w:rPr>
                <w:rFonts w:ascii="Cambria Math" w:hAnsi="Cambria Math"/>
                <w:i/>
                <w:szCs w:val="22"/>
              </w:rPr>
            </m:ctrlPr>
          </m:sub>
        </m:sSub>
        <m:r>
          <m:rPr/>
          <w:rPr>
            <w:rFonts w:ascii="Cambria Math" w:hAnsi="Cambria Math"/>
          </w:rPr>
          <m:t>=0</m:t>
        </m:r>
      </m:oMath>
      <w:r>
        <w:rPr>
          <w:rFonts w:hint="eastAsia" w:ascii="宋体" w:hAnsi="宋体"/>
        </w:rPr>
        <w:t xml:space="preserve"> </w:t>
      </w:r>
    </w:p>
    <w:p>
      <w:pPr>
        <w:tabs>
          <w:tab w:val="left" w:pos="284"/>
          <w:tab w:val="left" w:pos="567"/>
        </w:tabs>
        <w:spacing w:before="156" w:beforeLines="50" w:after="156" w:afterLines="50" w:line="0" w:lineRule="atLeast"/>
        <w:ind w:firstLine="360" w:firstLineChars="200"/>
        <w:rPr>
          <w:sz w:val="18"/>
          <w:szCs w:val="18"/>
        </w:rPr>
      </w:pPr>
      <w:r>
        <w:rPr>
          <w:rFonts w:hint="eastAsia"/>
          <w:sz w:val="18"/>
          <w:szCs w:val="18"/>
        </w:rPr>
        <w:t>注</w:t>
      </w:r>
      <w:r>
        <w:rPr>
          <w:sz w:val="18"/>
          <w:szCs w:val="18"/>
        </w:rPr>
        <w:t>1</w:t>
      </w:r>
      <w:r>
        <w:rPr>
          <w:rFonts w:hint="eastAsia"/>
          <w:sz w:val="18"/>
          <w:szCs w:val="18"/>
        </w:rPr>
        <w:t>：原假设是说两种材料的磨损速率相同。</w:t>
      </w:r>
    </w:p>
    <w:p>
      <w:pPr>
        <w:tabs>
          <w:tab w:val="left" w:pos="284"/>
          <w:tab w:val="left" w:pos="567"/>
        </w:tabs>
        <w:spacing w:before="156" w:beforeLines="50" w:after="156" w:afterLines="50" w:line="0" w:lineRule="atLeast"/>
        <w:ind w:left="5879" w:leftChars="403" w:hanging="5033" w:hangingChars="2397"/>
        <w:rPr>
          <w:rFonts w:ascii="宋体" w:hAnsi="宋体"/>
          <w:szCs w:val="22"/>
        </w:rPr>
      </w:pPr>
      <m:oMath>
        <m:sSub>
          <m:sSubPr>
            <m:ctrlPr>
              <w:rPr>
                <w:rFonts w:ascii="Cambria Math" w:hAnsi="Cambria Math"/>
                <w:szCs w:val="22"/>
              </w:rPr>
            </m:ctrlPr>
          </m:sSubPr>
          <m:e>
            <m:r>
              <m:rPr/>
              <w:rPr>
                <w:rFonts w:ascii="Cambria Math" w:hAnsi="Cambria Math"/>
              </w:rPr>
              <m:t>H</m:t>
            </m:r>
            <m:ctrlPr>
              <w:rPr>
                <w:rFonts w:ascii="Cambria Math" w:hAnsi="Cambria Math"/>
                <w:szCs w:val="22"/>
              </w:rPr>
            </m:ctrlPr>
          </m:e>
          <m:sub>
            <m:r>
              <m:rPr/>
              <w:rPr>
                <w:rFonts w:ascii="Cambria Math" w:hAnsi="Cambria Math"/>
              </w:rPr>
              <m:t>a</m:t>
            </m:r>
            <m:ctrlPr>
              <w:rPr>
                <w:rFonts w:ascii="Cambria Math" w:hAnsi="Cambria Math"/>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μ</m:t>
            </m:r>
            <m:ctrlPr>
              <w:rPr>
                <w:rFonts w:ascii="Cambria Math" w:hAnsi="Cambria Math"/>
                <w:i/>
                <w:szCs w:val="22"/>
              </w:rPr>
            </m:ctrlPr>
          </m:e>
          <m:sub>
            <m:r>
              <m:rPr>
                <m:sty m:val="p"/>
              </m:rPr>
              <w:rPr>
                <w:rFonts w:ascii="Cambria Math" w:hAnsi="Cambria Math"/>
              </w:rPr>
              <m:t>diff</m:t>
            </m:r>
            <m:ctrlPr>
              <w:rPr>
                <w:rFonts w:ascii="Cambria Math" w:hAnsi="Cambria Math"/>
                <w:i/>
                <w:szCs w:val="22"/>
              </w:rPr>
            </m:ctrlPr>
          </m:sub>
        </m:sSub>
        <m:r>
          <m:rPr/>
          <w:rPr>
            <w:rFonts w:ascii="Cambria Math" w:hAnsi="Cambria Math"/>
          </w:rPr>
          <m:t>&gt;0</m:t>
        </m:r>
      </m:oMath>
      <w:r>
        <w:rPr>
          <w:rFonts w:hint="eastAsia" w:ascii="宋体" w:hAnsi="宋体"/>
        </w:rPr>
        <w:t xml:space="preserve"> </w:t>
      </w:r>
    </w:p>
    <w:p>
      <w:pPr>
        <w:tabs>
          <w:tab w:val="left" w:pos="284"/>
          <w:tab w:val="left" w:pos="567"/>
        </w:tabs>
        <w:spacing w:before="156" w:beforeLines="50" w:after="156" w:afterLines="50" w:line="0" w:lineRule="atLeast"/>
        <w:ind w:firstLine="360" w:firstLineChars="200"/>
        <w:rPr>
          <w:sz w:val="18"/>
          <w:szCs w:val="18"/>
        </w:rPr>
      </w:pPr>
      <w:r>
        <w:rPr>
          <w:sz w:val="18"/>
          <w:szCs w:val="18"/>
        </w:rPr>
        <w:t xml:space="preserve"> </w:t>
      </w:r>
      <w:r>
        <w:rPr>
          <w:rFonts w:hint="eastAsia"/>
          <w:sz w:val="18"/>
          <w:szCs w:val="18"/>
        </w:rPr>
        <w:t>注</w:t>
      </w:r>
      <w:r>
        <w:rPr>
          <w:sz w:val="18"/>
          <w:szCs w:val="18"/>
        </w:rPr>
        <w:t>2</w:t>
      </w:r>
      <w:r>
        <w:rPr>
          <w:rFonts w:hint="eastAsia"/>
          <w:sz w:val="18"/>
          <w:szCs w:val="18"/>
        </w:rPr>
        <w:t>：备择假设就是有差异。</w:t>
      </w:r>
    </w:p>
    <w:p>
      <w:pPr>
        <w:tabs>
          <w:tab w:val="left" w:pos="284"/>
          <w:tab w:val="left" w:pos="567"/>
        </w:tabs>
        <w:spacing w:before="156" w:beforeLines="50" w:after="156" w:afterLines="50" w:line="0" w:lineRule="atLeast"/>
        <w:ind w:firstLine="420" w:firstLineChars="200"/>
        <w:rPr>
          <w:szCs w:val="22"/>
        </w:rPr>
      </w:pPr>
      <w:r>
        <w:t xml:space="preserve">b)  </w:t>
      </w:r>
      <w:r>
        <w:rPr>
          <w:i/>
        </w:rPr>
        <w:sym w:font="Symbol" w:char="0073"/>
      </w:r>
      <w:r>
        <w:t xml:space="preserve"> = 2</w:t>
      </w:r>
    </w:p>
    <w:p>
      <w:pPr>
        <w:tabs>
          <w:tab w:val="left" w:pos="284"/>
          <w:tab w:val="left" w:pos="567"/>
        </w:tabs>
        <w:spacing w:before="156" w:beforeLines="50" w:after="156" w:afterLines="50" w:line="0" w:lineRule="atLeast"/>
        <w:ind w:left="420" w:leftChars="200" w:firstLine="420" w:firstLineChars="200"/>
      </w:pPr>
      <w:r>
        <w:rPr>
          <w:i/>
        </w:rPr>
        <w:sym w:font="Symbol" w:char="0073"/>
      </w:r>
      <w:r>
        <w:rPr>
          <w:vertAlign w:val="subscript"/>
        </w:rPr>
        <w:t>diff</w:t>
      </w:r>
      <w:r>
        <w:t xml:space="preserve"> = </w:t>
      </w:r>
      <w:r>
        <w:rPr>
          <w:i/>
        </w:rPr>
        <w:sym w:font="Symbol" w:char="0073"/>
      </w:r>
      <w:r>
        <w:rPr/>
        <w:sym w:font="Symbol" w:char="00D6"/>
      </w:r>
      <w:r>
        <w:t>2</w:t>
      </w:r>
    </w:p>
    <w:p>
      <w:pPr>
        <w:tabs>
          <w:tab w:val="left" w:pos="284"/>
          <w:tab w:val="left" w:pos="567"/>
        </w:tabs>
        <w:spacing w:before="156" w:beforeLines="50" w:after="156" w:afterLines="50" w:line="0" w:lineRule="atLeast"/>
        <w:ind w:left="630" w:leftChars="300" w:firstLine="573" w:firstLineChars="273"/>
      </w:pPr>
      <w:r>
        <w:t>= 2 × 1.414</w:t>
      </w:r>
    </w:p>
    <w:p>
      <w:pPr>
        <w:tabs>
          <w:tab w:val="left" w:pos="284"/>
          <w:tab w:val="left" w:pos="567"/>
        </w:tabs>
        <w:spacing w:before="156" w:beforeLines="50" w:after="156" w:afterLines="50" w:line="0" w:lineRule="atLeast"/>
        <w:ind w:left="630" w:leftChars="300" w:firstLine="573" w:firstLineChars="273"/>
      </w:pPr>
      <w:r>
        <w:t>= 2.828</w:t>
      </w:r>
    </w:p>
    <w:p>
      <w:pPr>
        <w:tabs>
          <w:tab w:val="left" w:pos="284"/>
          <w:tab w:val="left" w:pos="567"/>
        </w:tabs>
        <w:spacing w:before="156" w:beforeLines="50" w:after="156" w:afterLines="50" w:line="0" w:lineRule="atLeast"/>
        <w:ind w:left="420" w:leftChars="200" w:firstLine="420" w:firstLineChars="200"/>
      </w:pPr>
      <w:r>
        <w:rPr>
          <w:rFonts w:hint="eastAsia"/>
        </w:rPr>
        <w:t>另外：</w:t>
      </w:r>
    </w:p>
    <w:p>
      <w:pPr>
        <w:tabs>
          <w:tab w:val="left" w:pos="284"/>
          <w:tab w:val="left" w:pos="567"/>
        </w:tabs>
        <w:spacing w:before="156" w:beforeLines="50" w:after="156" w:afterLines="50" w:line="0" w:lineRule="atLeast"/>
        <w:ind w:left="1260" w:leftChars="587" w:hanging="27" w:hangingChars="13"/>
        <w:jc w:val="left"/>
      </w:pPr>
      <w:r>
        <w:rPr>
          <w:i/>
        </w:rPr>
        <w:t>α</w:t>
      </w:r>
      <w:r>
        <w:t xml:space="preserve"> = 0.05 </w:t>
      </w:r>
    </w:p>
    <w:p>
      <w:pPr>
        <w:tabs>
          <w:tab w:val="left" w:pos="284"/>
          <w:tab w:val="left" w:pos="567"/>
        </w:tabs>
        <w:spacing w:before="156" w:beforeLines="50" w:after="156" w:afterLines="50" w:line="0" w:lineRule="atLeast"/>
        <w:ind w:left="1260" w:leftChars="587" w:hanging="27" w:hangingChars="13"/>
        <w:jc w:val="left"/>
      </w:pPr>
      <w:r>
        <w:rPr>
          <w:i/>
        </w:rPr>
        <w:t xml:space="preserve">β </w:t>
      </w:r>
      <w:r>
        <w:t xml:space="preserve">= 0.05 </w:t>
      </w:r>
    </w:p>
    <w:p>
      <w:pPr>
        <w:tabs>
          <w:tab w:val="left" w:pos="284"/>
          <w:tab w:val="left" w:pos="567"/>
        </w:tabs>
        <w:spacing w:before="156" w:beforeLines="50" w:after="156" w:afterLines="50" w:line="0" w:lineRule="atLeast"/>
        <w:ind w:left="1260" w:leftChars="587" w:hanging="27" w:hangingChars="13"/>
        <w:jc w:val="left"/>
        <w:rPr>
          <w:rFonts w:ascii="宋体" w:hAnsi="宋体"/>
        </w:rPr>
      </w:pPr>
      <w:r>
        <w:rPr>
          <w:i/>
        </w:rPr>
        <w:t>δ</w:t>
      </w:r>
      <w:r>
        <w:t xml:space="preserve"> = 1 </w:t>
      </w:r>
    </w:p>
    <w:p>
      <w:pPr>
        <w:tabs>
          <w:tab w:val="left" w:pos="284"/>
          <w:tab w:val="left" w:pos="567"/>
        </w:tabs>
        <w:spacing w:before="312" w:beforeLines="100" w:after="156" w:afterLines="50" w:line="0" w:lineRule="atLeast"/>
        <w:ind w:firstLine="420" w:firstLineChars="200"/>
      </w:pPr>
      <w:r>
        <w:t>c)</w:t>
      </w:r>
      <w:r>
        <w:rPr>
          <w:i/>
        </w:rPr>
        <w:t xml:space="preserve">  Z</w:t>
      </w:r>
      <w:r>
        <w:rPr>
          <w:vertAlign w:val="subscript"/>
        </w:rPr>
        <w:t>α</w:t>
      </w:r>
      <w:r>
        <w:t xml:space="preserve"> = 1.645</w:t>
      </w:r>
    </w:p>
    <w:p>
      <w:pPr>
        <w:tabs>
          <w:tab w:val="left" w:pos="284"/>
          <w:tab w:val="left" w:pos="567"/>
        </w:tabs>
        <w:spacing w:before="312" w:beforeLines="100" w:after="156" w:afterLines="50" w:line="0" w:lineRule="atLeast"/>
        <w:ind w:firstLine="360" w:firstLineChars="200"/>
        <w:rPr>
          <w:sz w:val="18"/>
          <w:szCs w:val="18"/>
        </w:rPr>
      </w:pPr>
      <w:r>
        <w:rPr>
          <w:rFonts w:hint="eastAsia"/>
          <w:sz w:val="18"/>
          <w:szCs w:val="18"/>
        </w:rPr>
        <w:t>注：这是一个单侧值。</w:t>
      </w:r>
    </w:p>
    <w:p>
      <w:pPr>
        <w:tabs>
          <w:tab w:val="left" w:pos="284"/>
          <w:tab w:val="left" w:pos="567"/>
        </w:tabs>
        <w:spacing w:before="312" w:beforeLines="100" w:after="156" w:afterLines="50" w:line="0" w:lineRule="atLeast"/>
        <w:ind w:firstLine="420" w:firstLineChars="200"/>
        <w:rPr>
          <w:szCs w:val="22"/>
        </w:rPr>
      </w:pPr>
      <w:r>
        <w:t xml:space="preserve">d) </w:t>
      </w:r>
      <w:r>
        <w:rPr>
          <w:i/>
        </w:rPr>
        <w:t xml:space="preserve"> Z</w:t>
      </w:r>
      <w:r>
        <w:rPr>
          <w:i/>
          <w:vertAlign w:val="subscript"/>
        </w:rPr>
        <w:t>β</w:t>
      </w:r>
      <w:r>
        <w:t xml:space="preserve"> = 1.645</w:t>
      </w:r>
    </w:p>
    <w:p>
      <w:pPr>
        <w:tabs>
          <w:tab w:val="left" w:pos="284"/>
          <w:tab w:val="left" w:pos="567"/>
        </w:tabs>
        <w:spacing w:before="312" w:beforeLines="100" w:after="156" w:afterLines="50" w:line="0" w:lineRule="atLeast"/>
        <w:ind w:firstLine="360" w:firstLineChars="200"/>
        <w:rPr>
          <w:sz w:val="18"/>
          <w:szCs w:val="18"/>
        </w:rPr>
      </w:pPr>
      <w:r>
        <w:rPr>
          <w:rFonts w:hint="eastAsia"/>
          <w:sz w:val="18"/>
          <w:szCs w:val="18"/>
        </w:rPr>
        <w:t>注：这是一个单侧值。</w:t>
      </w:r>
    </w:p>
    <w:p>
      <w:pPr>
        <w:tabs>
          <w:tab w:val="left" w:pos="284"/>
          <w:tab w:val="left" w:pos="567"/>
        </w:tabs>
        <w:spacing w:before="312" w:beforeLines="100" w:after="156" w:afterLines="50" w:line="0" w:lineRule="atLeast"/>
        <w:ind w:firstLine="420" w:firstLineChars="200"/>
        <w:rPr>
          <w:szCs w:val="22"/>
        </w:rPr>
      </w:pPr>
      <w:r>
        <w:t>e)  (</w:t>
      </w:r>
      <w:r>
        <w:rPr>
          <w:i/>
        </w:rPr>
        <w:t>Z</w:t>
      </w:r>
      <w:r>
        <w:rPr>
          <w:vertAlign w:val="subscript"/>
        </w:rPr>
        <w:t>α</w:t>
      </w:r>
      <w:r>
        <w:t xml:space="preserve"> + </w:t>
      </w:r>
      <w:r>
        <w:rPr>
          <w:i/>
        </w:rPr>
        <w:t>Z</w:t>
      </w:r>
      <w:r>
        <w:rPr>
          <w:i/>
          <w:vertAlign w:val="subscript"/>
        </w:rPr>
        <w:t>β</w:t>
      </w:r>
      <w:r>
        <w:t xml:space="preserve"> )</w:t>
      </w:r>
      <w:r>
        <w:rPr>
          <w:vertAlign w:val="superscript"/>
        </w:rPr>
        <w:t>2</w:t>
      </w:r>
      <m:oMath>
        <m:r>
          <m:rPr>
            <m:sty m:val="p"/>
          </m:rPr>
          <w:rPr>
            <w:rFonts w:ascii="Cambria Math" w:hAnsi="Cambria Math"/>
            <w:color w:val="FF0000"/>
          </w:rPr>
          <m:t>(</m:t>
        </m:r>
        <m:sSup>
          <m:sSupPr>
            <m:ctrlPr>
              <w:rPr>
                <w:rFonts w:ascii="Cambria Math" w:hAnsi="Cambria Math"/>
                <w:i/>
                <w:color w:val="FF0000"/>
                <w:szCs w:val="22"/>
              </w:rPr>
            </m:ctrlPr>
          </m:sSupPr>
          <m:e>
            <m:sSub>
              <m:sSubPr>
                <m:ctrlPr>
                  <w:rPr>
                    <w:rFonts w:ascii="Cambria Math" w:hAnsi="Cambria Math"/>
                    <w:i/>
                    <w:color w:val="FF0000"/>
                  </w:rPr>
                </m:ctrlPr>
              </m:sSubPr>
              <m:e>
                <m:r>
                  <m:rPr/>
                  <w:rPr>
                    <w:rFonts w:ascii="Cambria Math" w:hAnsi="Cambria Math"/>
                    <w:color w:val="FF0000"/>
                  </w:rPr>
                  <m:t>σ</m:t>
                </m:r>
                <m:ctrlPr>
                  <w:rPr>
                    <w:rFonts w:ascii="Cambria Math" w:hAnsi="Cambria Math"/>
                    <w:i/>
                    <w:color w:val="FF0000"/>
                  </w:rPr>
                </m:ctrlPr>
              </m:e>
              <m:sub>
                <m:r>
                  <m:rPr/>
                  <w:rPr>
                    <w:rFonts w:ascii="Cambria Math" w:hAnsi="Cambria Math"/>
                    <w:color w:val="FF0000"/>
                  </w:rPr>
                  <m:t>diff</m:t>
                </m:r>
                <m:ctrlPr>
                  <w:rPr>
                    <w:rFonts w:ascii="Cambria Math" w:hAnsi="Cambria Math"/>
                    <w:i/>
                    <w:color w:val="FF0000"/>
                  </w:rPr>
                </m:ctrlPr>
              </m:sub>
            </m:sSub>
            <m:ctrlPr>
              <w:rPr>
                <w:rFonts w:ascii="Cambria Math" w:hAnsi="Cambria Math"/>
                <w:i/>
                <w:color w:val="FF0000"/>
                <w:szCs w:val="22"/>
              </w:rPr>
            </m:ctrlPr>
          </m:e>
          <m:sup>
            <m:r>
              <m:rPr/>
              <w:rPr>
                <w:rFonts w:ascii="Cambria Math" w:hAnsi="Cambria Math"/>
                <w:color w:val="FF0000"/>
              </w:rPr>
              <m:t>2</m:t>
            </m:r>
            <m:ctrlPr>
              <w:rPr>
                <w:rFonts w:ascii="Cambria Math" w:hAnsi="Cambria Math"/>
                <w:i/>
                <w:color w:val="FF0000"/>
                <w:szCs w:val="22"/>
              </w:rPr>
            </m:ctrlPr>
          </m:sup>
        </m:sSup>
        <m:r>
          <m:rPr/>
          <w:rPr>
            <w:rFonts w:ascii="Cambria Math" w:hAnsi="Cambria Math"/>
          </w:rPr>
          <m:t>)</m:t>
        </m:r>
      </m:oMath>
      <w:r>
        <w:t>/</w:t>
      </w:r>
      <w:r>
        <w:rPr>
          <w:i/>
        </w:rPr>
        <w:t>δ</w:t>
      </w:r>
      <w:r>
        <w:rPr>
          <w:vertAlign w:val="superscript"/>
        </w:rPr>
        <w:t>2</w:t>
      </w:r>
      <w:r>
        <w:t xml:space="preserve"> = 86.59</w:t>
      </w:r>
    </w:p>
    <w:p>
      <w:pPr>
        <w:tabs>
          <w:tab w:val="left" w:pos="284"/>
          <w:tab w:val="left" w:pos="567"/>
        </w:tabs>
        <w:spacing w:before="312" w:beforeLines="100" w:after="156" w:afterLines="50" w:line="0" w:lineRule="atLeast"/>
        <w:ind w:left="420" w:leftChars="200" w:firstLine="420" w:firstLineChars="200"/>
      </w:pPr>
      <w:r>
        <w:rPr>
          <w:rFonts w:hint="eastAsia"/>
        </w:rPr>
        <w:t>取整：</w:t>
      </w:r>
      <w:r>
        <w:rPr>
          <w:i/>
        </w:rPr>
        <w:t>N</w:t>
      </w:r>
      <w:r>
        <w:t xml:space="preserve"> = 87</w:t>
      </w:r>
    </w:p>
    <w:p>
      <w:pPr>
        <w:tabs>
          <w:tab w:val="left" w:pos="284"/>
          <w:tab w:val="left" w:pos="567"/>
        </w:tabs>
        <w:spacing w:before="156" w:beforeLines="50" w:after="156" w:afterLines="50" w:line="0" w:lineRule="atLeast"/>
        <w:ind w:firstLine="420" w:firstLineChars="200"/>
      </w:pPr>
      <w:r>
        <w:rPr>
          <w:rFonts w:hint="eastAsia"/>
        </w:rPr>
        <w:t>因此，要做</w:t>
      </w:r>
      <w:r>
        <w:t>87</w:t>
      </w:r>
      <w:r>
        <w:rPr>
          <w:rFonts w:hint="eastAsia"/>
        </w:rPr>
        <w:t>双鞋，分配给男孩穿一个月。</w:t>
      </w:r>
    </w:p>
    <w:p>
      <w:pPr>
        <w:tabs>
          <w:tab w:val="left" w:pos="284"/>
          <w:tab w:val="left" w:pos="567"/>
        </w:tabs>
        <w:spacing w:before="156" w:beforeLines="50" w:after="156" w:afterLines="50" w:line="0" w:lineRule="atLeast"/>
        <w:ind w:firstLine="420" w:firstLineChars="200"/>
      </w:pPr>
      <w:r>
        <w:rPr>
          <w:rFonts w:hint="eastAsia"/>
        </w:rPr>
        <w:t>使用不同的</w:t>
      </w:r>
      <w:r>
        <w:rPr>
          <w:rFonts w:hint="eastAsia"/>
          <w:i/>
        </w:rPr>
        <w:t>α</w:t>
      </w:r>
      <w:r>
        <w:rPr>
          <w:rFonts w:hint="eastAsia"/>
        </w:rPr>
        <w:t>、</w:t>
      </w:r>
      <w:r>
        <w:rPr>
          <w:rFonts w:hint="eastAsia"/>
          <w:i/>
        </w:rPr>
        <w:t>β</w:t>
      </w:r>
      <w:r>
        <w:rPr>
          <w:rFonts w:hint="eastAsia"/>
        </w:rPr>
        <w:t>、</w:t>
      </w:r>
      <w:r>
        <w:rPr>
          <w:rFonts w:hint="eastAsia"/>
          <w:i/>
        </w:rPr>
        <w:t>δ</w:t>
      </w:r>
      <w:r>
        <w:rPr>
          <w:rFonts w:hint="eastAsia"/>
        </w:rPr>
        <w:t>、</w:t>
      </w:r>
      <w:r>
        <w:rPr>
          <w:rFonts w:hint="eastAsia"/>
          <w:i/>
        </w:rPr>
        <w:t>σ</w:t>
      </w:r>
      <w:r>
        <w:rPr>
          <w:rFonts w:hint="eastAsia"/>
        </w:rPr>
        <w:t>值重复此计算很有指导意义。</w:t>
      </w:r>
    </w:p>
    <w:p>
      <w:pPr>
        <w:pStyle w:val="46"/>
        <w:spacing w:before="156" w:after="156"/>
      </w:pPr>
      <w:r>
        <w:rPr>
          <w:rFonts w:hint="eastAsia"/>
        </w:rPr>
        <w:t>响应实验</w:t>
      </w:r>
    </w:p>
    <w:p>
      <w:pPr>
        <w:pStyle w:val="51"/>
        <w:spacing w:before="156" w:after="156"/>
      </w:pPr>
      <w:r>
        <w:rPr>
          <w:rFonts w:hint="eastAsia"/>
        </w:rPr>
        <w:t>两水平因素设计</w:t>
      </w:r>
    </w:p>
    <w:p>
      <w:pPr>
        <w:pStyle w:val="55"/>
        <w:spacing w:before="156" w:after="156"/>
        <w:ind w:left="0"/>
        <w:rPr>
          <w:rFonts w:eastAsia="宋体"/>
        </w:rPr>
      </w:pPr>
      <w:r>
        <w:rPr>
          <w:rFonts w:hint="eastAsia"/>
        </w:rPr>
        <w:t>正在开发的一个丁腈橡胶混炼胶具有：</w:t>
      </w:r>
    </w:p>
    <w:p>
      <w:pPr>
        <w:tabs>
          <w:tab w:val="left" w:pos="284"/>
          <w:tab w:val="left" w:pos="567"/>
        </w:tabs>
        <w:spacing w:before="156" w:beforeLines="50" w:after="156" w:afterLines="50" w:line="0" w:lineRule="atLeast"/>
        <w:ind w:firstLine="420" w:firstLineChars="200"/>
      </w:pPr>
      <w:r>
        <w:t xml:space="preserve">a) </w:t>
      </w:r>
      <w:r>
        <w:rPr>
          <w:rFonts w:hint="eastAsia"/>
        </w:rPr>
        <w:t>好的耐液体性能。</w:t>
      </w:r>
    </w:p>
    <w:p>
      <w:pPr>
        <w:tabs>
          <w:tab w:val="left" w:pos="284"/>
          <w:tab w:val="left" w:pos="567"/>
        </w:tabs>
        <w:spacing w:before="156" w:beforeLines="50" w:after="156" w:afterLines="50" w:line="0" w:lineRule="atLeast"/>
        <w:ind w:firstLine="420" w:firstLineChars="200"/>
      </w:pPr>
      <w:r>
        <w:rPr>
          <w:rFonts w:hint="eastAsia"/>
        </w:rPr>
        <w:t>注：当按</w:t>
      </w:r>
      <w:r>
        <w:t>ISO 1817</w:t>
      </w:r>
      <w:r>
        <w:rPr>
          <w:rFonts w:hint="eastAsia"/>
        </w:rPr>
        <w:t>将试样浸入标准油时，体积溶胀宜尽可能的低。</w:t>
      </w:r>
    </w:p>
    <w:p>
      <w:pPr>
        <w:tabs>
          <w:tab w:val="left" w:pos="284"/>
          <w:tab w:val="left" w:pos="567"/>
        </w:tabs>
        <w:spacing w:before="156" w:beforeLines="50" w:after="156" w:afterLines="50" w:line="0" w:lineRule="atLeast"/>
        <w:ind w:firstLine="420" w:firstLineChars="200"/>
      </w:pPr>
      <w:r>
        <w:t xml:space="preserve">b) </w:t>
      </w:r>
      <w:r>
        <w:rPr>
          <w:rFonts w:hint="eastAsia"/>
        </w:rPr>
        <w:t>好的低温特性。</w:t>
      </w:r>
    </w:p>
    <w:p>
      <w:pPr>
        <w:tabs>
          <w:tab w:val="left" w:pos="284"/>
          <w:tab w:val="left" w:pos="567"/>
        </w:tabs>
        <w:spacing w:before="156" w:beforeLines="50" w:after="156" w:afterLines="50" w:line="0" w:lineRule="atLeast"/>
        <w:ind w:firstLine="420" w:firstLineChars="200"/>
      </w:pPr>
      <w:r>
        <w:rPr>
          <w:rFonts w:hint="eastAsia"/>
        </w:rPr>
        <w:t>注：当按</w:t>
      </w:r>
      <w:r>
        <w:t>ISO 812</w:t>
      </w:r>
      <w:r>
        <w:rPr>
          <w:rFonts w:hint="eastAsia"/>
        </w:rPr>
        <w:t>测量时，脆性温度宜尽可能的低。</w:t>
      </w:r>
    </w:p>
    <w:p>
      <w:pPr>
        <w:tabs>
          <w:tab w:val="left" w:pos="284"/>
          <w:tab w:val="left" w:pos="567"/>
        </w:tabs>
        <w:spacing w:before="156" w:beforeLines="50" w:after="156" w:afterLines="50" w:line="0" w:lineRule="atLeast"/>
        <w:ind w:firstLine="420" w:firstLineChars="200"/>
      </w:pPr>
      <w:r>
        <w:rPr>
          <w:rFonts w:hint="eastAsia"/>
        </w:rPr>
        <w:t>技术人员想要确定的因素类型可能会是：</w:t>
      </w:r>
    </w:p>
    <w:p>
      <w:pPr>
        <w:tabs>
          <w:tab w:val="left" w:pos="284"/>
          <w:tab w:val="left" w:pos="567"/>
        </w:tabs>
        <w:spacing w:before="156" w:beforeLines="50" w:after="156" w:afterLines="50" w:line="0" w:lineRule="atLeast"/>
        <w:ind w:firstLine="420" w:firstLineChars="200"/>
      </w:pPr>
      <w:r>
        <w:t>1</w:t>
      </w:r>
      <w:r>
        <w:rPr>
          <w:rFonts w:hint="eastAsia"/>
        </w:rPr>
        <w:t>）丁腈橡胶的级别，由丙烯腈</w:t>
      </w:r>
      <w:r>
        <w:t>(ACN)</w:t>
      </w:r>
      <w:r>
        <w:rPr>
          <w:rFonts w:hint="eastAsia"/>
        </w:rPr>
        <w:t>含量表征，典型的是</w:t>
      </w:r>
      <w:r>
        <w:t>1</w:t>
      </w:r>
      <w:r>
        <w:rPr>
          <w:rFonts w:hint="eastAsia"/>
        </w:rPr>
        <w:t>级（</w:t>
      </w:r>
      <w:r>
        <w:t>28%</w:t>
      </w:r>
      <w:r>
        <w:rPr>
          <w:rFonts w:hint="eastAsia"/>
        </w:rPr>
        <w:t>），</w:t>
      </w:r>
      <w:r>
        <w:t>2</w:t>
      </w:r>
      <w:r>
        <w:rPr>
          <w:rFonts w:hint="eastAsia"/>
        </w:rPr>
        <w:t>级（</w:t>
      </w:r>
      <w:r>
        <w:t>34%</w:t>
      </w:r>
      <w:r>
        <w:rPr>
          <w:rFonts w:hint="eastAsia"/>
        </w:rPr>
        <w:t>）和</w:t>
      </w:r>
      <w:r>
        <w:t>3</w:t>
      </w:r>
      <w:r>
        <w:rPr>
          <w:rFonts w:hint="eastAsia"/>
        </w:rPr>
        <w:t>级（</w:t>
      </w:r>
      <w:r>
        <w:t>40%</w:t>
      </w:r>
      <w:r>
        <w:rPr>
          <w:rFonts w:hint="eastAsia"/>
        </w:rPr>
        <w:t>）；</w:t>
      </w:r>
    </w:p>
    <w:p>
      <w:pPr>
        <w:tabs>
          <w:tab w:val="left" w:pos="284"/>
          <w:tab w:val="left" w:pos="567"/>
        </w:tabs>
        <w:spacing w:before="156" w:beforeLines="50" w:after="156" w:afterLines="50" w:line="0" w:lineRule="atLeast"/>
        <w:ind w:firstLine="420" w:firstLineChars="200"/>
      </w:pPr>
      <w:r>
        <w:t>2</w:t>
      </w:r>
      <w:r>
        <w:rPr>
          <w:rFonts w:hint="eastAsia"/>
        </w:rPr>
        <w:t>）使用的增塑剂，典型的是邻苯二甲酸二辛酯</w:t>
      </w:r>
      <w:r>
        <w:t>(DOP)</w:t>
      </w:r>
      <w:r>
        <w:rPr>
          <w:rFonts w:hint="eastAsia"/>
        </w:rPr>
        <w:t>和己二酸丁基卡必醇酯</w:t>
      </w:r>
      <w:r>
        <w:t>(BCA)</w:t>
      </w:r>
      <w:r>
        <w:rPr>
          <w:rFonts w:hint="eastAsia"/>
        </w:rPr>
        <w:t>；</w:t>
      </w:r>
    </w:p>
    <w:p>
      <w:pPr>
        <w:tabs>
          <w:tab w:val="left" w:pos="284"/>
          <w:tab w:val="left" w:pos="567"/>
        </w:tabs>
        <w:spacing w:before="156" w:beforeLines="50" w:after="156" w:afterLines="50" w:line="0" w:lineRule="atLeast"/>
        <w:ind w:firstLine="420" w:firstLineChars="200"/>
      </w:pPr>
      <w:r>
        <w:t>3</w:t>
      </w:r>
      <w:r>
        <w:rPr>
          <w:rFonts w:hint="eastAsia"/>
        </w:rPr>
        <w:t>）增塑剂的量，典型的是</w:t>
      </w:r>
      <w:r>
        <w:t>10</w:t>
      </w:r>
      <w:r>
        <w:rPr>
          <w:rFonts w:hint="eastAsia"/>
        </w:rPr>
        <w:t>份至</w:t>
      </w:r>
      <w:r>
        <w:t>30</w:t>
      </w:r>
      <w:r>
        <w:rPr>
          <w:rFonts w:hint="eastAsia"/>
        </w:rPr>
        <w:t>份每百份橡胶（</w:t>
      </w:r>
      <w:r>
        <w:t>p.h.r.</w:t>
      </w:r>
      <w:r>
        <w:rPr>
          <w:rFonts w:hint="eastAsia"/>
        </w:rPr>
        <w:t>）。</w:t>
      </w:r>
    </w:p>
    <w:p>
      <w:pPr>
        <w:tabs>
          <w:tab w:val="left" w:pos="284"/>
          <w:tab w:val="left" w:pos="567"/>
        </w:tabs>
        <w:spacing w:before="156" w:beforeLines="50" w:after="156" w:afterLines="50" w:line="0" w:lineRule="atLeast"/>
        <w:ind w:firstLine="420" w:firstLineChars="200"/>
      </w:pPr>
      <w:r>
        <w:t>4</w:t>
      </w:r>
      <w:r>
        <w:rPr>
          <w:rFonts w:hint="eastAsia"/>
        </w:rPr>
        <w:t>）炭黑型号，典型的</w:t>
      </w:r>
      <w:r>
        <w:t xml:space="preserve"> N550</w:t>
      </w:r>
      <w:r>
        <w:rPr>
          <w:rFonts w:hint="eastAsia"/>
        </w:rPr>
        <w:t>至</w:t>
      </w:r>
      <w:r>
        <w:t>N330</w:t>
      </w:r>
      <w:r>
        <w:rPr>
          <w:rFonts w:hint="eastAsia"/>
        </w:rPr>
        <w:t>；</w:t>
      </w:r>
    </w:p>
    <w:p>
      <w:pPr>
        <w:tabs>
          <w:tab w:val="left" w:pos="284"/>
          <w:tab w:val="left" w:pos="567"/>
        </w:tabs>
        <w:spacing w:before="156" w:beforeLines="50" w:after="156" w:afterLines="50" w:line="0" w:lineRule="atLeast"/>
        <w:ind w:firstLine="420" w:firstLineChars="200"/>
      </w:pPr>
      <w:r>
        <w:t>5</w:t>
      </w:r>
      <w:r>
        <w:rPr>
          <w:rFonts w:hint="eastAsia"/>
        </w:rPr>
        <w:t>）炭黑量，典型的</w:t>
      </w:r>
      <w:r>
        <w:t>30p.h.r</w:t>
      </w:r>
      <w:r>
        <w:rPr>
          <w:rFonts w:hint="eastAsia"/>
        </w:rPr>
        <w:t>至</w:t>
      </w:r>
      <w:r>
        <w:t>70p.h.r</w:t>
      </w:r>
      <w:r>
        <w:rPr>
          <w:rFonts w:hint="eastAsia"/>
        </w:rPr>
        <w:t>。</w:t>
      </w:r>
    </w:p>
    <w:p>
      <w:pPr>
        <w:tabs>
          <w:tab w:val="left" w:pos="284"/>
          <w:tab w:val="left" w:pos="567"/>
        </w:tabs>
        <w:spacing w:before="156" w:beforeLines="50" w:after="156" w:afterLines="50" w:line="0" w:lineRule="atLeast"/>
        <w:ind w:firstLine="420" w:firstLineChars="200"/>
      </w:pPr>
      <w:r>
        <w:rPr>
          <w:rFonts w:hint="eastAsia"/>
        </w:rPr>
        <w:t>丁腈橡胶分成三个不同的等级带来一个问题。它们按</w:t>
      </w:r>
      <w:r>
        <w:t>CAN</w:t>
      </w:r>
      <w:r>
        <w:rPr>
          <w:rFonts w:hint="eastAsia"/>
        </w:rPr>
        <w:t>的三个水平排序，可以粗略地当作一个连续变量来处理。然而，如果</w:t>
      </w:r>
      <w:r>
        <w:t>ACN</w:t>
      </w:r>
      <w:r>
        <w:rPr>
          <w:rFonts w:hint="eastAsia"/>
        </w:rPr>
        <w:t>的实验水平可以选择在</w:t>
      </w:r>
      <w:r>
        <w:t xml:space="preserve">28% </w:t>
      </w:r>
      <w:r>
        <w:rPr>
          <w:rFonts w:hint="eastAsia"/>
        </w:rPr>
        <w:t>至</w:t>
      </w:r>
      <w:r>
        <w:t xml:space="preserve"> 40%</w:t>
      </w:r>
      <w:r>
        <w:rPr>
          <w:rFonts w:hint="eastAsia"/>
        </w:rPr>
        <w:t>之间的任何点，就可以进行更好的设计和分析。同时，由于</w:t>
      </w:r>
      <w:r>
        <w:t>ACN</w:t>
      </w:r>
      <w:r>
        <w:rPr>
          <w:rFonts w:hint="eastAsia"/>
        </w:rPr>
        <w:t>的取值范围很广，选择两个</w:t>
      </w:r>
      <w:r>
        <w:t>ACN</w:t>
      </w:r>
      <w:r>
        <w:rPr>
          <w:rFonts w:hint="eastAsia"/>
        </w:rPr>
        <w:t>值相近的等级，可以更好地服务于适合两水平设计的线性模型。</w:t>
      </w:r>
    </w:p>
    <w:p>
      <w:pPr>
        <w:tabs>
          <w:tab w:val="left" w:pos="284"/>
          <w:tab w:val="left" w:pos="567"/>
        </w:tabs>
        <w:spacing w:before="156" w:beforeLines="50" w:after="156" w:afterLines="50" w:line="0" w:lineRule="atLeast"/>
        <w:ind w:left="210" w:leftChars="100" w:firstLine="420" w:firstLineChars="200"/>
        <w:rPr>
          <w:rFonts w:ascii="宋体" w:hAnsi="宋体"/>
        </w:rPr>
      </w:pPr>
    </w:p>
    <w:p>
      <w:pPr>
        <w:tabs>
          <w:tab w:val="left" w:pos="284"/>
          <w:tab w:val="left" w:pos="567"/>
        </w:tabs>
        <w:spacing w:before="156" w:beforeLines="50" w:after="156" w:afterLines="50" w:line="0" w:lineRule="atLeast"/>
        <w:ind w:left="210" w:leftChars="100" w:firstLine="420" w:firstLineChars="200"/>
        <w:rPr>
          <w:rFonts w:ascii="宋体" w:hAnsi="宋体"/>
        </w:rPr>
      </w:pPr>
    </w:p>
    <w:p>
      <w:pPr>
        <w:pStyle w:val="55"/>
        <w:spacing w:before="156" w:after="156"/>
        <w:ind w:left="0"/>
      </w:pPr>
      <w:r>
        <w:rPr>
          <w:rFonts w:hint="eastAsia"/>
        </w:rPr>
        <w:t>实验设计规范</w:t>
      </w:r>
    </w:p>
    <w:p>
      <w:pPr>
        <w:tabs>
          <w:tab w:val="left" w:pos="284"/>
          <w:tab w:val="left" w:pos="567"/>
        </w:tabs>
        <w:spacing w:before="156" w:beforeLines="50" w:after="156" w:afterLines="50" w:line="0" w:lineRule="atLeast"/>
        <w:ind w:firstLine="420" w:firstLineChars="200"/>
      </w:pPr>
      <w:r>
        <w:t xml:space="preserve">a) </w:t>
      </w:r>
      <w:r>
        <w:rPr>
          <w:rFonts w:hint="eastAsia"/>
        </w:rPr>
        <w:t>响应变量：</w:t>
      </w:r>
    </w:p>
    <w:p>
      <w:pPr>
        <w:tabs>
          <w:tab w:val="left" w:pos="284"/>
          <w:tab w:val="left" w:pos="567"/>
        </w:tabs>
        <w:spacing w:before="156" w:beforeLines="50" w:after="156" w:afterLines="50" w:line="0" w:lineRule="atLeast"/>
        <w:ind w:left="210" w:leftChars="100" w:firstLine="420" w:firstLineChars="200"/>
      </w:pPr>
      <w:r>
        <w:t>1</w:t>
      </w:r>
      <w:r>
        <w:rPr>
          <w:rFonts w:hint="eastAsia"/>
        </w:rPr>
        <w:t>）</w:t>
      </w:r>
      <w:r>
        <w:rPr>
          <w:i/>
        </w:rPr>
        <w:t>Y</w:t>
      </w:r>
      <w:r>
        <w:rPr>
          <w:vertAlign w:val="subscript"/>
        </w:rPr>
        <w:t>1</w:t>
      </w:r>
      <w:r>
        <w:rPr>
          <w:rFonts w:hint="eastAsia"/>
        </w:rPr>
        <w:t>，耐流体性能，用流体膨胀度量；</w:t>
      </w:r>
    </w:p>
    <w:p>
      <w:pPr>
        <w:tabs>
          <w:tab w:val="left" w:pos="284"/>
          <w:tab w:val="left" w:pos="567"/>
        </w:tabs>
        <w:spacing w:before="156" w:beforeLines="50" w:after="156" w:afterLines="50" w:line="0" w:lineRule="atLeast"/>
        <w:ind w:left="210" w:leftChars="100" w:firstLine="420" w:firstLineChars="200"/>
      </w:pPr>
      <w:r>
        <w:t>2</w:t>
      </w:r>
      <w:r>
        <w:rPr>
          <w:rFonts w:hint="eastAsia"/>
        </w:rPr>
        <w:t>）</w:t>
      </w:r>
      <w:r>
        <w:rPr>
          <w:i/>
        </w:rPr>
        <w:t>Y</w:t>
      </w:r>
      <w:r>
        <w:rPr>
          <w:vertAlign w:val="subscript"/>
        </w:rPr>
        <w:t>2</w:t>
      </w:r>
      <w:r>
        <w:rPr>
          <w:rFonts w:hint="eastAsia"/>
        </w:rPr>
        <w:t>，脆性温度。</w:t>
      </w:r>
    </w:p>
    <w:p>
      <w:pPr>
        <w:tabs>
          <w:tab w:val="left" w:pos="284"/>
          <w:tab w:val="left" w:pos="567"/>
        </w:tabs>
        <w:spacing w:before="156" w:beforeLines="50" w:after="156" w:afterLines="50" w:line="0" w:lineRule="atLeast"/>
        <w:ind w:firstLine="420" w:firstLineChars="200"/>
      </w:pPr>
      <w:r>
        <w:t xml:space="preserve">b) </w:t>
      </w:r>
      <w:r>
        <w:rPr>
          <w:rFonts w:hint="eastAsia"/>
        </w:rPr>
        <w:t>控制变量：</w:t>
      </w:r>
    </w:p>
    <w:p>
      <w:pPr>
        <w:tabs>
          <w:tab w:val="left" w:pos="284"/>
          <w:tab w:val="left" w:pos="567"/>
        </w:tabs>
        <w:spacing w:before="156" w:beforeLines="50" w:after="156" w:afterLines="50" w:line="0" w:lineRule="atLeast"/>
        <w:ind w:left="210" w:leftChars="100" w:firstLine="420" w:firstLineChars="200"/>
      </w:pPr>
      <w:r>
        <w:t>1</w:t>
      </w:r>
      <w:r>
        <w:rPr>
          <w:rFonts w:hint="eastAsia"/>
        </w:rPr>
        <w:t>）</w:t>
      </w:r>
      <w:r>
        <w:rPr>
          <w:i/>
        </w:rPr>
        <w:t>X</w:t>
      </w:r>
      <w:r>
        <w:rPr>
          <w:vertAlign w:val="subscript"/>
        </w:rPr>
        <w:t xml:space="preserve">1 </w:t>
      </w:r>
      <w:r>
        <w:t>= GRADE</w:t>
      </w:r>
      <w:r>
        <w:rPr>
          <w:rFonts w:hint="eastAsia"/>
        </w:rPr>
        <w:t>级别：低水平</w:t>
      </w:r>
      <w:r>
        <w:t>1</w:t>
      </w:r>
      <w:r>
        <w:rPr>
          <w:rFonts w:hint="eastAsia"/>
        </w:rPr>
        <w:t>，高水平</w:t>
      </w:r>
      <w:r>
        <w:t>2</w:t>
      </w:r>
      <w:r>
        <w:rPr>
          <w:rFonts w:hint="eastAsia"/>
        </w:rPr>
        <w:t>；</w:t>
      </w:r>
    </w:p>
    <w:p>
      <w:pPr>
        <w:tabs>
          <w:tab w:val="left" w:pos="284"/>
          <w:tab w:val="left" w:pos="567"/>
        </w:tabs>
        <w:spacing w:before="156" w:beforeLines="50" w:after="156" w:afterLines="50" w:line="0" w:lineRule="atLeast"/>
        <w:ind w:left="210" w:leftChars="100" w:firstLine="420" w:firstLineChars="200"/>
      </w:pPr>
      <w:r>
        <w:t>2</w:t>
      </w:r>
      <w:r>
        <w:rPr>
          <w:rFonts w:hint="eastAsia"/>
        </w:rPr>
        <w:t>）</w:t>
      </w:r>
      <w:r>
        <w:rPr>
          <w:i/>
        </w:rPr>
        <w:t>X</w:t>
      </w:r>
      <w:r>
        <w:rPr>
          <w:vertAlign w:val="subscript"/>
        </w:rPr>
        <w:t>2</w:t>
      </w:r>
      <w:r>
        <w:t xml:space="preserve"> =PLAS</w:t>
      </w:r>
      <w:r>
        <w:rPr>
          <w:rFonts w:hint="eastAsia"/>
        </w:rPr>
        <w:t>增塑剂：两个水平，</w:t>
      </w:r>
      <w:r>
        <w:t>DOP(</w:t>
      </w:r>
      <w:r>
        <w:rPr>
          <w:rFonts w:hint="eastAsia"/>
        </w:rPr>
        <w:t>水平</w:t>
      </w:r>
      <w:r>
        <w:t>1)</w:t>
      </w:r>
      <w:r>
        <w:rPr>
          <w:rFonts w:hint="eastAsia"/>
        </w:rPr>
        <w:t>和</w:t>
      </w:r>
      <w:r>
        <w:t>BCA</w:t>
      </w:r>
      <w:r>
        <w:rPr>
          <w:rFonts w:hint="eastAsia"/>
        </w:rPr>
        <w:t>（水平</w:t>
      </w:r>
      <w:r>
        <w:t>2</w:t>
      </w:r>
      <w:r>
        <w:rPr>
          <w:rFonts w:hint="eastAsia"/>
        </w:rPr>
        <w:t>）；</w:t>
      </w:r>
    </w:p>
    <w:p>
      <w:pPr>
        <w:tabs>
          <w:tab w:val="left" w:pos="284"/>
          <w:tab w:val="left" w:pos="567"/>
        </w:tabs>
        <w:spacing w:before="156" w:beforeLines="50" w:after="156" w:afterLines="50" w:line="0" w:lineRule="atLeast"/>
        <w:ind w:left="210" w:leftChars="100" w:firstLine="420" w:firstLineChars="200"/>
      </w:pPr>
      <w:r>
        <w:t>3</w:t>
      </w:r>
      <w:r>
        <w:rPr>
          <w:rFonts w:hint="eastAsia"/>
        </w:rPr>
        <w:t>）</w:t>
      </w:r>
      <w:r>
        <w:rPr>
          <w:i/>
        </w:rPr>
        <w:t>X</w:t>
      </w:r>
      <w:r>
        <w:rPr>
          <w:vertAlign w:val="subscript"/>
        </w:rPr>
        <w:t xml:space="preserve">3 </w:t>
      </w:r>
      <w:r>
        <w:t>=PX</w:t>
      </w:r>
      <w:r>
        <w:rPr>
          <w:rFonts w:hint="eastAsia"/>
        </w:rPr>
        <w:t>增塑剂量：低水平</w:t>
      </w:r>
      <w:r>
        <w:t>10 phr</w:t>
      </w:r>
      <w:r>
        <w:rPr>
          <w:rFonts w:hint="eastAsia"/>
        </w:rPr>
        <w:t>，高水平</w:t>
      </w:r>
      <w:r>
        <w:t>15 phr</w:t>
      </w:r>
      <w:r>
        <w:rPr>
          <w:rFonts w:hint="eastAsia"/>
        </w:rPr>
        <w:t>；</w:t>
      </w:r>
    </w:p>
    <w:p>
      <w:pPr>
        <w:tabs>
          <w:tab w:val="left" w:pos="284"/>
          <w:tab w:val="left" w:pos="567"/>
        </w:tabs>
        <w:spacing w:before="156" w:beforeLines="50" w:after="156" w:afterLines="50" w:line="0" w:lineRule="atLeast"/>
        <w:ind w:left="210" w:leftChars="100" w:firstLine="420" w:firstLineChars="200"/>
      </w:pPr>
      <w:r>
        <w:t>4</w:t>
      </w:r>
      <w:r>
        <w:rPr>
          <w:rFonts w:hint="eastAsia"/>
        </w:rPr>
        <w:t>）</w:t>
      </w:r>
      <w:r>
        <w:rPr>
          <w:i/>
        </w:rPr>
        <w:t>X</w:t>
      </w:r>
      <w:r>
        <w:rPr>
          <w:vertAlign w:val="subscript"/>
        </w:rPr>
        <w:t xml:space="preserve">4 </w:t>
      </w:r>
      <w:r>
        <w:t>=BLACK</w:t>
      </w:r>
      <w:r>
        <w:rPr>
          <w:rFonts w:hint="eastAsia"/>
        </w:rPr>
        <w:t>炭黑：两个水平</w:t>
      </w:r>
      <w:r>
        <w:t>N550</w:t>
      </w:r>
      <w:r>
        <w:rPr>
          <w:rFonts w:hint="eastAsia"/>
        </w:rPr>
        <w:t>（水平</w:t>
      </w:r>
      <w:r>
        <w:t>1</w:t>
      </w:r>
      <w:r>
        <w:rPr>
          <w:rFonts w:hint="eastAsia"/>
        </w:rPr>
        <w:t>）和</w:t>
      </w:r>
      <w:r>
        <w:t>N330</w:t>
      </w:r>
      <w:r>
        <w:rPr>
          <w:rFonts w:hint="eastAsia"/>
        </w:rPr>
        <w:t>（水平</w:t>
      </w:r>
      <w:r>
        <w:t>2</w:t>
      </w:r>
      <w:r>
        <w:rPr>
          <w:rFonts w:hint="eastAsia"/>
        </w:rPr>
        <w:t>）；</w:t>
      </w:r>
    </w:p>
    <w:p>
      <w:pPr>
        <w:tabs>
          <w:tab w:val="left" w:pos="284"/>
          <w:tab w:val="left" w:pos="567"/>
        </w:tabs>
        <w:spacing w:before="156" w:beforeLines="50" w:after="156" w:afterLines="50" w:line="0" w:lineRule="atLeast"/>
        <w:ind w:left="210" w:leftChars="100" w:firstLine="420" w:firstLineChars="200"/>
      </w:pPr>
      <w:r>
        <w:t>5</w:t>
      </w:r>
      <w:r>
        <w:rPr>
          <w:rFonts w:hint="eastAsia"/>
        </w:rPr>
        <w:t>）</w:t>
      </w:r>
      <w:r>
        <w:rPr>
          <w:i/>
        </w:rPr>
        <w:t>X</w:t>
      </w:r>
      <w:r>
        <w:rPr>
          <w:vertAlign w:val="subscript"/>
        </w:rPr>
        <w:t xml:space="preserve">5 </w:t>
      </w:r>
      <w:r>
        <w:t>=BX</w:t>
      </w:r>
      <w:r>
        <w:rPr>
          <w:rFonts w:hint="eastAsia"/>
        </w:rPr>
        <w:t>炭黑量：低水平</w:t>
      </w:r>
      <w:r>
        <w:t>30phr</w:t>
      </w:r>
      <w:r>
        <w:rPr>
          <w:rFonts w:hint="eastAsia"/>
        </w:rPr>
        <w:t>，高水平</w:t>
      </w:r>
      <w:r>
        <w:t>40phr</w:t>
      </w:r>
      <w:r>
        <w:rPr>
          <w:rFonts w:hint="eastAsia"/>
        </w:rPr>
        <w:t>。</w:t>
      </w:r>
    </w:p>
    <w:p>
      <w:pPr>
        <w:tabs>
          <w:tab w:val="left" w:pos="284"/>
          <w:tab w:val="left" w:pos="567"/>
        </w:tabs>
        <w:spacing w:before="156" w:beforeLines="50" w:after="156" w:afterLines="50" w:line="0" w:lineRule="atLeast"/>
        <w:ind w:firstLine="420" w:firstLineChars="200"/>
        <w:rPr>
          <w:dstrike/>
          <w:color w:val="FF0000"/>
        </w:rPr>
      </w:pPr>
      <w:r>
        <w:rPr>
          <w:dstrike/>
          <w:color w:val="FF0000"/>
        </w:rPr>
        <w:t>PX</w:t>
      </w:r>
      <w:r>
        <w:rPr>
          <w:rFonts w:hint="eastAsia"/>
          <w:dstrike/>
          <w:color w:val="FF0000"/>
        </w:rPr>
        <w:t>和</w:t>
      </w:r>
      <w:r>
        <w:rPr>
          <w:dstrike/>
          <w:color w:val="FF0000"/>
        </w:rPr>
        <w:t>BX</w:t>
      </w:r>
      <w:r>
        <w:rPr>
          <w:rFonts w:hint="eastAsia"/>
          <w:dstrike/>
          <w:color w:val="FF0000"/>
        </w:rPr>
        <w:t>分别代表增塑剂和炭黑的量。</w:t>
      </w:r>
    </w:p>
    <w:p>
      <w:pPr>
        <w:tabs>
          <w:tab w:val="left" w:pos="284"/>
          <w:tab w:val="left" w:pos="567"/>
        </w:tabs>
        <w:spacing w:before="156" w:beforeLines="50" w:after="156" w:afterLines="50" w:line="0" w:lineRule="atLeast"/>
        <w:ind w:firstLine="420" w:firstLineChars="200"/>
      </w:pPr>
      <w:r>
        <w:rPr>
          <w:rFonts w:hint="eastAsia"/>
        </w:rPr>
        <w:t>注：选择连续变量</w:t>
      </w:r>
      <w:r>
        <w:rPr>
          <w:i/>
        </w:rPr>
        <w:t>X</w:t>
      </w:r>
      <w:r>
        <w:rPr>
          <w:vertAlign w:val="subscript"/>
        </w:rPr>
        <w:t>1</w:t>
      </w:r>
      <w:r>
        <w:rPr>
          <w:rFonts w:hint="eastAsia"/>
        </w:rPr>
        <w:t>、</w:t>
      </w:r>
      <w:r>
        <w:rPr>
          <w:i/>
        </w:rPr>
        <w:t>X</w:t>
      </w:r>
      <w:r>
        <w:rPr>
          <w:vertAlign w:val="subscript"/>
        </w:rPr>
        <w:t>3</w:t>
      </w:r>
      <w:r>
        <w:rPr>
          <w:rFonts w:hint="eastAsia"/>
        </w:rPr>
        <w:t>、</w:t>
      </w:r>
      <w:r>
        <w:rPr>
          <w:i/>
        </w:rPr>
        <w:t>X</w:t>
      </w:r>
      <w:r>
        <w:rPr>
          <w:vertAlign w:val="subscript"/>
        </w:rPr>
        <w:t>5</w:t>
      </w:r>
      <w:r>
        <w:rPr>
          <w:rFonts w:hint="eastAsia"/>
        </w:rPr>
        <w:t>的范围，使得它们的宽度足以观察到某些效应，但又不需要宽到涵盖所有的可能性。更大的范围可能包括大的二次</w:t>
      </w:r>
      <w:r>
        <w:t>(</w:t>
      </w:r>
      <w:r>
        <w:rPr>
          <w:rFonts w:hint="eastAsia"/>
        </w:rPr>
        <w:t>曲率</w:t>
      </w:r>
      <w:r>
        <w:t>)</w:t>
      </w:r>
      <w:r>
        <w:rPr>
          <w:rFonts w:hint="eastAsia"/>
        </w:rPr>
        <w:t>效应，这会掩盖主要的线性效应。见</w:t>
      </w:r>
      <w:r>
        <w:t>17.1.2.4.7</w:t>
      </w:r>
      <w:r>
        <w:rPr>
          <w:rFonts w:hint="eastAsia"/>
        </w:rPr>
        <w:t>。</w:t>
      </w:r>
    </w:p>
    <w:p>
      <w:pPr>
        <w:pStyle w:val="118"/>
        <w:ind w:left="0"/>
      </w:pPr>
      <w:r>
        <w:rPr>
          <w:rFonts w:hint="eastAsia"/>
        </w:rPr>
        <w:t>在没有任何关于交互作用的预先了解的情况下，实验设计宜允许对所有10个一阶相互作用进行估计:</w:t>
      </w:r>
    </w:p>
    <w:p>
      <w:pPr>
        <w:tabs>
          <w:tab w:val="left" w:pos="284"/>
          <w:tab w:val="left" w:pos="567"/>
        </w:tabs>
        <w:spacing w:before="156" w:beforeLines="50" w:after="156" w:afterLines="50" w:line="0" w:lineRule="atLeast"/>
        <w:ind w:firstLine="420"/>
      </w:pPr>
      <w:r>
        <w:t>—— GRADE.PLAS</w:t>
      </w:r>
    </w:p>
    <w:p>
      <w:pPr>
        <w:tabs>
          <w:tab w:val="left" w:pos="284"/>
          <w:tab w:val="left" w:pos="567"/>
        </w:tabs>
        <w:spacing w:before="156" w:beforeLines="50" w:after="156" w:afterLines="50" w:line="0" w:lineRule="atLeast"/>
        <w:ind w:firstLine="420" w:firstLineChars="200"/>
      </w:pPr>
      <w:r>
        <w:t>—— GRADE.PX</w:t>
      </w:r>
    </w:p>
    <w:p>
      <w:pPr>
        <w:tabs>
          <w:tab w:val="left" w:pos="284"/>
          <w:tab w:val="left" w:pos="567"/>
        </w:tabs>
        <w:spacing w:before="156" w:beforeLines="50" w:after="156" w:afterLines="50" w:line="0" w:lineRule="atLeast"/>
        <w:ind w:firstLine="420" w:firstLineChars="200"/>
      </w:pPr>
      <w:r>
        <w:t>—— GRADE.BLACK</w:t>
      </w:r>
    </w:p>
    <w:p>
      <w:pPr>
        <w:tabs>
          <w:tab w:val="left" w:pos="284"/>
          <w:tab w:val="left" w:pos="567"/>
        </w:tabs>
        <w:spacing w:before="156" w:beforeLines="50" w:after="156" w:afterLines="50" w:line="0" w:lineRule="atLeast"/>
        <w:ind w:firstLine="420" w:firstLineChars="200"/>
      </w:pPr>
      <w:r>
        <w:t>—— GRADE.BX</w:t>
      </w:r>
    </w:p>
    <w:p>
      <w:pPr>
        <w:tabs>
          <w:tab w:val="left" w:pos="284"/>
          <w:tab w:val="left" w:pos="567"/>
        </w:tabs>
        <w:spacing w:before="156" w:beforeLines="50" w:after="156" w:afterLines="50" w:line="0" w:lineRule="atLeast"/>
        <w:ind w:firstLine="420" w:firstLineChars="200"/>
      </w:pPr>
      <w:r>
        <w:t>—— PLAS.PX</w:t>
      </w:r>
    </w:p>
    <w:p>
      <w:pPr>
        <w:tabs>
          <w:tab w:val="left" w:pos="284"/>
          <w:tab w:val="left" w:pos="567"/>
        </w:tabs>
        <w:spacing w:before="156" w:beforeLines="50" w:after="156" w:afterLines="50" w:line="0" w:lineRule="atLeast"/>
        <w:ind w:firstLine="420" w:firstLineChars="200"/>
      </w:pPr>
      <w:r>
        <w:t>—— PLAS.BLACK</w:t>
      </w:r>
    </w:p>
    <w:p>
      <w:pPr>
        <w:tabs>
          <w:tab w:val="left" w:pos="284"/>
          <w:tab w:val="left" w:pos="567"/>
        </w:tabs>
        <w:spacing w:before="156" w:beforeLines="50" w:after="156" w:afterLines="50" w:line="0" w:lineRule="atLeast"/>
        <w:ind w:firstLine="420" w:firstLineChars="200"/>
      </w:pPr>
      <w:r>
        <w:t>—— PLAS.BX</w:t>
      </w:r>
    </w:p>
    <w:p>
      <w:pPr>
        <w:tabs>
          <w:tab w:val="left" w:pos="284"/>
          <w:tab w:val="left" w:pos="567"/>
        </w:tabs>
        <w:spacing w:before="156" w:beforeLines="50" w:after="156" w:afterLines="50" w:line="0" w:lineRule="atLeast"/>
        <w:ind w:firstLine="420" w:firstLineChars="200"/>
      </w:pPr>
      <w:r>
        <w:t>—— PX.BLACK</w:t>
      </w:r>
    </w:p>
    <w:p>
      <w:pPr>
        <w:tabs>
          <w:tab w:val="left" w:pos="284"/>
          <w:tab w:val="left" w:pos="567"/>
        </w:tabs>
        <w:spacing w:before="156" w:beforeLines="50" w:after="156" w:afterLines="50" w:line="0" w:lineRule="atLeast"/>
        <w:ind w:firstLine="420" w:firstLineChars="200"/>
      </w:pPr>
      <w:r>
        <w:t>—— PX.BX</w:t>
      </w:r>
    </w:p>
    <w:p>
      <w:pPr>
        <w:tabs>
          <w:tab w:val="left" w:pos="284"/>
          <w:tab w:val="left" w:pos="567"/>
        </w:tabs>
        <w:spacing w:before="156" w:beforeLines="50" w:after="156" w:afterLines="50" w:line="0" w:lineRule="atLeast"/>
        <w:ind w:firstLine="420" w:firstLineChars="200"/>
      </w:pPr>
      <w:r>
        <w:t>—— BLACK.BX</w:t>
      </w:r>
    </w:p>
    <w:p>
      <w:pPr>
        <w:tabs>
          <w:tab w:val="left" w:pos="284"/>
          <w:tab w:val="left" w:pos="567"/>
        </w:tabs>
        <w:spacing w:before="156" w:beforeLines="50" w:after="156" w:afterLines="50" w:line="0" w:lineRule="atLeast"/>
        <w:ind w:firstLine="420" w:firstLineChars="200"/>
      </w:pPr>
      <w:r>
        <w:t xml:space="preserve"> </w:t>
      </w:r>
      <w:r>
        <w:rPr>
          <w:rFonts w:hint="eastAsia"/>
        </w:rPr>
        <w:t>如果有更多的因素，就可以考虑根据早期实验的结果或对控制物理和化学的深刻认识来选择要包含的相互作用。</w:t>
      </w:r>
    </w:p>
    <w:p>
      <w:pPr>
        <w:tabs>
          <w:tab w:val="left" w:pos="284"/>
          <w:tab w:val="left" w:pos="567"/>
        </w:tabs>
        <w:spacing w:before="156" w:beforeLines="50" w:after="156" w:afterLines="50" w:line="0" w:lineRule="atLeast"/>
        <w:ind w:firstLine="420" w:firstLineChars="200"/>
      </w:pPr>
    </w:p>
    <w:p>
      <w:pPr>
        <w:pStyle w:val="118"/>
      </w:pPr>
      <w:r>
        <w:rPr>
          <w:rFonts w:hint="eastAsia"/>
        </w:rPr>
        <w:t>用</w:t>
      </w:r>
      <w:r>
        <w:rPr>
          <w:rFonts w:hint="eastAsia"/>
          <w:color w:val="FF0000"/>
        </w:rPr>
        <w:t>这些指标</w:t>
      </w:r>
      <w:r>
        <w:rPr>
          <w:rFonts w:hint="eastAsia"/>
        </w:rPr>
        <w:t>，生成表43所示的实验设计。</w:t>
      </w:r>
    </w:p>
    <w:p>
      <w:pPr>
        <w:pStyle w:val="127"/>
        <w:ind w:left="0"/>
      </w:pPr>
      <w:r>
        <w:rPr>
          <w:rFonts w:hint="eastAsia"/>
        </w:rPr>
        <w:t>丁腈橡胶混炼胶开发试验设计(全因子分析)</w:t>
      </w:r>
    </w:p>
    <w:tbl>
      <w:tblPr>
        <w:tblStyle w:val="33"/>
        <w:tblW w:w="5000" w:type="pct"/>
        <w:tblInd w:w="0" w:type="dxa"/>
        <w:tblLayout w:type="autofit"/>
        <w:tblCellMar>
          <w:top w:w="0" w:type="dxa"/>
          <w:left w:w="108" w:type="dxa"/>
          <w:bottom w:w="0" w:type="dxa"/>
          <w:right w:w="108" w:type="dxa"/>
        </w:tblCellMar>
      </w:tblPr>
      <w:tblGrid>
        <w:gridCol w:w="2000"/>
        <w:gridCol w:w="1514"/>
        <w:gridCol w:w="1514"/>
        <w:gridCol w:w="1514"/>
        <w:gridCol w:w="1514"/>
        <w:gridCol w:w="1514"/>
      </w:tblGrid>
      <w:tr>
        <w:tblPrEx>
          <w:tblCellMar>
            <w:top w:w="0" w:type="dxa"/>
            <w:left w:w="108" w:type="dxa"/>
            <w:bottom w:w="0" w:type="dxa"/>
            <w:right w:w="108" w:type="dxa"/>
          </w:tblCellMar>
        </w:tblPrEx>
        <w:trPr>
          <w:trHeight w:val="270" w:hRule="atLeast"/>
        </w:trPr>
        <w:tc>
          <w:tcPr>
            <w:tcW w:w="104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观察</w:t>
            </w:r>
          </w:p>
        </w:tc>
        <w:tc>
          <w:tcPr>
            <w:tcW w:w="79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GRADE </w:t>
            </w:r>
          </w:p>
        </w:tc>
        <w:tc>
          <w:tcPr>
            <w:tcW w:w="79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PLAS </w:t>
            </w:r>
          </w:p>
        </w:tc>
        <w:tc>
          <w:tcPr>
            <w:tcW w:w="79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PX </w:t>
            </w:r>
          </w:p>
        </w:tc>
        <w:tc>
          <w:tcPr>
            <w:tcW w:w="79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BLACK </w:t>
            </w:r>
          </w:p>
        </w:tc>
        <w:tc>
          <w:tcPr>
            <w:tcW w:w="79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BX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15.0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791"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bl>
    <w:p>
      <w:pPr>
        <w:pStyle w:val="23"/>
      </w:pPr>
    </w:p>
    <w:p>
      <w:pPr>
        <w:tabs>
          <w:tab w:val="left" w:pos="284"/>
          <w:tab w:val="left" w:pos="567"/>
        </w:tabs>
        <w:spacing w:before="156" w:beforeLines="50" w:after="156" w:afterLines="50"/>
        <w:ind w:firstLine="420" w:firstLineChars="200"/>
        <w:jc w:val="left"/>
        <w:rPr>
          <w:rFonts w:ascii="宋体" w:hAnsi="宋体"/>
        </w:rPr>
      </w:pPr>
      <w:r>
        <w:rPr>
          <w:rFonts w:ascii="宋体" w:hAnsi="宋体"/>
        </w:rPr>
        <w:t>这是一个全因</w:t>
      </w:r>
      <w:r>
        <w:rPr>
          <w:rFonts w:hint="eastAsia" w:ascii="宋体" w:hAnsi="宋体"/>
        </w:rPr>
        <w:t>素</w:t>
      </w:r>
      <w:r>
        <w:rPr>
          <w:rFonts w:ascii="宋体" w:hAnsi="宋体"/>
        </w:rPr>
        <w:t>分析（</w:t>
      </w:r>
      <w:r>
        <w:rPr>
          <w:rFonts w:hint="eastAsia" w:ascii="宋体" w:hAnsi="宋体"/>
        </w:rPr>
        <w:t>2</w:t>
      </w:r>
      <w:r>
        <w:rPr>
          <w:rFonts w:hint="eastAsia" w:ascii="宋体" w:hAnsi="宋体"/>
          <w:vertAlign w:val="superscript"/>
        </w:rPr>
        <w:t>5</w:t>
      </w:r>
      <w:r>
        <w:rPr>
          <w:rFonts w:hint="eastAsia" w:ascii="宋体" w:hAnsi="宋体"/>
        </w:rPr>
        <w:t>=32个观察</w:t>
      </w:r>
      <w:r>
        <w:rPr>
          <w:rFonts w:ascii="宋体" w:hAnsi="宋体"/>
        </w:rPr>
        <w:t>）。用</w:t>
      </w:r>
      <w:r>
        <w:rPr>
          <w:rFonts w:hint="eastAsia" w:ascii="宋体" w:hAnsi="宋体"/>
        </w:rPr>
        <w:t>选择较少的交互作用，16个观测值的1/2因素试验，甚至8个观测值的1/4因素试验，都是可能的。</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32个试样宜以随机顺序准备。它们宜按第二随机顺序进行耐流体</w:t>
      </w:r>
      <w:r>
        <w:rPr>
          <w:rFonts w:hint="eastAsia" w:ascii="宋体" w:hAnsi="宋体"/>
          <w:i/>
        </w:rPr>
        <w:t>Y</w:t>
      </w:r>
      <w:r>
        <w:rPr>
          <w:rFonts w:hint="eastAsia" w:ascii="宋体" w:hAnsi="宋体"/>
          <w:vertAlign w:val="subscript"/>
        </w:rPr>
        <w:t>1</w:t>
      </w:r>
      <w:r>
        <w:rPr>
          <w:rFonts w:hint="eastAsia" w:ascii="宋体" w:hAnsi="宋体"/>
        </w:rPr>
        <w:t>测试，按第三随机顺序进行脆性温度</w:t>
      </w:r>
      <w:r>
        <w:rPr>
          <w:rFonts w:hint="eastAsia" w:ascii="宋体" w:hAnsi="宋体"/>
          <w:i/>
        </w:rPr>
        <w:t>Y</w:t>
      </w:r>
      <w:r>
        <w:rPr>
          <w:rFonts w:hint="eastAsia" w:ascii="宋体" w:hAnsi="宋体"/>
          <w:vertAlign w:val="subscript"/>
        </w:rPr>
        <w:t>2</w:t>
      </w:r>
      <w:r>
        <w:rPr>
          <w:rFonts w:hint="eastAsia" w:ascii="宋体" w:hAnsi="宋体"/>
        </w:rPr>
        <w:t>测试。测量结果宜采用最小二乘回归分析进行分析。</w:t>
      </w:r>
    </w:p>
    <w:p>
      <w:pPr>
        <w:pStyle w:val="51"/>
        <w:spacing w:before="156" w:after="156"/>
      </w:pPr>
      <w:r>
        <w:rPr>
          <w:rFonts w:hint="eastAsia"/>
        </w:rPr>
        <w:t>两</w:t>
      </w:r>
      <w:r>
        <w:t>水平</w:t>
      </w:r>
      <w:r>
        <w:rPr>
          <w:rFonts w:hint="eastAsia"/>
        </w:rPr>
        <w:t>部分因素实验设计</w:t>
      </w:r>
    </w:p>
    <w:p>
      <w:pPr>
        <w:pStyle w:val="118"/>
        <w:ind w:left="0"/>
      </w:pPr>
      <w:r>
        <w:rPr>
          <w:rFonts w:hint="eastAsia"/>
        </w:rPr>
        <w:t>假设，根据以往的经验，仅一个相互作用（</w:t>
      </w:r>
      <w:r>
        <w:rPr>
          <w:rFonts w:cs="Arial"/>
          <w:sz w:val="20"/>
          <w:szCs w:val="20"/>
        </w:rPr>
        <w:t>PX.BX</w:t>
      </w:r>
      <w:r>
        <w:rPr>
          <w:rFonts w:hint="eastAsia"/>
        </w:rPr>
        <w:t>）被认为是有效的，且可用的预算迫使使用尽可能少的试验次数。我们进行了一个二水平部分因素试验设计，即四分之一因素试验。这如表44所示。</w:t>
      </w:r>
    </w:p>
    <w:p>
      <w:pPr>
        <w:pStyle w:val="118"/>
        <w:numPr>
          <w:ilvl w:val="0"/>
          <w:numId w:val="0"/>
        </w:numPr>
      </w:pPr>
    </w:p>
    <w:p>
      <w:pPr>
        <w:pStyle w:val="127"/>
        <w:ind w:left="0"/>
      </w:pPr>
      <w:r>
        <w:rPr>
          <w:rFonts w:hint="eastAsia"/>
        </w:rPr>
        <w:t>丁腈橡胶混炼胶开发试验设计(四分之一因素)</w:t>
      </w:r>
    </w:p>
    <w:tbl>
      <w:tblPr>
        <w:tblStyle w:val="33"/>
        <w:tblW w:w="5000" w:type="pct"/>
        <w:tblInd w:w="0" w:type="dxa"/>
        <w:tblLayout w:type="autofit"/>
        <w:tblCellMar>
          <w:top w:w="0" w:type="dxa"/>
          <w:left w:w="108" w:type="dxa"/>
          <w:bottom w:w="0" w:type="dxa"/>
          <w:right w:w="108" w:type="dxa"/>
        </w:tblCellMar>
      </w:tblPr>
      <w:tblGrid>
        <w:gridCol w:w="2000"/>
        <w:gridCol w:w="1514"/>
        <w:gridCol w:w="1514"/>
        <w:gridCol w:w="1514"/>
        <w:gridCol w:w="1514"/>
        <w:gridCol w:w="1514"/>
      </w:tblGrid>
      <w:tr>
        <w:tblPrEx>
          <w:tblCellMar>
            <w:top w:w="0" w:type="dxa"/>
            <w:left w:w="108" w:type="dxa"/>
            <w:bottom w:w="0" w:type="dxa"/>
            <w:right w:w="108" w:type="dxa"/>
          </w:tblCellMar>
        </w:tblPrEx>
        <w:trPr>
          <w:trHeight w:val="270" w:hRule="atLeast"/>
        </w:trPr>
        <w:tc>
          <w:tcPr>
            <w:tcW w:w="1045" w:type="pct"/>
            <w:tcBorders>
              <w:top w:val="single" w:color="auto" w:sz="4" w:space="0"/>
              <w:left w:val="single" w:color="auto" w:sz="4" w:space="0"/>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观察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GRADE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PLAS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PX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BLACK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BX </w:t>
            </w:r>
          </w:p>
        </w:tc>
      </w:tr>
      <w:tr>
        <w:tblPrEx>
          <w:tblCellMar>
            <w:top w:w="0" w:type="dxa"/>
            <w:left w:w="108" w:type="dxa"/>
            <w:bottom w:w="0" w:type="dxa"/>
            <w:right w:w="108" w:type="dxa"/>
          </w:tblCellMar>
        </w:tblPrEx>
        <w:trPr>
          <w:trHeight w:val="270" w:hRule="atLeast"/>
        </w:trPr>
        <w:tc>
          <w:tcPr>
            <w:tcW w:w="1045" w:type="pct"/>
            <w:tcBorders>
              <w:top w:val="single" w:color="auto" w:sz="4" w:space="0"/>
              <w:left w:val="single" w:color="auto" w:sz="4" w:space="0"/>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1</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10.0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single" w:color="auto" w:sz="4" w:space="0"/>
              <w:left w:val="single" w:color="auto" w:sz="4" w:space="0"/>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2</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15.0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2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single" w:color="auto" w:sz="4" w:space="0"/>
              <w:left w:val="single" w:color="auto" w:sz="4" w:space="0"/>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3</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2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10.0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2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single" w:color="auto" w:sz="4" w:space="0"/>
              <w:left w:val="single" w:color="auto" w:sz="4" w:space="0"/>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4</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2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15.0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single" w:color="auto" w:sz="4" w:space="0"/>
              <w:left w:val="single" w:color="auto" w:sz="4" w:space="0"/>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5</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2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2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10.0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2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single" w:color="auto" w:sz="4" w:space="0"/>
              <w:left w:val="single" w:color="auto" w:sz="4" w:space="0"/>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6</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2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2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15.0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30.0 </w:t>
            </w:r>
          </w:p>
        </w:tc>
      </w:tr>
      <w:tr>
        <w:tblPrEx>
          <w:tblCellMar>
            <w:top w:w="0" w:type="dxa"/>
            <w:left w:w="108" w:type="dxa"/>
            <w:bottom w:w="0" w:type="dxa"/>
            <w:right w:w="108" w:type="dxa"/>
          </w:tblCellMar>
        </w:tblPrEx>
        <w:trPr>
          <w:trHeight w:val="270" w:hRule="atLeast"/>
        </w:trPr>
        <w:tc>
          <w:tcPr>
            <w:tcW w:w="1045" w:type="pct"/>
            <w:tcBorders>
              <w:top w:val="single" w:color="auto" w:sz="4" w:space="0"/>
              <w:left w:val="single" w:color="auto" w:sz="4" w:space="0"/>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7</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2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10.0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40.0 </w:t>
            </w:r>
          </w:p>
        </w:tc>
      </w:tr>
      <w:tr>
        <w:tblPrEx>
          <w:tblCellMar>
            <w:top w:w="0" w:type="dxa"/>
            <w:left w:w="108" w:type="dxa"/>
            <w:bottom w:w="0" w:type="dxa"/>
            <w:right w:w="108" w:type="dxa"/>
          </w:tblCellMar>
        </w:tblPrEx>
        <w:trPr>
          <w:trHeight w:val="270" w:hRule="atLeast"/>
        </w:trPr>
        <w:tc>
          <w:tcPr>
            <w:tcW w:w="1045" w:type="pct"/>
            <w:tcBorders>
              <w:top w:val="single" w:color="auto" w:sz="4" w:space="0"/>
              <w:left w:val="single" w:color="auto" w:sz="4" w:space="0"/>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8</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2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15.0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2 </w:t>
            </w:r>
          </w:p>
        </w:tc>
        <w:tc>
          <w:tcPr>
            <w:tcW w:w="791" w:type="pct"/>
            <w:tcBorders>
              <w:top w:val="single" w:color="auto" w:sz="4" w:space="0"/>
              <w:left w:val="nil"/>
              <w:bottom w:val="single" w:color="auto" w:sz="4" w:space="0"/>
              <w:right w:val="single" w:color="auto" w:sz="4" w:space="0"/>
            </w:tcBorders>
            <w:noWrap/>
            <w:vAlign w:val="center"/>
          </w:tcPr>
          <w:p>
            <w:pPr>
              <w:pStyle w:val="23"/>
              <w:ind w:firstLine="360"/>
              <w:rPr>
                <w:rFonts w:hAnsi="宋体" w:cs="宋体"/>
                <w:color w:val="000000"/>
                <w:sz w:val="18"/>
                <w:szCs w:val="18"/>
              </w:rPr>
            </w:pPr>
            <w:r>
              <w:rPr>
                <w:rFonts w:hint="eastAsia" w:hAnsi="宋体" w:cs="宋体"/>
                <w:color w:val="000000"/>
                <w:sz w:val="18"/>
                <w:szCs w:val="18"/>
              </w:rPr>
              <w:t xml:space="preserve">40.0 </w:t>
            </w:r>
          </w:p>
        </w:tc>
      </w:tr>
    </w:tbl>
    <w:p>
      <w:pPr>
        <w:pStyle w:val="23"/>
        <w:ind w:firstLine="0" w:firstLineChars="0"/>
      </w:pPr>
    </w:p>
    <w:p>
      <w:pPr>
        <w:pStyle w:val="118"/>
        <w:ind w:left="0"/>
      </w:pPr>
      <w:r>
        <w:rPr>
          <w:rFonts w:hint="eastAsia"/>
        </w:rPr>
        <w:t>这是个小试验，四分之一因素试验，有两种风险：</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a) 可能存在指定的交互(PX.BX)之外的其他交互;</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b) 对误差分析和拟合模型的满意测试可能没有足够的信息。</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这些风险能够用来换取一个小实验的经济优势。</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作为选择，有两种方法处理这些风险:</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1) 可以引入更多的交互作用，从而生成一个1/2试验设计(16个观测);</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2) 可以复制该实验，每个观察点制作两个试样。</w:t>
      </w:r>
    </w:p>
    <w:p>
      <w:pPr>
        <w:pStyle w:val="51"/>
        <w:spacing w:before="156" w:after="156"/>
      </w:pPr>
      <w:r>
        <w:rPr>
          <w:rFonts w:hint="eastAsia"/>
        </w:rPr>
        <w:t>复合设计</w:t>
      </w:r>
    </w:p>
    <w:p>
      <w:pPr>
        <w:pStyle w:val="118"/>
        <w:ind w:left="0"/>
      </w:pPr>
      <w:r>
        <w:rPr>
          <w:rFonts w:hint="eastAsia"/>
        </w:rPr>
        <w:t>假设，在运行17.3.3.1或17.3.3.2指定的实验并分析结果后，表明两个响应变量的最佳值是通过使用增塑剂 DOP和炭黑N550得到的,增塑剂(PX)和炭黑(BX)都为高水平。在这一阶段，拟合二次响应函数的实验是合适的。</w:t>
      </w:r>
    </w:p>
    <w:p>
      <w:pPr>
        <w:pStyle w:val="64"/>
      </w:pPr>
      <w:r>
        <w:rPr>
          <w:rFonts w:hint="eastAsia"/>
        </w:rPr>
        <w:t>这两个响应变量是：</w:t>
      </w:r>
    </w:p>
    <w:p>
      <w:pPr>
        <w:tabs>
          <w:tab w:val="left" w:pos="284"/>
          <w:tab w:val="left" w:pos="567"/>
        </w:tabs>
        <w:ind w:left="420" w:leftChars="200" w:firstLine="360" w:firstLineChars="200"/>
        <w:jc w:val="left"/>
        <w:rPr>
          <w:rFonts w:ascii="宋体" w:hAnsi="宋体"/>
          <w:sz w:val="18"/>
          <w:szCs w:val="18"/>
        </w:rPr>
      </w:pPr>
      <w:r>
        <w:rPr>
          <w:rFonts w:hint="eastAsia" w:ascii="宋体" w:hAnsi="宋体"/>
          <w:sz w:val="18"/>
          <w:szCs w:val="18"/>
        </w:rPr>
        <w:t>1) 高耐流体性，以低体积溶胀度量；</w:t>
      </w:r>
    </w:p>
    <w:p>
      <w:pPr>
        <w:tabs>
          <w:tab w:val="left" w:pos="284"/>
          <w:tab w:val="left" w:pos="567"/>
        </w:tabs>
        <w:ind w:left="420" w:leftChars="200" w:firstLine="360" w:firstLineChars="200"/>
        <w:jc w:val="left"/>
        <w:rPr>
          <w:rFonts w:ascii="宋体" w:hAnsi="宋体"/>
          <w:sz w:val="18"/>
          <w:szCs w:val="18"/>
        </w:rPr>
      </w:pPr>
      <w:r>
        <w:rPr>
          <w:rFonts w:hint="eastAsia" w:ascii="宋体" w:hAnsi="宋体"/>
          <w:sz w:val="18"/>
          <w:szCs w:val="18"/>
        </w:rPr>
        <w:t>2) 低的脆性温度。</w:t>
      </w:r>
    </w:p>
    <w:p>
      <w:pPr>
        <w:pStyle w:val="118"/>
        <w:ind w:left="0"/>
      </w:pPr>
      <w:r>
        <w:rPr>
          <w:rFonts w:hint="eastAsia"/>
        </w:rPr>
        <w:t>进一步实验以发现最佳组合的规范在表45中给出。</w:t>
      </w:r>
    </w:p>
    <w:p>
      <w:pPr>
        <w:pStyle w:val="127"/>
        <w:spacing w:before="0" w:beforeLines="0" w:after="0" w:afterLines="0"/>
        <w:ind w:left="0"/>
      </w:pPr>
      <w:r>
        <w:rPr>
          <w:rFonts w:hint="eastAsia"/>
        </w:rPr>
        <w:t>丁腈橡胶混炼胶研发试验规范</w:t>
      </w:r>
    </w:p>
    <w:p>
      <w:pPr>
        <w:tabs>
          <w:tab w:val="left" w:pos="284"/>
          <w:tab w:val="left" w:pos="567"/>
        </w:tabs>
        <w:jc w:val="center"/>
        <w:rPr>
          <w:rFonts w:ascii="黑体" w:hAnsi="黑体" w:eastAsia="黑体"/>
        </w:rPr>
      </w:pPr>
      <w:r>
        <w:rPr>
          <w:rFonts w:hint="eastAsia" w:ascii="黑体" w:hAnsi="黑体" w:eastAsia="黑体"/>
        </w:rPr>
        <w:t>(二次响应函数)</w:t>
      </w:r>
    </w:p>
    <w:tbl>
      <w:tblPr>
        <w:tblStyle w:val="33"/>
        <w:tblW w:w="5000" w:type="pct"/>
        <w:tblInd w:w="0" w:type="dxa"/>
        <w:tblLayout w:type="autofit"/>
        <w:tblCellMar>
          <w:top w:w="0" w:type="dxa"/>
          <w:left w:w="108" w:type="dxa"/>
          <w:bottom w:w="0" w:type="dxa"/>
          <w:right w:w="108" w:type="dxa"/>
        </w:tblCellMar>
      </w:tblPr>
      <w:tblGrid>
        <w:gridCol w:w="2283"/>
        <w:gridCol w:w="1307"/>
        <w:gridCol w:w="1307"/>
        <w:gridCol w:w="1213"/>
        <w:gridCol w:w="2192"/>
        <w:gridCol w:w="1268"/>
      </w:tblGrid>
      <w:tr>
        <w:tblPrEx>
          <w:tblCellMar>
            <w:top w:w="0" w:type="dxa"/>
            <w:left w:w="108" w:type="dxa"/>
            <w:bottom w:w="0" w:type="dxa"/>
            <w:right w:w="108" w:type="dxa"/>
          </w:tblCellMar>
        </w:tblPrEx>
        <w:trPr>
          <w:trHeight w:val="270" w:hRule="atLeast"/>
        </w:trPr>
        <w:tc>
          <w:tcPr>
            <w:tcW w:w="1193"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变量</w:t>
            </w:r>
          </w:p>
        </w:tc>
        <w:tc>
          <w:tcPr>
            <w:tcW w:w="68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低</w:t>
            </w:r>
          </w:p>
        </w:tc>
        <w:tc>
          <w:tcPr>
            <w:tcW w:w="68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w:t>
            </w:r>
          </w:p>
        </w:tc>
        <w:tc>
          <w:tcPr>
            <w:tcW w:w="634"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增量</w:t>
            </w:r>
          </w:p>
        </w:tc>
        <w:tc>
          <w:tcPr>
            <w:tcW w:w="1145"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交互作用</w:t>
            </w:r>
          </w:p>
        </w:tc>
        <w:tc>
          <w:tcPr>
            <w:tcW w:w="66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二次项</w:t>
            </w:r>
          </w:p>
        </w:tc>
      </w:tr>
      <w:tr>
        <w:tblPrEx>
          <w:tblCellMar>
            <w:top w:w="0" w:type="dxa"/>
            <w:left w:w="108" w:type="dxa"/>
            <w:bottom w:w="0" w:type="dxa"/>
            <w:right w:w="108" w:type="dxa"/>
          </w:tblCellMar>
        </w:tblPrEx>
        <w:trPr>
          <w:trHeight w:val="270" w:hRule="atLeast"/>
        </w:trPr>
        <w:tc>
          <w:tcPr>
            <w:tcW w:w="119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GRADE </w:t>
            </w:r>
          </w:p>
        </w:tc>
        <w:tc>
          <w:tcPr>
            <w:tcW w:w="68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68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6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45"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GRADE.PX </w:t>
            </w:r>
          </w:p>
        </w:tc>
        <w:tc>
          <w:tcPr>
            <w:tcW w:w="66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(GRADE)</w:t>
            </w:r>
            <w:r>
              <w:rPr>
                <w:rFonts w:hint="eastAsia" w:ascii="宋体" w:hAnsi="宋体" w:cs="宋体"/>
                <w:color w:val="000000"/>
                <w:kern w:val="0"/>
                <w:sz w:val="18"/>
                <w:szCs w:val="18"/>
                <w:vertAlign w:val="superscript"/>
              </w:rPr>
              <w:t>2</w:t>
            </w:r>
            <w:r>
              <w:rPr>
                <w:rFonts w:hint="eastAsia" w:ascii="宋体" w:hAnsi="宋体" w:cs="宋体"/>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119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PX (用DOP) </w:t>
            </w:r>
          </w:p>
        </w:tc>
        <w:tc>
          <w:tcPr>
            <w:tcW w:w="68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68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6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45"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GRADE.BX </w:t>
            </w:r>
          </w:p>
        </w:tc>
        <w:tc>
          <w:tcPr>
            <w:tcW w:w="66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(PX)</w:t>
            </w:r>
            <w:r>
              <w:rPr>
                <w:rFonts w:hint="eastAsia" w:ascii="宋体" w:hAnsi="宋体" w:cs="宋体"/>
                <w:color w:val="000000"/>
                <w:kern w:val="0"/>
                <w:sz w:val="18"/>
                <w:szCs w:val="18"/>
                <w:vertAlign w:val="superscript"/>
              </w:rPr>
              <w:t>2</w:t>
            </w:r>
            <w:r>
              <w:rPr>
                <w:rFonts w:hint="eastAsia" w:ascii="宋体" w:hAnsi="宋体" w:cs="宋体"/>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1193"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BX (用 N550) </w:t>
            </w:r>
          </w:p>
        </w:tc>
        <w:tc>
          <w:tcPr>
            <w:tcW w:w="68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68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70</w:t>
            </w:r>
          </w:p>
        </w:tc>
        <w:tc>
          <w:tcPr>
            <w:tcW w:w="634"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45"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PX.BX </w:t>
            </w:r>
          </w:p>
        </w:tc>
        <w:tc>
          <w:tcPr>
            <w:tcW w:w="66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(BX)</w:t>
            </w:r>
            <w:r>
              <w:rPr>
                <w:rFonts w:hint="eastAsia" w:ascii="宋体" w:hAnsi="宋体" w:cs="宋体"/>
                <w:color w:val="000000"/>
                <w:kern w:val="0"/>
                <w:sz w:val="18"/>
                <w:szCs w:val="18"/>
                <w:vertAlign w:val="superscript"/>
              </w:rPr>
              <w:t>2</w:t>
            </w:r>
            <w:r>
              <w:rPr>
                <w:rFonts w:hint="eastAsia" w:ascii="宋体" w:hAnsi="宋体" w:cs="宋体"/>
                <w:color w:val="000000"/>
                <w:kern w:val="0"/>
                <w:sz w:val="18"/>
                <w:szCs w:val="18"/>
              </w:rPr>
              <w:t xml:space="preserve"> </w:t>
            </w:r>
          </w:p>
        </w:tc>
      </w:tr>
      <w:tr>
        <w:tblPrEx>
          <w:tblCellMar>
            <w:top w:w="0" w:type="dxa"/>
            <w:left w:w="108" w:type="dxa"/>
            <w:bottom w:w="0" w:type="dxa"/>
            <w:right w:w="108" w:type="dxa"/>
          </w:tblCellMar>
        </w:tblPrEx>
        <w:trPr>
          <w:trHeight w:val="270" w:hRule="atLeast"/>
        </w:trPr>
        <w:tc>
          <w:tcPr>
            <w:tcW w:w="5000" w:type="pct"/>
            <w:gridSpan w:val="6"/>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注：PX和BX按每百份橡胶的对应的份数（p.h.r）计量。</w:t>
            </w:r>
          </w:p>
        </w:tc>
      </w:tr>
    </w:tbl>
    <w:p>
      <w:pPr>
        <w:pStyle w:val="23"/>
      </w:pP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由此得到的复合设计在表4</w:t>
      </w:r>
      <w:r>
        <w:rPr>
          <w:rFonts w:ascii="宋体" w:hAnsi="宋体"/>
        </w:rPr>
        <w:t>6</w:t>
      </w:r>
      <w:r>
        <w:rPr>
          <w:rFonts w:hint="eastAsia" w:ascii="宋体" w:hAnsi="宋体"/>
        </w:rPr>
        <w:t>中给出。</w:t>
      </w:r>
    </w:p>
    <w:p>
      <w:pPr>
        <w:tabs>
          <w:tab w:val="left" w:pos="284"/>
          <w:tab w:val="left" w:pos="567"/>
        </w:tabs>
        <w:spacing w:before="156" w:beforeLines="50" w:after="156" w:afterLines="50"/>
        <w:ind w:firstLine="420" w:firstLineChars="200"/>
        <w:jc w:val="left"/>
        <w:rPr>
          <w:rFonts w:ascii="宋体" w:hAnsi="宋体"/>
        </w:rPr>
      </w:pPr>
    </w:p>
    <w:p>
      <w:pPr>
        <w:tabs>
          <w:tab w:val="left" w:pos="284"/>
          <w:tab w:val="left" w:pos="567"/>
        </w:tabs>
        <w:spacing w:before="156" w:beforeLines="50" w:after="156" w:afterLines="50"/>
        <w:ind w:firstLine="420" w:firstLineChars="200"/>
        <w:jc w:val="left"/>
        <w:rPr>
          <w:rFonts w:ascii="宋体" w:hAnsi="宋体"/>
        </w:rPr>
      </w:pPr>
    </w:p>
    <w:p>
      <w:pPr>
        <w:pStyle w:val="127"/>
        <w:spacing w:before="0" w:beforeLines="0" w:after="0" w:afterLines="0"/>
        <w:ind w:left="0"/>
      </w:pPr>
      <w:r>
        <w:rPr>
          <w:rFonts w:hint="eastAsia"/>
        </w:rPr>
        <w:t>丁腈橡胶混炼胶研发的试验设计</w:t>
      </w:r>
    </w:p>
    <w:p>
      <w:pPr>
        <w:tabs>
          <w:tab w:val="left" w:pos="284"/>
          <w:tab w:val="left" w:pos="567"/>
        </w:tabs>
        <w:jc w:val="center"/>
        <w:rPr>
          <w:rFonts w:ascii="黑体" w:hAnsi="黑体" w:eastAsia="黑体"/>
        </w:rPr>
      </w:pPr>
      <w:r>
        <w:rPr>
          <w:rFonts w:hint="eastAsia" w:ascii="黑体" w:hAnsi="黑体" w:eastAsia="黑体"/>
        </w:rPr>
        <w:t>(二次响应函数)</w:t>
      </w:r>
    </w:p>
    <w:tbl>
      <w:tblPr>
        <w:tblStyle w:val="33"/>
        <w:tblW w:w="5000" w:type="pct"/>
        <w:tblInd w:w="0" w:type="dxa"/>
        <w:tblLayout w:type="autofit"/>
        <w:tblCellMar>
          <w:top w:w="0" w:type="dxa"/>
          <w:left w:w="108" w:type="dxa"/>
          <w:bottom w:w="0" w:type="dxa"/>
          <w:right w:w="108" w:type="dxa"/>
        </w:tblCellMar>
      </w:tblPr>
      <w:tblGrid>
        <w:gridCol w:w="2392"/>
        <w:gridCol w:w="2392"/>
        <w:gridCol w:w="2393"/>
        <w:gridCol w:w="2393"/>
      </w:tblGrid>
      <w:tr>
        <w:tblPrEx>
          <w:tblCellMar>
            <w:top w:w="0" w:type="dxa"/>
            <w:left w:w="108" w:type="dxa"/>
            <w:bottom w:w="0" w:type="dxa"/>
            <w:right w:w="108" w:type="dxa"/>
          </w:tblCellMar>
        </w:tblPrEx>
        <w:trPr>
          <w:trHeight w:val="270" w:hRule="atLeast"/>
        </w:trPr>
        <w:tc>
          <w:tcPr>
            <w:tcW w:w="125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观察</w:t>
            </w:r>
          </w:p>
        </w:tc>
        <w:tc>
          <w:tcPr>
            <w:tcW w:w="125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GRADE </w:t>
            </w:r>
          </w:p>
        </w:tc>
        <w:tc>
          <w:tcPr>
            <w:tcW w:w="125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PX </w:t>
            </w:r>
          </w:p>
        </w:tc>
        <w:tc>
          <w:tcPr>
            <w:tcW w:w="125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BX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65.0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18.0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250" w:type="pct"/>
            <w:tcBorders>
              <w:top w:val="nil"/>
              <w:left w:val="nil"/>
              <w:bottom w:val="single" w:color="auto" w:sz="4" w:space="0"/>
              <w:right w:val="single" w:color="auto" w:sz="4" w:space="0"/>
            </w:tcBorders>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30.0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250" w:type="pct"/>
            <w:tcBorders>
              <w:top w:val="nil"/>
              <w:left w:val="nil"/>
              <w:bottom w:val="single" w:color="auto" w:sz="4" w:space="0"/>
              <w:right w:val="single" w:color="auto" w:sz="4" w:space="0"/>
            </w:tcBorders>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40.0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250" w:type="pct"/>
            <w:tcBorders>
              <w:top w:val="nil"/>
              <w:left w:val="nil"/>
              <w:bottom w:val="single" w:color="auto" w:sz="4" w:space="0"/>
              <w:right w:val="single" w:color="auto" w:sz="4" w:space="0"/>
            </w:tcBorders>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70.0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250" w:type="pct"/>
            <w:tcBorders>
              <w:top w:val="nil"/>
              <w:left w:val="nil"/>
              <w:bottom w:val="single" w:color="auto" w:sz="4" w:space="0"/>
              <w:right w:val="single" w:color="auto" w:sz="4" w:space="0"/>
            </w:tcBorders>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250" w:type="pct"/>
            <w:tcBorders>
              <w:top w:val="nil"/>
              <w:left w:val="nil"/>
              <w:bottom w:val="single" w:color="auto" w:sz="4" w:space="0"/>
              <w:right w:val="single" w:color="auto" w:sz="4" w:space="0"/>
            </w:tcBorders>
            <w:noWrap/>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24.0 </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55.0 </w:t>
            </w:r>
          </w:p>
        </w:tc>
      </w:tr>
    </w:tbl>
    <w:p>
      <w:pPr>
        <w:pStyle w:val="23"/>
      </w:pPr>
    </w:p>
    <w:p>
      <w:pPr>
        <w:pStyle w:val="118"/>
        <w:ind w:left="0"/>
      </w:pPr>
      <w:r>
        <w:rPr>
          <w:rFonts w:hint="eastAsia"/>
        </w:rPr>
        <w:t>根据这种设计进行的实验,对应每一个响应变量都将产生一组观察值(响应变量的测量值)，该值将允许拟合下列形式的模型:</w:t>
      </w:r>
    </w:p>
    <w:p>
      <w:pPr>
        <w:tabs>
          <w:tab w:val="left" w:pos="284"/>
          <w:tab w:val="left" w:pos="567"/>
        </w:tabs>
        <w:spacing w:before="156" w:beforeLines="50" w:after="156" w:afterLines="50"/>
        <w:ind w:firstLine="420" w:firstLineChars="200"/>
        <w:jc w:val="left"/>
        <w:rPr>
          <w:rFonts w:ascii="宋体" w:hAnsi="宋体"/>
        </w:rPr>
      </w:pPr>
      <m:oMath>
        <m:r>
          <m:rPr/>
          <w:rPr>
            <w:rFonts w:ascii="Cambria Math" w:hAnsi="Cambria Math"/>
          </w:rPr>
          <m:t>y</m:t>
        </m:r>
        <m:r>
          <m:rPr>
            <m:sty m:val="p"/>
          </m:rPr>
          <w:rPr>
            <w:rFonts w:ascii="Cambria Math" w:hAnsi="Cambria Math"/>
          </w:rPr>
          <m:t>=</m:t>
        </m:r>
        <m:r>
          <m:rPr/>
          <w:rPr>
            <w:rFonts w:ascii="Cambria Math" w:hAnsi="Cambria Math"/>
          </w:rPr>
          <m:t>a</m:t>
        </m:r>
        <m:r>
          <m:rPr>
            <m:sty m:val="p"/>
          </m:rPr>
          <w:rPr>
            <w:rFonts w:ascii="Cambria Math" w:hAnsi="Cambria Math"/>
          </w:rPr>
          <m:t>+</m:t>
        </m:r>
        <m:sSub>
          <m:sSubPr>
            <m:ctrlPr>
              <w:rPr>
                <w:rFonts w:ascii="Cambria Math" w:hAnsi="Cambria Math"/>
                <w:szCs w:val="22"/>
              </w:rPr>
            </m:ctrlPr>
          </m:sSubPr>
          <m:e>
            <m:r>
              <m:rPr/>
              <w:rPr>
                <w:rFonts w:ascii="Cambria Math" w:hAnsi="Cambria Math"/>
              </w:rPr>
              <m:t>b</m:t>
            </m:r>
            <m:ctrlPr>
              <w:rPr>
                <w:rFonts w:ascii="Cambria Math" w:hAnsi="Cambria Math"/>
                <w:szCs w:val="22"/>
              </w:rPr>
            </m:ctrlPr>
          </m:e>
          <m:sub>
            <m:r>
              <m:rPr/>
              <w:rPr>
                <w:rFonts w:ascii="Cambria Math" w:hAnsi="Cambria Math"/>
              </w:rPr>
              <m:t>1</m:t>
            </m:r>
            <m:ctrlPr>
              <w:rPr>
                <w:rFonts w:ascii="Cambria Math" w:hAnsi="Cambria Math"/>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b</m:t>
            </m:r>
            <m:ctrlPr>
              <w:rPr>
                <w:rFonts w:ascii="Cambria Math" w:hAnsi="Cambria Math"/>
                <w:i/>
                <w:szCs w:val="22"/>
              </w:rPr>
            </m:ctrlPr>
          </m:e>
          <m:sub>
            <m:r>
              <m:rPr/>
              <w:rPr>
                <w:rFonts w:ascii="Cambria Math" w:hAnsi="Cambria Math"/>
              </w:rPr>
              <m:t>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b</m:t>
            </m:r>
            <m:ctrlPr>
              <w:rPr>
                <w:rFonts w:ascii="Cambria Math" w:hAnsi="Cambria Math"/>
                <w:i/>
                <w:szCs w:val="22"/>
              </w:rPr>
            </m:ctrlPr>
          </m:e>
          <m:sub>
            <m:r>
              <m:rPr/>
              <w:rPr>
                <w:rFonts w:ascii="Cambria Math" w:hAnsi="Cambria Math"/>
              </w:rPr>
              <m:t>3</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3</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m:t>
            </m:r>
            <m:ctrlPr>
              <w:rPr>
                <w:rFonts w:ascii="Cambria Math" w:hAnsi="Cambria Math"/>
                <w:i/>
                <w:szCs w:val="22"/>
              </w:rPr>
            </m:ctrlPr>
          </m:sub>
        </m:sSub>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2</m:t>
            </m:r>
            <m:ctrlPr>
              <w:rPr>
                <w:rFonts w:ascii="Cambria Math" w:hAnsi="Cambria Math"/>
                <w:i/>
                <w:szCs w:val="22"/>
              </w:rPr>
            </m:ctrlPr>
          </m:sub>
        </m:sSub>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21</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3</m:t>
            </m:r>
            <m:ctrlPr>
              <w:rPr>
                <w:rFonts w:ascii="Cambria Math" w:hAnsi="Cambria Math"/>
                <w:i/>
                <w:szCs w:val="22"/>
              </w:rPr>
            </m:ctrlPr>
          </m:sub>
        </m:sSub>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3</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sSub>
          <m:sSubPr>
            <m:ctrlPr>
              <w:rPr>
                <w:rFonts w:ascii="Cambria Math" w:hAnsi="Cambria Math"/>
                <w:i/>
                <w:szCs w:val="22"/>
              </w:rPr>
            </m:ctrlPr>
          </m:sSubPr>
          <m:e>
            <m:r>
              <m:rPr/>
              <w:rPr>
                <w:rFonts w:ascii="Cambria Math" w:hAnsi="Cambria Math"/>
              </w:rPr>
              <m:t>d</m:t>
            </m:r>
            <m:ctrlPr>
              <w:rPr>
                <w:rFonts w:ascii="Cambria Math" w:hAnsi="Cambria Math"/>
                <w:i/>
                <w:szCs w:val="22"/>
              </w:rPr>
            </m:ctrlPr>
          </m:e>
          <m:sub>
            <m:r>
              <m:rPr/>
              <w:rPr>
                <w:rFonts w:ascii="Cambria Math" w:hAnsi="Cambria Math"/>
              </w:rPr>
              <m:t>1</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d</m:t>
            </m:r>
            <m:ctrlPr>
              <w:rPr>
                <w:rFonts w:ascii="Cambria Math" w:hAnsi="Cambria Math"/>
                <w:i/>
                <w:szCs w:val="22"/>
              </w:rPr>
            </m:ctrlPr>
          </m:e>
          <m:sub>
            <m:r>
              <m:rPr/>
              <w:rPr>
                <w:rFonts w:ascii="Cambria Math" w:hAnsi="Cambria Math"/>
              </w:rPr>
              <m:t>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3</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d</m:t>
            </m:r>
            <m:ctrlPr>
              <w:rPr>
                <w:rFonts w:ascii="Cambria Math" w:hAnsi="Cambria Math"/>
                <w:i/>
                <w:szCs w:val="22"/>
              </w:rPr>
            </m:ctrlPr>
          </m:e>
          <m:sub>
            <m:r>
              <m:rPr/>
              <w:rPr>
                <w:rFonts w:ascii="Cambria Math" w:hAnsi="Cambria Math"/>
              </w:rPr>
              <m:t>3</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3</m:t>
            </m:r>
            <m:ctrlPr>
              <w:rPr>
                <w:rFonts w:ascii="Cambria Math" w:hAnsi="Cambria Math"/>
                <w:i/>
                <w:szCs w:val="22"/>
              </w:rPr>
            </m:ctrlPr>
          </m:sub>
        </m:sSub>
      </m:oMath>
      <w:r>
        <w:rPr>
          <w:rFonts w:hint="eastAsia" w:ascii="宋体" w:hAnsi="宋体"/>
        </w:rPr>
        <w:t xml:space="preserve">          (91)</w:t>
      </w:r>
    </w:p>
    <w:p>
      <w:pPr>
        <w:pStyle w:val="64"/>
      </w:pPr>
      <w:r>
        <w:rPr>
          <w:rFonts w:hint="eastAsia"/>
        </w:rPr>
        <w:t>试样准备及测试以随机顺序进行。</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然后，这些拟合模型与基于响应变化分析的估计的置信度度量一起能够用来做出对最佳条件最接近的估计。</w:t>
      </w:r>
    </w:p>
    <w:p>
      <w:pPr>
        <w:pStyle w:val="45"/>
      </w:pPr>
      <w:bookmarkStart w:id="266" w:name="_Toc124173976"/>
      <w:r>
        <w:rPr>
          <w:rFonts w:hint="eastAsia"/>
        </w:rPr>
        <w:t>统计学质量控制</w:t>
      </w:r>
      <w:bookmarkEnd w:id="266"/>
    </w:p>
    <w:p>
      <w:pPr>
        <w:pStyle w:val="42"/>
      </w:pPr>
      <w:bookmarkStart w:id="267" w:name="_Toc124173977"/>
      <w:r>
        <w:rPr>
          <w:rFonts w:hint="eastAsia"/>
        </w:rPr>
        <w:t>原理</w:t>
      </w:r>
      <w:bookmarkEnd w:id="267"/>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任何产品(或服务)的质量变化都是不可避免的，但将统计原理应用到系统收集的产品数据上，可以做出决策和采取行动，从而大大减少产生的不合格品数量。在任何复杂的过程中，在制造过程的关键环节都会有几个质量控制阶段。每个阶段的原则都是一样的，即对过程进行监控，以便能够迅速发现不太可能偶然发生的偏差，并采取纠正措施，将过程恢复到统计控制中。</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抽样问题在第13章中处理。</w:t>
      </w:r>
    </w:p>
    <w:p>
      <w:pPr>
        <w:pStyle w:val="42"/>
      </w:pPr>
      <w:bookmarkStart w:id="268" w:name="_Toc124173978"/>
      <w:r>
        <w:rPr>
          <w:rFonts w:hint="eastAsia"/>
        </w:rPr>
        <w:t>方法</w:t>
      </w:r>
      <w:bookmarkEnd w:id="268"/>
    </w:p>
    <w:p>
      <w:pPr>
        <w:pStyle w:val="46"/>
        <w:spacing w:before="156" w:after="156"/>
      </w:pPr>
      <w:r>
        <w:rPr>
          <w:rFonts w:hint="eastAsia"/>
        </w:rPr>
        <w:t>概述</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由于可视化表达是处理在这种情况下获得的数据的较好方法，因此评估过程稳定性的最有效方法是使用图表。为此开发了几种类型的控制图。这一主题在致力于质量控制的书籍和标准文献中有广泛的涉及，因此在本标准中只给出了这种技术的概述。例如，应参考英国标准BS 5700、BS 5701、BS 5703，以及用于常规控制图的ISO 8258</w:t>
      </w:r>
      <w:r>
        <w:rPr>
          <w:rFonts w:hint="eastAsia" w:ascii="宋体" w:hAnsi="宋体"/>
          <w:color w:val="FF0000"/>
        </w:rPr>
        <w:t>（被ISO</w:t>
      </w:r>
      <w:r>
        <w:rPr>
          <w:rFonts w:ascii="宋体" w:hAnsi="宋体"/>
          <w:color w:val="FF0000"/>
        </w:rPr>
        <w:t xml:space="preserve"> 7870-2</w:t>
      </w:r>
      <w:r>
        <w:rPr>
          <w:rFonts w:hint="eastAsia" w:ascii="宋体" w:hAnsi="宋体"/>
          <w:color w:val="FF0000"/>
        </w:rPr>
        <w:t>:2013</w:t>
      </w:r>
      <w:r>
        <w:rPr>
          <w:rFonts w:ascii="宋体" w:hAnsi="宋体"/>
          <w:color w:val="FF0000"/>
        </w:rPr>
        <w:t>代替</w:t>
      </w:r>
      <w:r>
        <w:rPr>
          <w:rFonts w:hint="eastAsia" w:ascii="宋体" w:hAnsi="宋体"/>
          <w:color w:val="FF0000"/>
        </w:rPr>
        <w:t>）</w:t>
      </w:r>
      <w:r>
        <w:rPr>
          <w:rFonts w:hint="eastAsia" w:ascii="宋体" w:hAnsi="宋体"/>
        </w:rPr>
        <w:t>。</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控制图可以基于计数的也可以基于计量的。</w:t>
      </w:r>
    </w:p>
    <w:p>
      <w:pPr>
        <w:pStyle w:val="46"/>
        <w:spacing w:before="156" w:after="156"/>
      </w:pPr>
      <w:r>
        <w:rPr>
          <w:rFonts w:hint="eastAsia"/>
        </w:rPr>
        <w:t>计数控制图</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在一个特定的过程中，可以定期抽取一小部分样品，并根据商定的指标(或单指标)进行检查，如外观、尺寸和属性。检验的结果仅仅是样品中发现的不符合项的数量，适用于下列情况之一:</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a) 没有可以进行的客观测量(例如评估模制品的外观);</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b) 可做出通过/不通过的客观决定(例如，借助尺寸测量通止规)。</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通常是前述的不符合项数量对时间线或其他生产逻辑单位(例如，每500个项目)作图。BS 5701详细介绍了这类控制图。</w:t>
      </w:r>
    </w:p>
    <w:p>
      <w:pPr>
        <w:pStyle w:val="46"/>
        <w:spacing w:before="156" w:after="156"/>
      </w:pPr>
      <w:r>
        <w:rPr>
          <w:rFonts w:hint="eastAsia"/>
        </w:rPr>
        <w:t>计量控制图</w:t>
      </w:r>
    </w:p>
    <w:p>
      <w:pPr>
        <w:pStyle w:val="51"/>
        <w:spacing w:before="156" w:after="156"/>
      </w:pPr>
      <w:r>
        <w:rPr>
          <w:rFonts w:hint="eastAsia"/>
        </w:rPr>
        <w:t>概述</w:t>
      </w:r>
    </w:p>
    <w:p>
      <w:pPr>
        <w:tabs>
          <w:tab w:val="left" w:pos="284"/>
          <w:tab w:val="left" w:pos="567"/>
        </w:tabs>
        <w:spacing w:before="156" w:beforeLines="50" w:after="156" w:afterLines="50"/>
        <w:ind w:firstLine="420" w:firstLineChars="200"/>
        <w:rPr>
          <w:rFonts w:ascii="宋体" w:hAnsi="宋体"/>
        </w:rPr>
      </w:pPr>
      <w:r>
        <w:rPr>
          <w:rFonts w:hint="eastAsia" w:ascii="宋体" w:hAnsi="宋体"/>
        </w:rPr>
        <w:t>对于不符合品数量的计数，局限在于这并不表明产品有多么接近验收限。虽然应用这些方法相对较快，但它是一种全有或全无的方法。因此，通常期望能监视过程中正在发生的性能变化。</w:t>
      </w:r>
    </w:p>
    <w:p>
      <w:pPr>
        <w:pStyle w:val="51"/>
        <w:spacing w:before="156" w:after="156"/>
      </w:pPr>
      <w:r>
        <w:rPr>
          <w:rFonts w:hint="eastAsia"/>
        </w:rPr>
        <w:t>控制图</w:t>
      </w:r>
    </w:p>
    <w:p>
      <w:pPr>
        <w:pStyle w:val="118"/>
        <w:ind w:left="0"/>
      </w:pPr>
      <w:r>
        <w:rPr>
          <w:rFonts w:hint="eastAsia"/>
        </w:rPr>
        <w:t>例如，需要记录尺寸值，或测量物理性质，如抗拉强度，可采用以下步骤：</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a) 取少量的样件。</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b) 测定该属性的均值和极差(或标准差)。提供了正态分布的两个独立统计数据(见第6章)的均值和极差界定了在这个过程中所得到的分布。</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c) 以类似计数控制图的方式以均值和极差(或标准差)在时间线上作图。</w:t>
      </w:r>
    </w:p>
    <w:p>
      <w:pPr>
        <w:pStyle w:val="64"/>
      </w:pPr>
      <w:r>
        <w:rPr>
          <w:rFonts w:hint="eastAsia"/>
        </w:rPr>
        <w:t>由于样本中样件的数量通常是非常小(约为5个),</w:t>
      </w:r>
      <w:r>
        <w:rPr>
          <w:rFonts w:hint="eastAsia"/>
          <w:shd w:val="clear" w:color="auto" w:fill="FFFFFF"/>
        </w:rPr>
        <w:t xml:space="preserve"> </w:t>
      </w:r>
      <w:r>
        <w:rPr>
          <w:rStyle w:val="145"/>
          <w:rFonts w:hint="eastAsia" w:hAnsi="宋体" w:cs="Arial"/>
          <w:color w:val="000000"/>
          <w:shd w:val="clear" w:color="auto" w:fill="FFFFFF"/>
        </w:rPr>
        <w:t>因此使用极差作为分布的分散程度的度量通常比使用标准差方便得多(这些统计数据之间的关系在第6章中给出)。但是，标准差也可以用于相同的目的，如表47和图15中的示例所示。</w:t>
      </w:r>
    </w:p>
    <w:p>
      <w:pPr>
        <w:pStyle w:val="118"/>
        <w:ind w:left="0"/>
        <w:rPr>
          <w:szCs w:val="22"/>
        </w:rPr>
      </w:pPr>
      <w:r>
        <w:rPr>
          <w:rFonts w:hint="eastAsia"/>
        </w:rPr>
        <w:t>与警告和行动限等价的称为内部和外部控制限。对于均值图，它们都对称地偏离了平均线。通常选择的限值是那些应该提供以下内容的：</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a)对于内部控制限，一个给定均值，只有1/40的概率因纯粹偶然事件偏离过程均值；</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b)对于外部控制限，一个给定均值，只有1/1000的概率因纯粹偶然事件偏离过程均值。</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从正态分布曲线的性质(见6.2.1.1)可以看出，这些限值:</w:t>
      </w:r>
    </w:p>
    <w:p>
      <w:pPr>
        <w:tabs>
          <w:tab w:val="left" w:pos="284"/>
          <w:tab w:val="left" w:pos="567"/>
        </w:tabs>
        <w:spacing w:before="156" w:beforeLines="50" w:after="156" w:afterLines="50"/>
        <w:ind w:firstLine="420" w:firstLineChars="200"/>
        <w:jc w:val="left"/>
      </w:pPr>
      <w:r>
        <w:t>1) 对于内控限，</w:t>
      </w:r>
      <m:oMath>
        <m:r>
          <m:rPr>
            <m:sty m:val="p"/>
          </m:rPr>
          <w:rPr>
            <w:rFonts w:ascii="Cambria Math" w:hAnsi="Cambria Math"/>
          </w:rPr>
          <m:t xml:space="preserve">±1.96 </m:t>
        </m:r>
        <m:r>
          <m:rPr/>
          <w:rPr>
            <w:rFonts w:ascii="Cambria Math" w:hAnsi="Cambria Math"/>
          </w:rPr>
          <m:t>s</m:t>
        </m:r>
        <m:r>
          <m:rPr>
            <m:sty m:val="p"/>
          </m:rPr>
          <w:rPr>
            <w:rFonts w:hint="eastAsia" w:ascii="Cambria Math" w:hAnsi="Cambria Math"/>
          </w:rPr>
          <m:t>/</m:t>
        </m:r>
        <m:rad>
          <m:radPr>
            <m:degHide m:val="1"/>
            <m:ctrlPr>
              <w:rPr>
                <w:rFonts w:hint="eastAsia" w:ascii="Cambria Math" w:hAnsi="Cambria Math"/>
                <w:color w:val="FF0000"/>
              </w:rPr>
            </m:ctrlPr>
          </m:radPr>
          <m:deg>
            <m:ctrlPr>
              <w:rPr>
                <w:rFonts w:hint="eastAsia" w:ascii="Cambria Math" w:hAnsi="Cambria Math"/>
                <w:color w:val="FF0000"/>
              </w:rPr>
            </m:ctrlPr>
          </m:deg>
          <m:e>
            <m:r>
              <m:rPr/>
              <w:rPr>
                <w:rFonts w:ascii="Cambria Math" w:hAnsi="Cambria Math"/>
                <w:color w:val="FF0000"/>
              </w:rPr>
              <m:t>n</m:t>
            </m:r>
            <m:ctrlPr>
              <w:rPr>
                <w:rFonts w:hint="eastAsia" w:ascii="Cambria Math" w:hAnsi="Cambria Math"/>
                <w:color w:val="FF0000"/>
              </w:rPr>
            </m:ctrlPr>
          </m:e>
        </m:rad>
      </m:oMath>
      <w:r>
        <w:rPr>
          <w:rFonts w:hint="eastAsia"/>
        </w:rPr>
        <w:t>;</w:t>
      </w:r>
    </w:p>
    <w:p>
      <w:pPr>
        <w:tabs>
          <w:tab w:val="left" w:pos="284"/>
          <w:tab w:val="left" w:pos="567"/>
        </w:tabs>
        <w:spacing w:before="156" w:beforeLines="50" w:after="156" w:afterLines="50"/>
        <w:ind w:firstLine="420" w:firstLineChars="200"/>
        <w:jc w:val="left"/>
      </w:pPr>
      <w:r>
        <w:t>2) 对于外控限，±</w:t>
      </w:r>
      <w:r>
        <w:rPr>
          <w:color w:val="FF0000"/>
          <w:highlight w:val="yellow"/>
        </w:rPr>
        <w:t>3.09</w:t>
      </w:r>
      <w:r>
        <w:rPr>
          <w:i/>
        </w:rPr>
        <w:t xml:space="preserve"> s</w:t>
      </w:r>
      <w:r>
        <w:t>/</w:t>
      </w:r>
      <m:oMath>
        <m:rad>
          <m:radPr>
            <m:degHide m:val="1"/>
            <m:ctrlPr>
              <w:rPr>
                <w:rFonts w:ascii="Cambria Math" w:hAnsi="Cambria Math"/>
                <w:i/>
                <w:color w:val="FF0000"/>
              </w:rPr>
            </m:ctrlPr>
          </m:radPr>
          <m:deg>
            <m:ctrlPr>
              <w:rPr>
                <w:rFonts w:ascii="Cambria Math" w:hAnsi="Cambria Math"/>
                <w:i/>
                <w:color w:val="FF0000"/>
              </w:rPr>
            </m:ctrlPr>
          </m:deg>
          <m:e>
            <m:r>
              <m:rPr/>
              <w:rPr>
                <w:rFonts w:ascii="Cambria Math" w:hAnsi="Cambria Math"/>
                <w:color w:val="FF0000"/>
              </w:rPr>
              <m:t>n</m:t>
            </m:r>
            <m:ctrlPr>
              <w:rPr>
                <w:rFonts w:ascii="Cambria Math" w:hAnsi="Cambria Math"/>
                <w:i/>
                <w:color w:val="FF0000"/>
              </w:rPr>
            </m:ctrlPr>
          </m:e>
        </m:rad>
      </m:oMath>
      <w:r>
        <w:t>。</w:t>
      </w:r>
    </w:p>
    <w:p>
      <w:pPr>
        <w:tabs>
          <w:tab w:val="left" w:pos="284"/>
          <w:tab w:val="left" w:pos="567"/>
        </w:tabs>
        <w:spacing w:before="156" w:beforeLines="50" w:after="156" w:afterLines="50"/>
        <w:ind w:firstLine="630" w:firstLineChars="300"/>
        <w:jc w:val="left"/>
        <w:rPr>
          <w:rFonts w:ascii="宋体" w:hAnsi="宋体"/>
        </w:rPr>
      </w:pPr>
      <w:r>
        <w:rPr>
          <w:rFonts w:hint="eastAsia" w:ascii="宋体" w:hAnsi="宋体"/>
        </w:rPr>
        <w:t>其中：</w:t>
      </w:r>
    </w:p>
    <w:p>
      <w:pPr>
        <w:tabs>
          <w:tab w:val="left" w:pos="284"/>
          <w:tab w:val="left" w:pos="567"/>
        </w:tabs>
        <w:spacing w:before="156" w:beforeLines="50" w:after="156" w:afterLines="50"/>
        <w:ind w:left="630" w:leftChars="300" w:firstLine="420" w:firstLineChars="200"/>
        <w:jc w:val="left"/>
      </w:pPr>
      <w:r>
        <w:rPr>
          <w:i/>
        </w:rPr>
        <w:t>s</w:t>
      </w:r>
      <w:r>
        <w:t>为单个样件结果分布的标准差；</w:t>
      </w:r>
    </w:p>
    <w:p>
      <w:pPr>
        <w:tabs>
          <w:tab w:val="left" w:pos="284"/>
          <w:tab w:val="left" w:pos="567"/>
        </w:tabs>
        <w:spacing w:before="156" w:beforeLines="50" w:after="156" w:afterLines="50"/>
        <w:ind w:left="630" w:leftChars="300" w:firstLine="420" w:firstLineChars="200"/>
        <w:jc w:val="left"/>
      </w:pPr>
      <w:r>
        <w:rPr>
          <w:i/>
        </w:rPr>
        <w:t>n</w:t>
      </w:r>
      <w:r>
        <w:t>是每次抽取的样件数量(例如5)，以提供绘制在图表上的平均值。</w:t>
      </w:r>
    </w:p>
    <w:p>
      <w:pPr>
        <w:tabs>
          <w:tab w:val="left" w:pos="284"/>
          <w:tab w:val="left" w:pos="567"/>
        </w:tabs>
        <w:spacing w:before="156" w:beforeLines="50" w:after="156" w:afterLines="50"/>
        <w:ind w:firstLine="420" w:firstLineChars="200"/>
        <w:jc w:val="left"/>
      </w:pPr>
      <w:r>
        <w:t>为了简单起见，这些数值系数有时被2和3代替，对所涉及的概率值几乎没有什么实际的影响。然而，与许多统计情况一样，为方便起见，会被用到的适当</w:t>
      </w:r>
      <w:r>
        <w:rPr>
          <w:rFonts w:hint="eastAsia"/>
        </w:rPr>
        <w:t>系数</w:t>
      </w:r>
      <w:r>
        <w:t>已制成表格，并可在英国标准BS 600中找到。</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在极差(或标准差)图中，控制限没有对称地放置在均值周围(极差不能是负的，因此，它本身在数字上是不对称的)。BS 600还提供了适用于构建控制限所必需的系数。</w:t>
      </w:r>
    </w:p>
    <w:p>
      <w:pPr>
        <w:pStyle w:val="51"/>
        <w:spacing w:before="156" w:after="156"/>
      </w:pPr>
      <w:r>
        <w:rPr>
          <w:rFonts w:hint="eastAsia"/>
        </w:rPr>
        <w:t>累积和控制图</w:t>
      </w:r>
    </w:p>
    <w:p>
      <w:pPr>
        <w:pStyle w:val="118"/>
        <w:ind w:left="0"/>
        <w:rPr>
          <w:rFonts w:ascii="Times New Roman"/>
        </w:rPr>
      </w:pPr>
      <w:r>
        <w:rPr>
          <w:rFonts w:ascii="Times New Roman"/>
        </w:rPr>
        <w:t>传统的</w:t>
      </w:r>
      <w:r>
        <w:rPr>
          <w:rFonts w:hint="eastAsia" w:ascii="Times New Roman"/>
        </w:rPr>
        <w:t>常规</w:t>
      </w:r>
      <w:r>
        <w:rPr>
          <w:rFonts w:ascii="Times New Roman"/>
        </w:rPr>
        <w:t>控制图（shewhart control charts）的另一种选择是累积和(cusum)控制图，其中不是按性能均值对时间作图，而是按均值和目标值之间的累积差对时间作图。</w:t>
      </w:r>
    </w:p>
    <w:p>
      <w:pPr>
        <w:pStyle w:val="118"/>
        <w:ind w:left="0"/>
        <w:rPr>
          <w:rFonts w:ascii="Times New Roman"/>
        </w:rPr>
      </w:pPr>
      <w:r>
        <w:rPr>
          <w:rFonts w:ascii="Times New Roman"/>
        </w:rPr>
        <w:t>例如，考虑一组性能值</w:t>
      </w:r>
      <w:r>
        <w:rPr>
          <w:rFonts w:ascii="Times New Roman"/>
          <w:i/>
        </w:rPr>
        <w:t>y</w:t>
      </w:r>
      <w:r>
        <w:rPr>
          <w:rFonts w:ascii="Times New Roman"/>
          <w:i/>
          <w:vertAlign w:val="subscript"/>
        </w:rPr>
        <w:t>i</w:t>
      </w:r>
      <w:r>
        <w:rPr>
          <w:rFonts w:ascii="Times New Roman"/>
        </w:rPr>
        <w:t>，表示正生产产品的硬度，其中</w:t>
      </w:r>
      <w:r>
        <w:rPr>
          <w:rFonts w:ascii="Times New Roman"/>
          <w:i/>
        </w:rPr>
        <w:t>i</w:t>
      </w:r>
      <w:r>
        <w:rPr>
          <w:rFonts w:ascii="Times New Roman"/>
        </w:rPr>
        <w:t>的每个值都与生产的逻辑</w:t>
      </w:r>
      <w:r>
        <w:rPr>
          <w:rFonts w:hint="eastAsia" w:ascii="Times New Roman"/>
        </w:rPr>
        <w:t>的持续</w:t>
      </w:r>
      <w:r>
        <w:rPr>
          <w:rFonts w:ascii="Times New Roman"/>
        </w:rPr>
        <w:t>特征相关。这可能是下列之一：</w:t>
      </w:r>
    </w:p>
    <w:p>
      <w:pPr>
        <w:tabs>
          <w:tab w:val="left" w:pos="284"/>
          <w:tab w:val="left" w:pos="567"/>
        </w:tabs>
        <w:spacing w:before="156" w:beforeLines="50" w:after="156" w:afterLines="50"/>
        <w:ind w:firstLine="420" w:firstLineChars="200"/>
        <w:jc w:val="left"/>
      </w:pPr>
      <w:r>
        <w:t>a) 每生产200件产品中五件样件的平均硬度;</w:t>
      </w:r>
    </w:p>
    <w:p>
      <w:pPr>
        <w:tabs>
          <w:tab w:val="left" w:pos="284"/>
          <w:tab w:val="left" w:pos="567"/>
        </w:tabs>
        <w:spacing w:before="156" w:beforeLines="50" w:after="156" w:afterLines="50"/>
        <w:ind w:firstLine="420" w:firstLineChars="200"/>
        <w:jc w:val="left"/>
      </w:pPr>
      <w:r>
        <w:t>b) 每隔4h取五件样件的平均硬度。</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再考虑要求的规定硬度。为</w:t>
      </w:r>
      <w:r>
        <w:rPr>
          <w:rFonts w:ascii="宋体" w:hAnsi="宋体"/>
        </w:rPr>
        <w:t>方便将</w:t>
      </w:r>
      <w:r>
        <w:rPr>
          <w:rFonts w:hint="eastAsia" w:ascii="宋体" w:hAnsi="宋体"/>
        </w:rPr>
        <w:t>其设为目标值</w:t>
      </w:r>
      <w:r>
        <w:rPr>
          <w:rFonts w:hint="eastAsia" w:ascii="宋体" w:hAnsi="宋体"/>
          <w:i/>
        </w:rPr>
        <w:t>T</w:t>
      </w:r>
      <w:r>
        <w:rPr>
          <w:rFonts w:hint="eastAsia" w:ascii="宋体" w:hAnsi="宋体"/>
        </w:rPr>
        <w:t>。根据得到的一系列</w:t>
      </w:r>
      <w:r>
        <w:rPr>
          <w:i/>
        </w:rPr>
        <w:t>y</w:t>
      </w:r>
      <w:r>
        <w:rPr>
          <w:i/>
          <w:vertAlign w:val="subscript"/>
        </w:rPr>
        <w:t>i</w:t>
      </w:r>
      <w:r>
        <w:rPr>
          <w:rFonts w:hint="eastAsia" w:ascii="宋体" w:hAnsi="宋体"/>
        </w:rPr>
        <w:t>值，对应的累积和值按</w:t>
      </w:r>
      <w:r>
        <w:rPr>
          <w:rFonts w:ascii="宋体" w:hAnsi="宋体"/>
        </w:rPr>
        <w:t>式（</w:t>
      </w:r>
      <w:r>
        <w:rPr>
          <w:rFonts w:hint="eastAsia" w:ascii="宋体" w:hAnsi="宋体"/>
        </w:rPr>
        <w:t>92）计算：</w:t>
      </w:r>
    </w:p>
    <w:p>
      <w:pPr>
        <w:tabs>
          <w:tab w:val="left" w:pos="284"/>
          <w:tab w:val="left" w:pos="567"/>
        </w:tabs>
        <w:spacing w:before="156" w:beforeLines="50" w:after="156" w:afterLines="50"/>
        <w:ind w:firstLine="420" w:firstLineChars="200"/>
        <w:jc w:val="left"/>
        <w:rPr>
          <w:rFonts w:ascii="宋体" w:hAnsi="宋体"/>
        </w:rPr>
      </w:pPr>
      <m:oMath>
        <m:sSub>
          <m:sSubPr>
            <m:ctrlPr>
              <w:rPr>
                <w:rFonts w:ascii="Cambria Math" w:hAnsi="Cambria Math"/>
                <w:szCs w:val="22"/>
              </w:rPr>
            </m:ctrlPr>
          </m:sSubPr>
          <m:e>
            <m:r>
              <m:rPr/>
              <w:rPr>
                <w:rFonts w:ascii="Cambria Math" w:hAnsi="Cambria Math"/>
              </w:rPr>
              <m:t>C</m:t>
            </m:r>
            <m:ctrlPr>
              <w:rPr>
                <w:rFonts w:ascii="Cambria Math" w:hAnsi="Cambria Math"/>
                <w:szCs w:val="22"/>
              </w:rPr>
            </m:ctrlPr>
          </m:e>
          <m:sub>
            <m:r>
              <m:rPr/>
              <w:rPr>
                <w:rFonts w:ascii="Cambria Math" w:hAnsi="Cambria Math"/>
              </w:rPr>
              <m:t>i</m:t>
            </m:r>
            <m:ctrlPr>
              <w:rPr>
                <w:rFonts w:ascii="Cambria Math" w:hAnsi="Cambria Math"/>
                <w:szCs w:val="22"/>
              </w:rPr>
            </m:ctrlPr>
          </m:sub>
        </m:sSub>
        <m:r>
          <m:rPr/>
          <w:rPr>
            <w:rFonts w:ascii="Cambria Math" w:hAnsi="Cambria Math"/>
          </w:rPr>
          <m:t>=</m:t>
        </m:r>
        <m:nary>
          <m:naryPr>
            <m:chr m:val="∑"/>
            <m:limLoc m:val="undOvr"/>
            <m:ctrlPr>
              <w:rPr>
                <w:rFonts w:ascii="Cambria Math" w:hAnsi="Cambria Math"/>
                <w:i/>
                <w:szCs w:val="22"/>
              </w:rPr>
            </m:ctrlPr>
          </m:naryPr>
          <m:sub>
            <m:r>
              <m:rPr/>
              <w:rPr>
                <w:rFonts w:ascii="Cambria Math" w:hAnsi="Cambria Math"/>
              </w:rPr>
              <m:t>j=1</m:t>
            </m:r>
            <m:ctrlPr>
              <w:rPr>
                <w:rFonts w:ascii="Cambria Math" w:hAnsi="Cambria Math"/>
                <w:i/>
                <w:szCs w:val="22"/>
              </w:rPr>
            </m:ctrlPr>
          </m:sub>
          <m:sup>
            <m:r>
              <m:rPr/>
              <w:rPr>
                <w:rFonts w:ascii="Cambria Math" w:hAnsi="Cambria Math"/>
              </w:rPr>
              <m:t>i</m:t>
            </m:r>
            <m:ctrlPr>
              <w:rPr>
                <w:rFonts w:ascii="Cambria Math" w:hAnsi="Cambria Math"/>
                <w:i/>
                <w:szCs w:val="22"/>
              </w:rPr>
            </m:ctrlPr>
          </m:sup>
          <m:e>
            <m:d>
              <m:dPr>
                <m:ctrlPr>
                  <w:rPr>
                    <w:rFonts w:ascii="Cambria Math" w:hAnsi="Cambria Math"/>
                    <w:i/>
                    <w:szCs w:val="22"/>
                  </w:rPr>
                </m:ctrlPr>
              </m:dPr>
              <m:e>
                <m:sSub>
                  <m:sSubPr>
                    <m:ctrlPr>
                      <w:rPr>
                        <w:rFonts w:ascii="Cambria Math" w:hAnsi="Cambria Math"/>
                        <w:i/>
                        <w:szCs w:val="22"/>
                      </w:rPr>
                    </m:ctrlPr>
                  </m:sSubPr>
                  <m:e>
                    <m:r>
                      <m:rPr/>
                      <w:rPr>
                        <w:rFonts w:ascii="Cambria Math" w:hAnsi="Cambria Math"/>
                      </w:rPr>
                      <m:t>y</m:t>
                    </m:r>
                    <m:ctrlPr>
                      <w:rPr>
                        <w:rFonts w:ascii="Cambria Math" w:hAnsi="Cambria Math"/>
                        <w:i/>
                        <w:szCs w:val="22"/>
                      </w:rPr>
                    </m:ctrlPr>
                  </m:e>
                  <m:sub>
                    <m:r>
                      <m:rPr/>
                      <w:rPr>
                        <w:rFonts w:ascii="Cambria Math" w:hAnsi="Cambria Math"/>
                      </w:rPr>
                      <m:t>j</m:t>
                    </m:r>
                    <m:ctrlPr>
                      <w:rPr>
                        <w:rFonts w:ascii="Cambria Math" w:hAnsi="Cambria Math"/>
                        <w:i/>
                        <w:szCs w:val="22"/>
                      </w:rPr>
                    </m:ctrlPr>
                  </m:sub>
                </m:sSub>
                <m:r>
                  <m:rPr/>
                  <w:rPr>
                    <w:rFonts w:ascii="Cambria Math" w:hAnsi="Cambria Math"/>
                  </w:rPr>
                  <m:t>−T</m:t>
                </m:r>
                <m:ctrlPr>
                  <w:rPr>
                    <w:rFonts w:ascii="Cambria Math" w:hAnsi="Cambria Math"/>
                    <w:i/>
                    <w:szCs w:val="22"/>
                  </w:rPr>
                </m:ctrlPr>
              </m:e>
            </m:d>
            <m:ctrlPr>
              <w:rPr>
                <w:rFonts w:ascii="Cambria Math" w:hAnsi="Cambria Math"/>
                <w:i/>
                <w:szCs w:val="22"/>
              </w:rPr>
            </m:ctrlPr>
          </m:e>
        </m:nary>
      </m:oMath>
      <w:r>
        <w:rPr>
          <w:rFonts w:hint="eastAsia" w:ascii="宋体" w:hAnsi="宋体"/>
        </w:rPr>
        <w:t xml:space="preserve">                                                   (92)</w:t>
      </w:r>
    </w:p>
    <w:p>
      <w:pPr>
        <w:tabs>
          <w:tab w:val="left" w:pos="284"/>
          <w:tab w:val="left" w:pos="567"/>
        </w:tabs>
        <w:spacing w:before="156" w:beforeLines="50" w:after="156" w:afterLines="50"/>
        <w:ind w:firstLine="420" w:firstLineChars="200"/>
        <w:jc w:val="left"/>
      </w:pPr>
      <w:r>
        <w:t>然后，</w:t>
      </w:r>
      <w:r>
        <w:rPr>
          <w:i/>
        </w:rPr>
        <w:t>C</w:t>
      </w:r>
      <w:r>
        <w:rPr>
          <w:i/>
          <w:vertAlign w:val="subscript"/>
        </w:rPr>
        <w:t>i</w:t>
      </w:r>
      <w:r>
        <w:t>值代替</w:t>
      </w:r>
      <w:r>
        <w:rPr>
          <w:i/>
        </w:rPr>
        <w:t>y</w:t>
      </w:r>
      <w:r>
        <w:rPr>
          <w:i/>
          <w:vertAlign w:val="subscript"/>
        </w:rPr>
        <w:t>i</w:t>
      </w:r>
      <w:r>
        <w:t>对</w:t>
      </w:r>
      <w:r>
        <w:rPr>
          <w:i/>
        </w:rPr>
        <w:t>i</w:t>
      </w:r>
      <w:r>
        <w:t>作图。</w:t>
      </w:r>
    </w:p>
    <w:p>
      <w:pPr>
        <w:pStyle w:val="118"/>
        <w:ind w:left="0"/>
      </w:pPr>
      <w:r>
        <w:rPr>
          <w:rFonts w:hint="eastAsia"/>
        </w:rPr>
        <w:t>累积技术的强大之处在于，当累积线的斜率发生变化时，可以很容易地检测到工艺平均性能的变化。生产材料的工艺：</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——在要求的目标值产生水平累积线；</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——在要求目标值之上产生倾斜偏离水平的累积线，且斜率为正；</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——在持续低于目标值产生负斜率累积线。</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如果要对所研究的工艺进行优化，则需要谨慎地选择要使用的目标值和应用于累积图刻度的比例系数。</w:t>
      </w:r>
    </w:p>
    <w:p>
      <w:pPr>
        <w:pStyle w:val="118"/>
      </w:pPr>
      <w:r>
        <w:rPr>
          <w:rFonts w:hint="eastAsia"/>
        </w:rPr>
        <w:t>这些图表可以定量地用于对工艺进行决策，就像控制图表中使用的控制界限一样。但此类细节超出本文件的范围，建议参考如BS 5703-1至BS 5703-3等。</w:t>
      </w:r>
    </w:p>
    <w:p>
      <w:pPr>
        <w:pStyle w:val="42"/>
      </w:pPr>
      <w:bookmarkStart w:id="269" w:name="_Toc124173979"/>
      <w:r>
        <w:rPr>
          <w:rFonts w:hint="eastAsia"/>
        </w:rPr>
        <w:t>在橡胶试验中的应用</w:t>
      </w:r>
      <w:bookmarkEnd w:id="269"/>
    </w:p>
    <w:p>
      <w:pPr>
        <w:pStyle w:val="46"/>
        <w:spacing w:before="156" w:after="156"/>
      </w:pPr>
      <w:r>
        <w:rPr>
          <w:rFonts w:hint="eastAsia"/>
        </w:rPr>
        <w:t>概述</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图表是评估橡胶生产过程中质量水平的一个简单而有力的工具。</w:t>
      </w:r>
    </w:p>
    <w:p>
      <w:pPr>
        <w:pStyle w:val="46"/>
        <w:spacing w:before="156" w:after="156"/>
      </w:pPr>
      <w:r>
        <w:rPr>
          <w:rFonts w:hint="eastAsia"/>
        </w:rPr>
        <w:t>控制图</w:t>
      </w:r>
    </w:p>
    <w:p>
      <w:pPr>
        <w:pStyle w:val="113"/>
      </w:pPr>
      <w:r>
        <w:rPr>
          <w:rFonts w:hint="eastAsia"/>
        </w:rPr>
        <w:t>每生产200个橡胶衬套，就测定5个接连生产的橡胶衬套的硬度，其规定值为(60±5)</w:t>
      </w:r>
      <w:r>
        <w:t xml:space="preserve"> </w:t>
      </w:r>
      <w:r>
        <w:rPr>
          <w:rFonts w:hint="eastAsia"/>
        </w:rPr>
        <w:t>IRHD，并绘制平均硬度与序号的关系图。根据整体(工艺)平均值和标准差（已发现它们分别为59.5 IRHD和1.2 IRHD）计算出工艺的限值:</w:t>
      </w:r>
    </w:p>
    <w:p>
      <w:pPr>
        <w:tabs>
          <w:tab w:val="left" w:pos="284"/>
          <w:tab w:val="left" w:pos="567"/>
        </w:tabs>
        <w:spacing w:before="156" w:beforeLines="50" w:after="156" w:afterLines="50"/>
        <w:ind w:firstLine="420" w:firstLineChars="200"/>
        <w:jc w:val="left"/>
        <w:rPr>
          <w:color w:val="FF0000"/>
        </w:rPr>
      </w:pPr>
      <w:r>
        <w:rPr>
          <w:rFonts w:hint="eastAsia" w:ascii="宋体" w:hAnsi="宋体"/>
        </w:rPr>
        <w:t>a) 对于内控限为 60.6 IRHD 和 58.4 IRHD;</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b) 对于外控制限为61.</w:t>
      </w:r>
      <w:r>
        <w:rPr>
          <w:rFonts w:ascii="宋体" w:hAnsi="宋体"/>
        </w:rPr>
        <w:t>2</w:t>
      </w:r>
      <w:r>
        <w:rPr>
          <w:rFonts w:hint="eastAsia" w:ascii="宋体" w:hAnsi="宋体"/>
        </w:rPr>
        <w:t xml:space="preserve"> IRHD和57.</w:t>
      </w:r>
      <w:r>
        <w:rPr>
          <w:rFonts w:ascii="宋体" w:hAnsi="宋体"/>
        </w:rPr>
        <w:t>8</w:t>
      </w:r>
      <w:r>
        <w:rPr>
          <w:rFonts w:hint="eastAsia" w:ascii="宋体" w:hAnsi="宋体"/>
        </w:rPr>
        <w:t xml:space="preserve"> IRHD。</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表47给出了得到的结果。</w:t>
      </w:r>
    </w:p>
    <w:p>
      <w:pPr>
        <w:pStyle w:val="127"/>
        <w:ind w:left="0"/>
      </w:pPr>
      <w:r>
        <w:rPr>
          <w:rFonts w:hint="eastAsia"/>
        </w:rPr>
        <w:t>硬度结果</w:t>
      </w:r>
    </w:p>
    <w:tbl>
      <w:tblPr>
        <w:tblStyle w:val="33"/>
        <w:tblW w:w="5000" w:type="pct"/>
        <w:tblInd w:w="0" w:type="dxa"/>
        <w:tblLayout w:type="autofit"/>
        <w:tblCellMar>
          <w:top w:w="0" w:type="dxa"/>
          <w:left w:w="108" w:type="dxa"/>
          <w:bottom w:w="0" w:type="dxa"/>
          <w:right w:w="108" w:type="dxa"/>
        </w:tblCellMar>
      </w:tblPr>
      <w:tblGrid>
        <w:gridCol w:w="3190"/>
        <w:gridCol w:w="3191"/>
        <w:gridCol w:w="3189"/>
      </w:tblGrid>
      <w:tr>
        <w:tblPrEx>
          <w:tblCellMar>
            <w:top w:w="0" w:type="dxa"/>
            <w:left w:w="108" w:type="dxa"/>
            <w:bottom w:w="0" w:type="dxa"/>
            <w:right w:w="108" w:type="dxa"/>
          </w:tblCellMar>
        </w:tblPrEx>
        <w:trPr>
          <w:trHeight w:val="270" w:hRule="atLeast"/>
        </w:trPr>
        <w:tc>
          <w:tcPr>
            <w:tcW w:w="1667"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序号</w:t>
            </w:r>
          </w:p>
        </w:tc>
        <w:tc>
          <w:tcPr>
            <w:tcW w:w="1667" w:type="pct"/>
            <w:tcBorders>
              <w:top w:val="single" w:color="auto" w:sz="4" w:space="0"/>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rFonts w:hint="eastAsia"/>
                <w:color w:val="000000"/>
                <w:kern w:val="0"/>
                <w:sz w:val="18"/>
                <w:szCs w:val="18"/>
              </w:rPr>
              <w:t>平均硬度</w:t>
            </w:r>
          </w:p>
          <w:p>
            <w:pPr>
              <w:widowControl/>
              <w:spacing w:line="0" w:lineRule="atLeast"/>
              <w:jc w:val="center"/>
              <w:rPr>
                <w:color w:val="000000"/>
                <w:kern w:val="0"/>
                <w:sz w:val="18"/>
                <w:szCs w:val="18"/>
              </w:rPr>
            </w:pPr>
            <w:r>
              <w:rPr>
                <w:color w:val="000000"/>
                <w:kern w:val="0"/>
                <w:sz w:val="18"/>
                <w:szCs w:val="18"/>
              </w:rPr>
              <w:t xml:space="preserve">IRHD </w:t>
            </w:r>
          </w:p>
        </w:tc>
        <w:tc>
          <w:tcPr>
            <w:tcW w:w="1667" w:type="pct"/>
            <w:tcBorders>
              <w:top w:val="single" w:color="auto" w:sz="4" w:space="0"/>
              <w:left w:val="nil"/>
              <w:bottom w:val="single" w:color="auto" w:sz="4" w:space="0"/>
              <w:right w:val="single" w:color="auto" w:sz="4" w:space="0"/>
            </w:tcBorders>
            <w:noWrap/>
            <w:vAlign w:val="center"/>
          </w:tcPr>
          <w:p>
            <w:pPr>
              <w:widowControl/>
              <w:spacing w:line="0" w:lineRule="atLeast"/>
              <w:jc w:val="center"/>
              <w:rPr>
                <w:color w:val="000000"/>
                <w:kern w:val="0"/>
                <w:sz w:val="18"/>
                <w:szCs w:val="18"/>
              </w:rPr>
            </w:pPr>
            <w:r>
              <w:rPr>
                <w:rFonts w:hint="eastAsia"/>
                <w:color w:val="000000"/>
                <w:kern w:val="0"/>
                <w:sz w:val="18"/>
                <w:szCs w:val="18"/>
              </w:rPr>
              <w:t>标准差</w:t>
            </w:r>
          </w:p>
          <w:p>
            <w:pPr>
              <w:widowControl/>
              <w:spacing w:line="0" w:lineRule="atLeast"/>
              <w:jc w:val="center"/>
              <w:rPr>
                <w:color w:val="000000"/>
                <w:kern w:val="0"/>
                <w:sz w:val="18"/>
                <w:szCs w:val="18"/>
              </w:rPr>
            </w:pPr>
            <w:r>
              <w:rPr>
                <w:color w:val="000000"/>
                <w:kern w:val="0"/>
                <w:sz w:val="18"/>
                <w:szCs w:val="18"/>
              </w:rPr>
              <w:t xml:space="preserve">IRHD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59.2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59.6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0.55 </w:t>
            </w:r>
          </w:p>
        </w:tc>
      </w:tr>
      <w:tr>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0.71 </w:t>
            </w:r>
          </w:p>
        </w:tc>
      </w:tr>
      <w:tr>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4</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60.2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0.84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5</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60.1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0.55 </w:t>
            </w:r>
          </w:p>
        </w:tc>
      </w:tr>
      <w:tr>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6</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0.71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7</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60.4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8</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0.00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9</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59.2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10</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59.8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11</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60.2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0.55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12</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58.6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0.55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13</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59.6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0.89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14</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59.6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0.55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15</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59.8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16</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59.8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17</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59.8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18</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0.00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19</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60.2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0.55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20</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0.71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21</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0.00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22</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60.5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0.00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23</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60.2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24</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0.71 </w:t>
            </w:r>
          </w:p>
        </w:tc>
      </w:tr>
      <w:tr>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25</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0.71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26</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60.2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27</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0.71 </w:t>
            </w:r>
          </w:p>
        </w:tc>
      </w:tr>
      <w:tr>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28</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60.0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0.71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29</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0.00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30</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58.8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31</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59.6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0.55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32</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59.6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0.55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33</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0.00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34</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59.4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0.55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35</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59.2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0.84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36</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59.2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37</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58.4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0.55 </w:t>
            </w:r>
          </w:p>
        </w:tc>
      </w:tr>
      <w:tr>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38</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58.4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0.55 </w:t>
            </w:r>
          </w:p>
        </w:tc>
      </w:tr>
      <w:tr>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39</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59.6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0.55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40</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58.8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0.84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41</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58.2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42</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59.2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43</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58.2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0.45 </w:t>
            </w:r>
          </w:p>
        </w:tc>
      </w:tr>
      <w:tr>
        <w:tblPrEx>
          <w:tblCellMar>
            <w:top w:w="0" w:type="dxa"/>
            <w:left w:w="108" w:type="dxa"/>
            <w:bottom w:w="0" w:type="dxa"/>
            <w:right w:w="108" w:type="dxa"/>
          </w:tblCellMar>
        </w:tblPrEx>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44</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57.0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0.71 </w:t>
            </w:r>
          </w:p>
        </w:tc>
      </w:tr>
      <w:tr>
        <w:trPr>
          <w:trHeight w:val="270" w:hRule="atLeast"/>
        </w:trPr>
        <w:tc>
          <w:tcPr>
            <w:tcW w:w="1667" w:type="pct"/>
            <w:tcBorders>
              <w:top w:val="nil"/>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45</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58.0 </w:t>
            </w:r>
          </w:p>
        </w:tc>
        <w:tc>
          <w:tcPr>
            <w:tcW w:w="166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 xml:space="preserve">0.00 </w:t>
            </w:r>
          </w:p>
        </w:tc>
      </w:tr>
    </w:tbl>
    <w:p>
      <w:pPr>
        <w:pStyle w:val="23"/>
      </w:pPr>
    </w:p>
    <w:p>
      <w:pPr>
        <w:pStyle w:val="113"/>
      </w:pPr>
      <w:r>
        <w:rPr>
          <w:rFonts w:hint="eastAsia"/>
        </w:rPr>
        <w:t>用这些结果得到的控制图示于图14。可以看出，尽管该工艺生产的衬套完全在规范范围内，但序号25之后的硬度读数有明显降低的趋势。当正在逼近下警告限和行动限时，就需要采取行动来纠正漂移</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图15所示的相应的标准差图显示，在绘制的范围内，一致性没有明显的损失。在这个图表中，低于行动下限的点都对应于标准差值0的情况。当试验参数中几乎没有区别时，就会出现这种情况，就像硬度的情况一样，读数只能为整数，5个读数的极差很容易为零。在这种情况下，常识应胜过盲目应用统计原则，不需要考虑采取纠正行动。</w:t>
      </w:r>
    </w:p>
    <w:p>
      <w:pPr>
        <w:pStyle w:val="23"/>
      </w:pPr>
      <w:r>
        <w:drawing>
          <wp:inline distT="0" distB="0" distL="0" distR="0">
            <wp:extent cx="5274945" cy="3828415"/>
            <wp:effectExtent l="0" t="0" r="1905" b="635"/>
            <wp:docPr id="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945" cy="3828415"/>
                    </a:xfrm>
                    <a:prstGeom prst="rect">
                      <a:avLst/>
                    </a:prstGeom>
                    <a:noFill/>
                    <a:ln>
                      <a:noFill/>
                    </a:ln>
                  </pic:spPr>
                </pic:pic>
              </a:graphicData>
            </a:graphic>
          </wp:inline>
        </w:drawing>
      </w:r>
    </w:p>
    <w:p>
      <w:pPr>
        <w:tabs>
          <w:tab w:val="left" w:pos="284"/>
          <w:tab w:val="left" w:pos="567"/>
        </w:tabs>
        <w:ind w:firstLine="360" w:firstLineChars="200"/>
        <w:jc w:val="left"/>
        <w:rPr>
          <w:sz w:val="18"/>
          <w:szCs w:val="18"/>
        </w:rPr>
      </w:pPr>
      <w:r>
        <w:rPr>
          <w:rFonts w:hint="eastAsia"/>
          <w:sz w:val="18"/>
          <w:szCs w:val="18"/>
        </w:rPr>
        <w:t>说明：</w:t>
      </w:r>
    </w:p>
    <w:p>
      <w:pPr>
        <w:tabs>
          <w:tab w:val="left" w:pos="284"/>
          <w:tab w:val="left" w:pos="567"/>
        </w:tabs>
        <w:ind w:left="420" w:leftChars="200" w:firstLine="360" w:firstLineChars="200"/>
        <w:jc w:val="left"/>
        <w:rPr>
          <w:sz w:val="18"/>
          <w:szCs w:val="18"/>
        </w:rPr>
      </w:pPr>
      <w:r>
        <w:rPr>
          <w:sz w:val="18"/>
          <w:szCs w:val="18"/>
        </w:rPr>
        <w:t>X——</w:t>
      </w:r>
      <w:r>
        <w:rPr>
          <w:rFonts w:hint="eastAsia"/>
          <w:sz w:val="18"/>
          <w:szCs w:val="18"/>
        </w:rPr>
        <w:t>序号；</w:t>
      </w:r>
    </w:p>
    <w:p>
      <w:pPr>
        <w:tabs>
          <w:tab w:val="left" w:pos="284"/>
          <w:tab w:val="left" w:pos="567"/>
        </w:tabs>
        <w:ind w:left="420" w:leftChars="200" w:firstLine="360" w:firstLineChars="200"/>
        <w:jc w:val="left"/>
        <w:rPr>
          <w:sz w:val="18"/>
          <w:szCs w:val="18"/>
        </w:rPr>
      </w:pPr>
      <w:r>
        <w:rPr>
          <w:sz w:val="18"/>
          <w:szCs w:val="18"/>
        </w:rPr>
        <w:t>Y——</w:t>
      </w:r>
      <w:r>
        <w:rPr>
          <w:rFonts w:hint="eastAsia"/>
          <w:sz w:val="18"/>
          <w:szCs w:val="18"/>
        </w:rPr>
        <w:t>均值。</w:t>
      </w:r>
    </w:p>
    <w:p>
      <w:pPr>
        <w:pStyle w:val="129"/>
        <w:rPr>
          <w:szCs w:val="22"/>
        </w:rPr>
      </w:pPr>
      <w:r>
        <w:rPr>
          <w:rFonts w:hint="eastAsia"/>
        </w:rPr>
        <w:t>平均硬度值的控制图</w:t>
      </w:r>
      <w:r>
        <w:rPr>
          <w:rFonts w:hint="eastAsia" w:ascii="宋体" w:hAnsi="宋体" w:eastAsia="宋体"/>
        </w:rPr>
        <w:t>（使用了表47的数据）</w:t>
      </w:r>
    </w:p>
    <w:p>
      <w:pPr>
        <w:pStyle w:val="23"/>
      </w:pPr>
      <w:r>
        <w:drawing>
          <wp:inline distT="0" distB="0" distL="0" distR="0">
            <wp:extent cx="5274945" cy="3616960"/>
            <wp:effectExtent l="0" t="0" r="1905" b="2540"/>
            <wp:docPr id="2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945" cy="3616960"/>
                    </a:xfrm>
                    <a:prstGeom prst="rect">
                      <a:avLst/>
                    </a:prstGeom>
                    <a:noFill/>
                    <a:ln>
                      <a:noFill/>
                    </a:ln>
                  </pic:spPr>
                </pic:pic>
              </a:graphicData>
            </a:graphic>
          </wp:inline>
        </w:drawing>
      </w:r>
    </w:p>
    <w:p>
      <w:pPr>
        <w:tabs>
          <w:tab w:val="left" w:pos="284"/>
          <w:tab w:val="left" w:pos="567"/>
        </w:tabs>
        <w:ind w:firstLine="360" w:firstLineChars="200"/>
        <w:jc w:val="left"/>
        <w:rPr>
          <w:sz w:val="18"/>
          <w:szCs w:val="18"/>
        </w:rPr>
      </w:pPr>
      <w:r>
        <w:rPr>
          <w:rFonts w:hint="eastAsia"/>
          <w:sz w:val="18"/>
          <w:szCs w:val="18"/>
        </w:rPr>
        <w:t>说明：</w:t>
      </w:r>
    </w:p>
    <w:p>
      <w:pPr>
        <w:tabs>
          <w:tab w:val="left" w:pos="284"/>
          <w:tab w:val="left" w:pos="567"/>
        </w:tabs>
        <w:ind w:left="420" w:leftChars="200" w:firstLine="360" w:firstLineChars="200"/>
        <w:jc w:val="left"/>
        <w:rPr>
          <w:sz w:val="18"/>
          <w:szCs w:val="18"/>
        </w:rPr>
      </w:pPr>
      <w:r>
        <w:rPr>
          <w:sz w:val="18"/>
          <w:szCs w:val="18"/>
        </w:rPr>
        <w:t>X——</w:t>
      </w:r>
      <w:r>
        <w:rPr>
          <w:rFonts w:hint="eastAsia"/>
          <w:sz w:val="18"/>
          <w:szCs w:val="18"/>
        </w:rPr>
        <w:t>序号；</w:t>
      </w:r>
    </w:p>
    <w:p>
      <w:pPr>
        <w:tabs>
          <w:tab w:val="left" w:pos="284"/>
          <w:tab w:val="left" w:pos="567"/>
        </w:tabs>
        <w:ind w:left="420" w:leftChars="200" w:firstLine="360" w:firstLineChars="200"/>
        <w:jc w:val="left"/>
        <w:rPr>
          <w:sz w:val="18"/>
          <w:szCs w:val="18"/>
        </w:rPr>
      </w:pPr>
      <w:r>
        <w:rPr>
          <w:sz w:val="18"/>
          <w:szCs w:val="18"/>
        </w:rPr>
        <w:t>Y——</w:t>
      </w:r>
      <w:r>
        <w:rPr>
          <w:rFonts w:hint="eastAsia"/>
          <w:sz w:val="18"/>
          <w:szCs w:val="18"/>
        </w:rPr>
        <w:t>标准偏差。</w:t>
      </w:r>
    </w:p>
    <w:p>
      <w:pPr>
        <w:pStyle w:val="129"/>
        <w:rPr>
          <w:szCs w:val="22"/>
        </w:rPr>
      </w:pPr>
      <w:r>
        <w:rPr>
          <w:rFonts w:hint="eastAsia"/>
        </w:rPr>
        <w:t>硬度标准偏差值的控制图</w:t>
      </w:r>
      <w:r>
        <w:rPr>
          <w:rFonts w:hint="eastAsia" w:ascii="宋体" w:hAnsi="宋体" w:eastAsia="宋体"/>
        </w:rPr>
        <w:t>（使用了表47的数据）</w:t>
      </w:r>
    </w:p>
    <w:p>
      <w:pPr>
        <w:pStyle w:val="46"/>
        <w:spacing w:before="156" w:after="156"/>
      </w:pPr>
      <w:r>
        <w:rPr>
          <w:rFonts w:hint="eastAsia"/>
        </w:rPr>
        <w:t>累积图</w:t>
      </w:r>
    </w:p>
    <w:p>
      <w:pPr>
        <w:pStyle w:val="113"/>
      </w:pPr>
      <w:r>
        <w:rPr>
          <w:rFonts w:hint="eastAsia"/>
        </w:rPr>
        <w:t>在制造</w:t>
      </w:r>
      <w:r>
        <w:rPr>
          <w:rFonts w:ascii="Times New Roman"/>
        </w:rPr>
        <w:t>O</w:t>
      </w:r>
      <w:r>
        <w:rPr>
          <w:rFonts w:hint="eastAsia"/>
        </w:rPr>
        <w:t>形环用混炼胶的过程中，每天取样一张试片，并根据ISO 37测定混炼胶的拉伸强度。最初，每个样本的平均强度被绘制成一个控制图(见图16)。规范要求拉伸强度至少为20 MPa，从一段时间内的观察来看，工艺平均值约为25 MPa，样本的变异系数为平均值的8%。看来一切都在控制之中。</w:t>
      </w:r>
    </w:p>
    <w:p>
      <w:pPr>
        <w:pStyle w:val="113"/>
      </w:pPr>
      <w:r>
        <w:rPr>
          <w:rFonts w:hint="eastAsia"/>
        </w:rPr>
        <w:t>但是，决定根据相同的数据绘制累积图，选择合适的目标值为25，因为这接近正常工艺的平均值，因此可以构建如表48所示的累积表。</w:t>
      </w:r>
    </w:p>
    <w:p>
      <w:pPr>
        <w:pStyle w:val="127"/>
        <w:ind w:left="0"/>
      </w:pPr>
      <w:r>
        <w:rPr>
          <w:rFonts w:hint="eastAsia"/>
        </w:rPr>
        <w:t>平均强度值的累积表</w:t>
      </w:r>
    </w:p>
    <w:tbl>
      <w:tblPr>
        <w:tblStyle w:val="33"/>
        <w:tblW w:w="5000" w:type="pct"/>
        <w:tblInd w:w="0" w:type="dxa"/>
        <w:tblLayout w:type="autofit"/>
        <w:tblCellMar>
          <w:top w:w="0" w:type="dxa"/>
          <w:left w:w="108" w:type="dxa"/>
          <w:bottom w:w="0" w:type="dxa"/>
          <w:right w:w="108" w:type="dxa"/>
        </w:tblCellMar>
      </w:tblPr>
      <w:tblGrid>
        <w:gridCol w:w="2392"/>
        <w:gridCol w:w="2392"/>
        <w:gridCol w:w="2393"/>
        <w:gridCol w:w="2393"/>
      </w:tblGrid>
      <w:tr>
        <w:tblPrEx>
          <w:tblCellMar>
            <w:top w:w="0" w:type="dxa"/>
            <w:left w:w="108" w:type="dxa"/>
            <w:bottom w:w="0" w:type="dxa"/>
            <w:right w:w="108" w:type="dxa"/>
          </w:tblCellMar>
        </w:tblPrEx>
        <w:trPr>
          <w:trHeight w:val="270" w:hRule="atLeast"/>
        </w:trPr>
        <w:tc>
          <w:tcPr>
            <w:tcW w:w="125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序号</w:t>
            </w:r>
          </w:p>
        </w:tc>
        <w:tc>
          <w:tcPr>
            <w:tcW w:w="125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平均强度 MPa </w:t>
            </w:r>
          </w:p>
        </w:tc>
        <w:tc>
          <w:tcPr>
            <w:tcW w:w="125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与目标值的偏差 </w:t>
            </w:r>
          </w:p>
        </w:tc>
        <w:tc>
          <w:tcPr>
            <w:tcW w:w="125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累积值</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0.0</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26.2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1.2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1.2</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-2.2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-1.0</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-1.4</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24.2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-2.2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22.2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-4.0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-4.0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-3.4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-3.8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-2.2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24.2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-3.0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-3.0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25.2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0.2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0.2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22.2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-2.6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18</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-5.2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-7.2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-7.8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-9.4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22.2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-12.2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23</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-12.6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-11.2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25</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-10.8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26</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-13.2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27</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23.2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-15.0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29</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23.8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-1.2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-16.2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-17.2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31</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-16.4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-16.8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33</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-15.8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-13.2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35</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25.6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0.6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-12.6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36</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-11.2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37</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-9.4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-7.6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39</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27.8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-4.8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40</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-5.8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3.0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-2.8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42</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26.8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1.8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-1.0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43</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3.4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2.4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28.0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3.0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5.4 </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24.0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-1.0 </w:t>
            </w:r>
          </w:p>
        </w:tc>
        <w:tc>
          <w:tcPr>
            <w:tcW w:w="1250" w:type="pct"/>
            <w:tcBorders>
              <w:top w:val="nil"/>
              <w:left w:val="nil"/>
              <w:bottom w:val="single" w:color="auto" w:sz="4" w:space="0"/>
              <w:right w:val="single" w:color="auto" w:sz="4" w:space="0"/>
            </w:tcBorders>
            <w:noWrap/>
            <w:vAlign w:val="center"/>
          </w:tcPr>
          <w:p>
            <w:pPr>
              <w:widowControl/>
              <w:ind w:right="840" w:rightChars="400"/>
              <w:jc w:val="right"/>
              <w:rPr>
                <w:rFonts w:ascii="宋体" w:hAnsi="宋体" w:cs="宋体"/>
                <w:color w:val="000000"/>
                <w:kern w:val="0"/>
                <w:sz w:val="18"/>
                <w:szCs w:val="18"/>
              </w:rPr>
            </w:pPr>
            <w:r>
              <w:rPr>
                <w:rFonts w:hint="eastAsia" w:ascii="宋体" w:hAnsi="宋体" w:cs="宋体"/>
                <w:color w:val="000000"/>
                <w:kern w:val="0"/>
                <w:sz w:val="18"/>
                <w:szCs w:val="18"/>
              </w:rPr>
              <w:t xml:space="preserve">4.4 </w:t>
            </w:r>
          </w:p>
        </w:tc>
      </w:tr>
    </w:tbl>
    <w:p>
      <w:pPr>
        <w:pStyle w:val="113"/>
      </w:pPr>
      <w:r>
        <w:rPr>
          <w:rFonts w:hint="eastAsia"/>
        </w:rPr>
        <w:t>累积图在图17中给出。很明显，大约到序号15这一合理的稳定区间后，平均拉伸强度开始下降，直到序号30附近的某个点，强度开始明显增加。对批记录的检查很可能会显示出工艺在序号15和30附近的一些特征性变化，如使用新批次的炭黑或配料操作员。请注意，累积图中的这些明显趋势在正常控制图中一点也不明显，在正常控制图中，个体样本对样本的差异往往掩盖了已经发生的更微小的潜在变化。</w:t>
      </w:r>
    </w:p>
    <w:p>
      <w:pPr>
        <w:pStyle w:val="23"/>
      </w:pPr>
      <w:r>
        <w:drawing>
          <wp:inline distT="0" distB="0" distL="0" distR="0">
            <wp:extent cx="5267960" cy="3834765"/>
            <wp:effectExtent l="0" t="0" r="8890" b="0"/>
            <wp:docPr id="2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67960" cy="3834765"/>
                    </a:xfrm>
                    <a:prstGeom prst="rect">
                      <a:avLst/>
                    </a:prstGeom>
                    <a:noFill/>
                    <a:ln>
                      <a:noFill/>
                    </a:ln>
                  </pic:spPr>
                </pic:pic>
              </a:graphicData>
            </a:graphic>
          </wp:inline>
        </w:drawing>
      </w:r>
    </w:p>
    <w:p>
      <w:pPr>
        <w:tabs>
          <w:tab w:val="left" w:pos="284"/>
          <w:tab w:val="left" w:pos="567"/>
        </w:tabs>
        <w:ind w:firstLine="360" w:firstLineChars="200"/>
        <w:jc w:val="left"/>
        <w:rPr>
          <w:sz w:val="18"/>
          <w:szCs w:val="18"/>
        </w:rPr>
      </w:pPr>
      <w:r>
        <w:rPr>
          <w:rFonts w:hint="eastAsia"/>
          <w:sz w:val="18"/>
          <w:szCs w:val="18"/>
        </w:rPr>
        <w:t>说明：</w:t>
      </w:r>
    </w:p>
    <w:p>
      <w:pPr>
        <w:tabs>
          <w:tab w:val="left" w:pos="284"/>
          <w:tab w:val="left" w:pos="567"/>
        </w:tabs>
        <w:ind w:left="420" w:leftChars="200" w:firstLine="360" w:firstLineChars="200"/>
        <w:jc w:val="left"/>
        <w:rPr>
          <w:sz w:val="18"/>
          <w:szCs w:val="18"/>
        </w:rPr>
      </w:pPr>
      <w:r>
        <w:rPr>
          <w:sz w:val="18"/>
          <w:szCs w:val="18"/>
        </w:rPr>
        <w:t>X——</w:t>
      </w:r>
      <w:r>
        <w:rPr>
          <w:rFonts w:hint="eastAsia"/>
          <w:sz w:val="18"/>
          <w:szCs w:val="18"/>
        </w:rPr>
        <w:t>序号；</w:t>
      </w:r>
    </w:p>
    <w:p>
      <w:pPr>
        <w:tabs>
          <w:tab w:val="left" w:pos="284"/>
          <w:tab w:val="left" w:pos="567"/>
        </w:tabs>
        <w:ind w:left="420" w:leftChars="200" w:firstLine="360" w:firstLineChars="200"/>
        <w:jc w:val="left"/>
        <w:rPr>
          <w:sz w:val="18"/>
          <w:szCs w:val="18"/>
        </w:rPr>
      </w:pPr>
      <w:r>
        <w:rPr>
          <w:sz w:val="18"/>
          <w:szCs w:val="18"/>
        </w:rPr>
        <w:t>Y——</w:t>
      </w:r>
      <w:r>
        <w:rPr>
          <w:rFonts w:hint="eastAsia"/>
          <w:sz w:val="18"/>
          <w:szCs w:val="18"/>
        </w:rPr>
        <w:t>均值。</w:t>
      </w:r>
    </w:p>
    <w:p>
      <w:pPr>
        <w:pStyle w:val="129"/>
        <w:spacing w:before="0" w:beforeLines="0" w:after="0" w:afterLines="0"/>
        <w:rPr>
          <w:szCs w:val="22"/>
        </w:rPr>
      </w:pPr>
      <w:r>
        <w:rPr>
          <w:rFonts w:hint="eastAsia"/>
        </w:rPr>
        <w:t>平均拉伸强度控制图</w:t>
      </w:r>
    </w:p>
    <w:p>
      <w:pPr>
        <w:tabs>
          <w:tab w:val="left" w:pos="284"/>
          <w:tab w:val="left" w:pos="567"/>
        </w:tabs>
        <w:ind w:firstLine="420" w:firstLineChars="200"/>
        <w:jc w:val="center"/>
        <w:rPr>
          <w:rFonts w:ascii="黑体" w:hAnsi="黑体" w:eastAsia="黑体"/>
        </w:rPr>
      </w:pPr>
      <w:r>
        <w:rPr>
          <w:rFonts w:hint="eastAsia" w:ascii="宋体" w:hAnsi="宋体"/>
        </w:rPr>
        <w:t>（使用了表48的数据，忽略了行动限和警告限）</w:t>
      </w:r>
    </w:p>
    <w:p>
      <w:pPr>
        <w:pStyle w:val="23"/>
      </w:pPr>
      <w:r>
        <w:drawing>
          <wp:inline distT="0" distB="0" distL="0" distR="0">
            <wp:extent cx="5274945" cy="3814445"/>
            <wp:effectExtent l="0" t="0" r="1905" b="0"/>
            <wp:docPr id="2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4945" cy="3814445"/>
                    </a:xfrm>
                    <a:prstGeom prst="rect">
                      <a:avLst/>
                    </a:prstGeom>
                    <a:noFill/>
                    <a:ln>
                      <a:noFill/>
                    </a:ln>
                  </pic:spPr>
                </pic:pic>
              </a:graphicData>
            </a:graphic>
          </wp:inline>
        </w:drawing>
      </w:r>
    </w:p>
    <w:p>
      <w:pPr>
        <w:tabs>
          <w:tab w:val="left" w:pos="284"/>
          <w:tab w:val="left" w:pos="567"/>
        </w:tabs>
        <w:ind w:firstLine="360" w:firstLineChars="200"/>
        <w:jc w:val="left"/>
        <w:rPr>
          <w:sz w:val="18"/>
          <w:szCs w:val="18"/>
        </w:rPr>
      </w:pPr>
      <w:r>
        <w:rPr>
          <w:rFonts w:hint="eastAsia"/>
          <w:sz w:val="18"/>
          <w:szCs w:val="18"/>
        </w:rPr>
        <w:t>说明：</w:t>
      </w:r>
    </w:p>
    <w:p>
      <w:pPr>
        <w:tabs>
          <w:tab w:val="left" w:pos="284"/>
          <w:tab w:val="left" w:pos="567"/>
        </w:tabs>
        <w:ind w:left="420" w:leftChars="200" w:firstLine="360" w:firstLineChars="200"/>
        <w:jc w:val="left"/>
        <w:rPr>
          <w:sz w:val="18"/>
          <w:szCs w:val="18"/>
        </w:rPr>
      </w:pPr>
      <w:r>
        <w:rPr>
          <w:sz w:val="18"/>
          <w:szCs w:val="18"/>
        </w:rPr>
        <w:t>X——</w:t>
      </w:r>
      <w:r>
        <w:rPr>
          <w:rFonts w:hint="eastAsia"/>
          <w:sz w:val="18"/>
          <w:szCs w:val="18"/>
        </w:rPr>
        <w:t>序号；</w:t>
      </w:r>
    </w:p>
    <w:p>
      <w:pPr>
        <w:tabs>
          <w:tab w:val="left" w:pos="284"/>
          <w:tab w:val="left" w:pos="567"/>
        </w:tabs>
        <w:ind w:left="420" w:leftChars="200" w:firstLine="360" w:firstLineChars="200"/>
        <w:jc w:val="left"/>
        <w:rPr>
          <w:sz w:val="18"/>
          <w:szCs w:val="18"/>
        </w:rPr>
      </w:pPr>
      <w:r>
        <w:rPr>
          <w:sz w:val="18"/>
          <w:szCs w:val="18"/>
        </w:rPr>
        <w:t>Y——</w:t>
      </w:r>
      <w:r>
        <w:rPr>
          <w:rFonts w:hint="eastAsia"/>
          <w:sz w:val="18"/>
          <w:szCs w:val="18"/>
        </w:rPr>
        <w:t>累积。</w:t>
      </w:r>
    </w:p>
    <w:p>
      <w:pPr>
        <w:pStyle w:val="129"/>
      </w:pPr>
      <w:r>
        <w:rPr>
          <w:rFonts w:hint="eastAsia" w:hAnsi="黑体"/>
        </w:rPr>
        <w:t>平均拉伸强度累积图</w:t>
      </w:r>
      <w:r>
        <w:rPr>
          <w:rFonts w:hint="eastAsia" w:ascii="宋体" w:hAnsi="宋体" w:eastAsia="宋体"/>
        </w:rPr>
        <w:t>（使用了表48的数据）</w:t>
      </w:r>
    </w:p>
    <w:p>
      <w:pPr>
        <w:pStyle w:val="23"/>
      </w:pPr>
    </w:p>
    <w:p>
      <w:pPr>
        <w:pStyle w:val="23"/>
      </w:pPr>
    </w:p>
    <w:p>
      <w:pPr>
        <w:pStyle w:val="23"/>
      </w:pPr>
    </w:p>
    <w:p>
      <w:pPr>
        <w:pStyle w:val="23"/>
      </w:pPr>
    </w:p>
    <w:p>
      <w:pPr>
        <w:pStyle w:val="23"/>
      </w:pPr>
    </w:p>
    <w:p>
      <w:pPr>
        <w:pStyle w:val="23"/>
      </w:pPr>
    </w:p>
    <w:p>
      <w:pPr>
        <w:pStyle w:val="84"/>
      </w:pPr>
      <w:r>
        <w:br w:type="textWrapping"/>
      </w:r>
      <w:bookmarkStart w:id="270" w:name="_Toc124173980"/>
      <w:r>
        <w:rPr>
          <w:rFonts w:hint="eastAsia"/>
        </w:rPr>
        <w:t>（资料性）</w:t>
      </w:r>
      <w:r>
        <w:br w:type="textWrapping"/>
      </w:r>
      <w:r>
        <w:rPr>
          <w:rFonts w:hint="eastAsia"/>
        </w:rPr>
        <w:t>本文件中引用的分布函数的数学形式</w:t>
      </w:r>
      <w:bookmarkEnd w:id="270"/>
    </w:p>
    <w:p>
      <w:pPr>
        <w:pStyle w:val="138"/>
        <w:numPr>
          <w:ilvl w:val="0"/>
          <w:numId w:val="59"/>
        </w:numPr>
        <w:tabs>
          <w:tab w:val="left" w:pos="284"/>
          <w:tab w:val="left" w:pos="567"/>
        </w:tabs>
        <w:spacing w:before="156" w:beforeLines="50" w:after="156" w:afterLines="50"/>
        <w:ind w:firstLineChars="0"/>
        <w:jc w:val="left"/>
        <w:rPr>
          <w:rFonts w:ascii="宋体" w:hAnsi="宋体"/>
        </w:rPr>
      </w:pPr>
      <w:r>
        <w:rPr>
          <w:rFonts w:hint="eastAsia" w:ascii="宋体" w:hAnsi="宋体"/>
        </w:rPr>
        <w:t>正态密度分布是对称的钟形函数，数学上能够用下式(A.1</w:t>
      </w:r>
      <w:r>
        <w:rPr>
          <w:rFonts w:ascii="宋体" w:hAnsi="宋体"/>
        </w:rPr>
        <w:t>)</w:t>
      </w:r>
      <w:r>
        <w:rPr>
          <w:rFonts w:hint="eastAsia" w:ascii="宋体" w:hAnsi="宋体"/>
        </w:rPr>
        <w:t>定义：</w:t>
      </w:r>
    </w:p>
    <w:p>
      <w:pPr>
        <w:pStyle w:val="23"/>
        <w:ind w:firstLine="840" w:firstLineChars="400"/>
      </w:pPr>
      <m:oMath>
        <m:r>
          <m:rPr/>
          <w:rPr>
            <w:rFonts w:ascii="Cambria Math" w:hAnsi="Cambria Math"/>
          </w:rPr>
          <m:t>f</m:t>
        </m:r>
        <m:r>
          <m:rPr>
            <m:sty m:val="p"/>
          </m:rPr>
          <w:rPr>
            <w:rFonts w:ascii="Cambria Math" w:hAnsi="Cambria Math"/>
          </w:rPr>
          <m:t>(</m:t>
        </m:r>
        <m:r>
          <m:rPr/>
          <w:rPr>
            <w:rFonts w:ascii="Cambria Math" w:hAnsi="Cambria Math"/>
          </w:rPr>
          <m:t>x</m:t>
        </m:r>
        <m:r>
          <m:rPr>
            <m:sty m:val="p"/>
          </m:rPr>
          <w:rPr>
            <w:rFonts w:ascii="Cambria Math" w:hAnsi="Cambria Math"/>
          </w:rPr>
          <m:t>)=</m:t>
        </m:r>
        <m:f>
          <m:fPr>
            <m:ctrlPr>
              <w:rPr>
                <w:rFonts w:ascii="Cambria Math" w:hAnsi="Cambria Math"/>
                <w:szCs w:val="22"/>
              </w:rPr>
            </m:ctrlPr>
          </m:fPr>
          <m:num>
            <m:r>
              <m:rPr/>
              <w:rPr>
                <w:rFonts w:ascii="Cambria Math" w:hAnsi="Cambria Math"/>
              </w:rPr>
              <m:t>1</m:t>
            </m:r>
            <m:ctrlPr>
              <w:rPr>
                <w:rFonts w:ascii="Cambria Math" w:hAnsi="Cambria Math"/>
                <w:szCs w:val="22"/>
              </w:rPr>
            </m:ctrlPr>
          </m:num>
          <m:den>
            <m:r>
              <m:rPr/>
              <w:rPr>
                <w:rFonts w:ascii="Cambria Math" w:hAnsi="Cambria Math"/>
              </w:rPr>
              <m:t>σ</m:t>
            </m:r>
            <m:rad>
              <m:radPr>
                <m:degHide m:val="1"/>
                <m:ctrlPr>
                  <w:rPr>
                    <w:rFonts w:ascii="Cambria Math" w:hAnsi="Cambria Math"/>
                    <w:i/>
                    <w:szCs w:val="22"/>
                  </w:rPr>
                </m:ctrlPr>
              </m:radPr>
              <m:deg>
                <m:ctrlPr>
                  <w:rPr>
                    <w:rFonts w:ascii="Cambria Math" w:hAnsi="Cambria Math"/>
                    <w:i/>
                    <w:szCs w:val="22"/>
                  </w:rPr>
                </m:ctrlPr>
              </m:deg>
              <m:e>
                <m:r>
                  <m:rPr/>
                  <w:rPr>
                    <w:rFonts w:ascii="Cambria Math" w:hAnsi="Cambria Math"/>
                  </w:rPr>
                  <m:t>2π</m:t>
                </m:r>
                <m:ctrlPr>
                  <w:rPr>
                    <w:rFonts w:ascii="Cambria Math" w:hAnsi="Cambria Math"/>
                    <w:i/>
                    <w:szCs w:val="22"/>
                  </w:rPr>
                </m:ctrlPr>
              </m:e>
            </m:rad>
            <m:ctrlPr>
              <w:rPr>
                <w:rFonts w:ascii="Cambria Math" w:hAnsi="Cambria Math"/>
                <w:szCs w:val="22"/>
              </w:rPr>
            </m:ctrlPr>
          </m:den>
        </m:f>
        <m:r>
          <m:rPr/>
          <w:rPr>
            <w:rFonts w:ascii="Cambria Math" w:hAnsi="Cambria Math"/>
          </w:rPr>
          <m:t>×exp</m:t>
        </m:r>
        <m:d>
          <m:dPr>
            <m:begChr m:val="["/>
            <m:endChr m:val="]"/>
            <m:ctrlPr>
              <w:rPr>
                <w:rFonts w:ascii="Cambria Math" w:hAnsi="Cambria Math"/>
                <w:i/>
                <w:szCs w:val="22"/>
              </w:rPr>
            </m:ctrlPr>
          </m:dPr>
          <m:e>
            <m:f>
              <m:fPr>
                <m:ctrlPr>
                  <w:rPr>
                    <w:rFonts w:ascii="Cambria Math" w:hAnsi="Cambria Math"/>
                    <w:i/>
                    <w:szCs w:val="22"/>
                  </w:rPr>
                </m:ctrlPr>
              </m:fPr>
              <m:num>
                <m:r>
                  <m:rPr/>
                  <w:rPr>
                    <w:rFonts w:ascii="Cambria Math" w:hAnsi="Cambria Math"/>
                  </w:rPr>
                  <m:t>−</m:t>
                </m:r>
                <m:sSup>
                  <m:sSupPr>
                    <m:ctrlPr>
                      <w:rPr>
                        <w:rFonts w:ascii="Cambria Math" w:hAnsi="Cambria Math"/>
                        <w:i/>
                        <w:szCs w:val="22"/>
                      </w:rPr>
                    </m:ctrlPr>
                  </m:sSupPr>
                  <m:e>
                    <m:d>
                      <m:dPr>
                        <m:ctrlPr>
                          <w:rPr>
                            <w:rFonts w:ascii="Cambria Math" w:hAnsi="Cambria Math"/>
                            <w:i/>
                            <w:szCs w:val="22"/>
                          </w:rPr>
                        </m:ctrlPr>
                      </m:dPr>
                      <m:e>
                        <m:r>
                          <m:rPr/>
                          <w:rPr>
                            <w:rFonts w:ascii="Cambria Math" w:hAnsi="Cambria Math"/>
                          </w:rPr>
                          <m:t>x−μ</m:t>
                        </m:r>
                        <m:ctrlPr>
                          <w:rPr>
                            <w:rFonts w:ascii="Cambria Math" w:hAnsi="Cambria Math"/>
                            <w:i/>
                            <w:szCs w:val="22"/>
                          </w:rPr>
                        </m:ctrlPr>
                      </m:e>
                    </m:d>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num>
              <m:den>
                <m:r>
                  <m:rPr/>
                  <w:rPr>
                    <w:rFonts w:ascii="Cambria Math" w:hAnsi="Cambria Math"/>
                  </w:rPr>
                  <m:t>2</m:t>
                </m:r>
                <m:sSup>
                  <m:sSupPr>
                    <m:ctrlPr>
                      <w:rPr>
                        <w:rFonts w:ascii="Cambria Math" w:hAnsi="Cambria Math"/>
                        <w:i/>
                        <w:szCs w:val="22"/>
                      </w:rPr>
                    </m:ctrlPr>
                  </m:sSupPr>
                  <m:e>
                    <m:r>
                      <m:rPr/>
                      <w:rPr>
                        <w:rFonts w:ascii="Cambria Math" w:hAnsi="Cambria Math"/>
                      </w:rPr>
                      <m:t>σ</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den>
            </m:f>
            <m:ctrlPr>
              <w:rPr>
                <w:rFonts w:ascii="Cambria Math" w:hAnsi="Cambria Math"/>
                <w:i/>
                <w:szCs w:val="22"/>
              </w:rPr>
            </m:ctrlPr>
          </m:e>
        </m:d>
      </m:oMath>
      <w:r>
        <w:rPr>
          <w:rFonts w:hint="eastAsia"/>
        </w:rPr>
        <w:t xml:space="preserve">                                                  (A.1)</w:t>
      </w:r>
    </w:p>
    <w:p>
      <w:pPr>
        <w:pStyle w:val="23"/>
      </w:pPr>
      <w:r>
        <w:rPr>
          <w:rFonts w:hint="eastAsia"/>
        </w:rPr>
        <w:t>在这种形式下，曲线下的面积(如图1所示)等于1，而不考虑</w:t>
      </w:r>
      <w:r>
        <w:rPr>
          <w:rFonts w:hint="eastAsia"/>
          <w:i/>
        </w:rPr>
        <w:t>μ</w:t>
      </w:r>
      <w:r>
        <w:rPr>
          <w:rFonts w:hint="eastAsia"/>
        </w:rPr>
        <w:t>和</w:t>
      </w:r>
      <w:r>
        <w:rPr>
          <w:rFonts w:hint="eastAsia"/>
          <w:i/>
        </w:rPr>
        <w:t>σ</w:t>
      </w:r>
      <w:r>
        <w:rPr>
          <w:rFonts w:hint="eastAsia"/>
        </w:rPr>
        <w:t>的值。</w:t>
      </w:r>
    </w:p>
    <w:p>
      <w:pPr>
        <w:pStyle w:val="23"/>
      </w:pPr>
      <w:r>
        <w:rPr>
          <w:rFonts w:hint="eastAsia"/>
        </w:rPr>
        <w:t>对于最普遍的应用，将横坐标</w:t>
      </w:r>
      <w:r>
        <w:rPr>
          <w:rFonts w:ascii="Times New Roman"/>
          <w:i/>
        </w:rPr>
        <w:t>y</w:t>
      </w:r>
      <w:r>
        <w:rPr>
          <w:rFonts w:hint="eastAsia"/>
        </w:rPr>
        <w:t>简化为:</w:t>
      </w:r>
    </w:p>
    <w:p>
      <w:pPr>
        <w:pStyle w:val="23"/>
        <w:ind w:firstLine="840" w:firstLineChars="400"/>
      </w:pPr>
      <m:oMath>
        <m:r>
          <m:rPr/>
          <w:rPr>
            <w:rFonts w:ascii="Cambria Math" w:hAnsi="Cambria Math"/>
          </w:rPr>
          <m:t>y</m:t>
        </m:r>
        <m:r>
          <m:rPr>
            <m:sty m:val="p"/>
          </m:rPr>
          <w:rPr>
            <w:rFonts w:ascii="Cambria Math" w:hAnsi="Cambria Math"/>
          </w:rPr>
          <m:t>=</m:t>
        </m:r>
        <m:f>
          <m:fPr>
            <m:ctrlPr>
              <w:rPr>
                <w:rFonts w:ascii="Cambria Math" w:hAnsi="Cambria Math"/>
                <w:szCs w:val="22"/>
              </w:rPr>
            </m:ctrlPr>
          </m:fPr>
          <m:num>
            <m:r>
              <m:rPr/>
              <w:rPr>
                <w:rFonts w:ascii="Cambria Math" w:hAnsi="Cambria Math"/>
              </w:rPr>
              <m:t>x−μ</m:t>
            </m:r>
            <m:ctrlPr>
              <w:rPr>
                <w:rFonts w:ascii="Cambria Math" w:hAnsi="Cambria Math"/>
                <w:szCs w:val="22"/>
              </w:rPr>
            </m:ctrlPr>
          </m:num>
          <m:den>
            <m:r>
              <m:rPr/>
              <w:rPr>
                <w:rFonts w:ascii="Cambria Math" w:hAnsi="Cambria Math"/>
              </w:rPr>
              <m:t>σ</m:t>
            </m:r>
            <m:ctrlPr>
              <w:rPr>
                <w:rFonts w:ascii="Cambria Math" w:hAnsi="Cambria Math"/>
                <w:szCs w:val="22"/>
              </w:rPr>
            </m:ctrlPr>
          </m:den>
        </m:f>
      </m:oMath>
      <w:r>
        <w:rPr>
          <w:rFonts w:hint="eastAsia"/>
        </w:rPr>
        <w:t xml:space="preserve">                                                                   (A.2）</w:t>
      </w:r>
    </w:p>
    <w:p>
      <w:pPr>
        <w:pStyle w:val="23"/>
        <w:rPr>
          <w:rFonts w:ascii="Times New Roman"/>
        </w:rPr>
      </w:pPr>
      <w:r>
        <w:rPr>
          <w:rFonts w:hint="eastAsia" w:ascii="Times New Roman"/>
        </w:rPr>
        <w:t>整个分布在</w:t>
      </w:r>
      <w:r>
        <w:rPr>
          <w:rFonts w:ascii="Times New Roman"/>
          <w:i/>
        </w:rPr>
        <w:t>x</w:t>
      </w:r>
      <w:r>
        <w:rPr>
          <w:rFonts w:ascii="Times New Roman"/>
          <w:vertAlign w:val="subscript"/>
        </w:rPr>
        <w:t>1</w:t>
      </w:r>
      <w:r>
        <w:rPr>
          <w:rFonts w:hint="eastAsia" w:ascii="Times New Roman"/>
        </w:rPr>
        <w:t>和</w:t>
      </w:r>
      <w:r>
        <w:rPr>
          <w:rFonts w:ascii="Times New Roman"/>
          <w:i/>
        </w:rPr>
        <w:t>x</w:t>
      </w:r>
      <w:r>
        <w:rPr>
          <w:rFonts w:ascii="Times New Roman"/>
          <w:vertAlign w:val="subscript"/>
        </w:rPr>
        <w:t>2</w:t>
      </w:r>
      <w:r>
        <w:rPr>
          <w:rFonts w:hint="eastAsia" w:ascii="Times New Roman"/>
        </w:rPr>
        <w:t>之间的比例</w:t>
      </w:r>
      <w:r>
        <w:rPr>
          <w:rFonts w:ascii="Times New Roman"/>
        </w:rPr>
        <w:t>(</w:t>
      </w:r>
      <w:r>
        <w:rPr>
          <w:rFonts w:hint="eastAsia" w:ascii="Times New Roman"/>
        </w:rPr>
        <w:t>即概率分布函数</w:t>
      </w:r>
      <w:r>
        <w:rPr>
          <w:rFonts w:ascii="Times New Roman"/>
        </w:rPr>
        <w:t>)</w:t>
      </w:r>
      <w:r>
        <w:rPr>
          <w:rFonts w:hint="eastAsia" w:ascii="Times New Roman"/>
        </w:rPr>
        <w:t>可由式</w:t>
      </w:r>
      <w:r>
        <w:rPr>
          <w:rFonts w:hint="eastAsia"/>
        </w:rPr>
        <w:t>(A.3)</w:t>
      </w:r>
      <w:r>
        <w:rPr>
          <w:rFonts w:hint="eastAsia" w:ascii="Times New Roman"/>
        </w:rPr>
        <w:t>确定：</w:t>
      </w:r>
    </w:p>
    <w:p>
      <w:pPr>
        <w:pStyle w:val="23"/>
        <w:ind w:firstLine="840" w:firstLineChars="400"/>
      </w:pPr>
      <m:oMath>
        <m:r>
          <m:rPr/>
          <w:rPr>
            <w:rFonts w:ascii="Cambria Math" w:hAnsi="Cambria Math"/>
          </w:rPr>
          <m:t>p</m:t>
        </m:r>
        <m:r>
          <m:rPr>
            <m:sty m:val="p"/>
          </m:rPr>
          <w:rPr>
            <w:rFonts w:ascii="Cambria Math" w:hAnsi="Cambria Math"/>
          </w:rPr>
          <m:t>(</m:t>
        </m:r>
        <m:r>
          <m:rPr/>
          <w:rPr>
            <w:rFonts w:ascii="Cambria Math" w:hAnsi="Cambria Math"/>
          </w:rPr>
          <m:t>x</m:t>
        </m:r>
        <m:r>
          <m:rPr>
            <m:sty m:val="p"/>
          </m:rPr>
          <w:rPr>
            <w:rFonts w:ascii="Cambria Math" w:hAnsi="Cambria Math"/>
          </w:rPr>
          <m:t>)=</m:t>
        </m:r>
        <m:f>
          <m:fPr>
            <m:ctrlPr>
              <w:rPr>
                <w:rFonts w:ascii="Cambria Math" w:hAnsi="Cambria Math"/>
                <w:szCs w:val="22"/>
              </w:rPr>
            </m:ctrlPr>
          </m:fPr>
          <m:num>
            <m:r>
              <m:rPr/>
              <w:rPr>
                <w:rFonts w:ascii="Cambria Math" w:hAnsi="Cambria Math"/>
              </w:rPr>
              <m:t>1</m:t>
            </m:r>
            <m:ctrlPr>
              <w:rPr>
                <w:rFonts w:ascii="Cambria Math" w:hAnsi="Cambria Math"/>
                <w:szCs w:val="22"/>
              </w:rPr>
            </m:ctrlPr>
          </m:num>
          <m:den>
            <m:r>
              <m:rPr/>
              <w:rPr>
                <w:rFonts w:ascii="Cambria Math" w:hAnsi="Cambria Math"/>
              </w:rPr>
              <m:t>σ</m:t>
            </m:r>
            <m:rad>
              <m:radPr>
                <m:degHide m:val="1"/>
                <m:ctrlPr>
                  <w:rPr>
                    <w:rFonts w:ascii="Cambria Math" w:hAnsi="Cambria Math"/>
                    <w:i/>
                    <w:szCs w:val="22"/>
                  </w:rPr>
                </m:ctrlPr>
              </m:radPr>
              <m:deg>
                <m:ctrlPr>
                  <w:rPr>
                    <w:rFonts w:ascii="Cambria Math" w:hAnsi="Cambria Math"/>
                    <w:i/>
                    <w:szCs w:val="22"/>
                  </w:rPr>
                </m:ctrlPr>
              </m:deg>
              <m:e>
                <m:r>
                  <m:rPr/>
                  <w:rPr>
                    <w:rFonts w:ascii="Cambria Math" w:hAnsi="Cambria Math"/>
                  </w:rPr>
                  <m:t>2π</m:t>
                </m:r>
                <m:ctrlPr>
                  <w:rPr>
                    <w:rFonts w:ascii="Cambria Math" w:hAnsi="Cambria Math"/>
                    <w:i/>
                    <w:szCs w:val="22"/>
                  </w:rPr>
                </m:ctrlPr>
              </m:e>
            </m:rad>
            <m:ctrlPr>
              <w:rPr>
                <w:rFonts w:ascii="Cambria Math" w:hAnsi="Cambria Math"/>
                <w:szCs w:val="22"/>
              </w:rPr>
            </m:ctrlPr>
          </m:den>
        </m:f>
        <m:r>
          <m:rPr/>
          <w:rPr>
            <w:rFonts w:ascii="Cambria Math" w:hAnsi="Cambria Math"/>
          </w:rPr>
          <m:t>×</m:t>
        </m:r>
        <m:nary>
          <m:naryPr>
            <m:limLoc m:val="subSup"/>
            <m:ctrlPr>
              <w:rPr>
                <w:rFonts w:ascii="Cambria Math" w:hAnsi="Cambria Math"/>
                <w:i/>
                <w:szCs w:val="22"/>
              </w:rPr>
            </m:ctrlPr>
          </m:naryPr>
          <m: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ctrlPr>
              <w:rPr>
                <w:rFonts w:ascii="Cambria Math" w:hAnsi="Cambria Math"/>
                <w:i/>
                <w:szCs w:val="22"/>
              </w:rPr>
            </m:ctrlPr>
          </m:sub>
          <m:sup>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m:t>
                </m:r>
                <m:ctrlPr>
                  <w:rPr>
                    <w:rFonts w:ascii="Cambria Math" w:hAnsi="Cambria Math"/>
                    <w:i/>
                    <w:szCs w:val="22"/>
                  </w:rPr>
                </m:ctrlPr>
              </m:sub>
            </m:sSub>
            <m:ctrlPr>
              <w:rPr>
                <w:rFonts w:ascii="Cambria Math" w:hAnsi="Cambria Math"/>
                <w:i/>
                <w:szCs w:val="22"/>
              </w:rPr>
            </m:ctrlPr>
          </m:sup>
          <m:e>
            <m:r>
              <m:rPr/>
              <w:rPr>
                <w:rFonts w:ascii="Cambria Math" w:hAnsi="Cambria Math"/>
              </w:rPr>
              <m:t>exp</m:t>
            </m:r>
            <m:d>
              <m:dPr>
                <m:begChr m:val="["/>
                <m:endChr m:val="]"/>
                <m:ctrlPr>
                  <w:rPr>
                    <w:rFonts w:ascii="Cambria Math" w:hAnsi="Cambria Math"/>
                    <w:i/>
                    <w:szCs w:val="22"/>
                  </w:rPr>
                </m:ctrlPr>
              </m:dPr>
              <m:e>
                <m:f>
                  <m:fPr>
                    <m:ctrlPr>
                      <w:rPr>
                        <w:rFonts w:ascii="Cambria Math" w:hAnsi="Cambria Math"/>
                        <w:i/>
                        <w:szCs w:val="22"/>
                      </w:rPr>
                    </m:ctrlPr>
                  </m:fPr>
                  <m:num>
                    <m:r>
                      <m:rPr/>
                      <w:rPr>
                        <w:rFonts w:ascii="Cambria Math" w:hAnsi="Cambria Math"/>
                      </w:rPr>
                      <m:t>−</m:t>
                    </m:r>
                    <m:sSup>
                      <m:sSupPr>
                        <m:ctrlPr>
                          <w:rPr>
                            <w:rFonts w:ascii="Cambria Math" w:hAnsi="Cambria Math"/>
                            <w:i/>
                            <w:szCs w:val="22"/>
                          </w:rPr>
                        </m:ctrlPr>
                      </m:sSupPr>
                      <m:e>
                        <m:d>
                          <m:dPr>
                            <m:ctrlPr>
                              <w:rPr>
                                <w:rFonts w:ascii="Cambria Math" w:hAnsi="Cambria Math"/>
                                <w:i/>
                                <w:szCs w:val="22"/>
                              </w:rPr>
                            </m:ctrlPr>
                          </m:dPr>
                          <m:e>
                            <m:r>
                              <m:rPr/>
                              <w:rPr>
                                <w:rFonts w:ascii="Cambria Math" w:hAnsi="Cambria Math"/>
                              </w:rPr>
                              <m:t>x−μ</m:t>
                            </m:r>
                            <m:ctrlPr>
                              <w:rPr>
                                <w:rFonts w:ascii="Cambria Math" w:hAnsi="Cambria Math"/>
                                <w:i/>
                                <w:szCs w:val="22"/>
                              </w:rPr>
                            </m:ctrlPr>
                          </m:e>
                        </m:d>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num>
                  <m:den>
                    <m:r>
                      <m:rPr/>
                      <w:rPr>
                        <w:rFonts w:ascii="Cambria Math" w:hAnsi="Cambria Math"/>
                      </w:rPr>
                      <m:t>2</m:t>
                    </m:r>
                    <m:sSup>
                      <m:sSupPr>
                        <m:ctrlPr>
                          <w:rPr>
                            <w:rFonts w:ascii="Cambria Math" w:hAnsi="Cambria Math"/>
                            <w:i/>
                            <w:szCs w:val="22"/>
                          </w:rPr>
                        </m:ctrlPr>
                      </m:sSupPr>
                      <m:e>
                        <m:r>
                          <m:rPr/>
                          <w:rPr>
                            <w:rFonts w:ascii="Cambria Math" w:hAnsi="Cambria Math"/>
                          </w:rPr>
                          <m:t>σ</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den>
                </m:f>
                <m:ctrlPr>
                  <w:rPr>
                    <w:rFonts w:ascii="Cambria Math" w:hAnsi="Cambria Math"/>
                    <w:i/>
                    <w:szCs w:val="22"/>
                  </w:rPr>
                </m:ctrlPr>
              </m:e>
            </m:d>
            <m:ctrlPr>
              <w:rPr>
                <w:rFonts w:ascii="Cambria Math" w:hAnsi="Cambria Math"/>
                <w:i/>
                <w:szCs w:val="22"/>
              </w:rPr>
            </m:ctrlPr>
          </m:e>
        </m:nary>
      </m:oMath>
      <w:r>
        <w:rPr>
          <w:rFonts w:hint="eastAsia"/>
        </w:rPr>
        <w:t xml:space="preserve">                                               (A.3)</w:t>
      </w:r>
    </w:p>
    <w:p>
      <w:pPr>
        <w:pStyle w:val="23"/>
      </w:pPr>
      <w:r>
        <w:rPr>
          <w:rFonts w:hint="eastAsia"/>
        </w:rPr>
        <w:t>但是，由于积分不能用解析的方式表示，使用表中的值更方便，在任何关于统计的标准文本中都可以使用简化变量</w:t>
      </w:r>
      <w:r>
        <w:rPr>
          <w:rFonts w:ascii="Times New Roman"/>
          <w:i/>
        </w:rPr>
        <w:t>y</w:t>
      </w:r>
      <w:r>
        <w:rPr>
          <w:rFonts w:hint="eastAsia"/>
        </w:rPr>
        <w:t>的形式。</w:t>
      </w:r>
    </w:p>
    <w:p>
      <w:pPr>
        <w:pStyle w:val="138"/>
        <w:numPr>
          <w:ilvl w:val="0"/>
          <w:numId w:val="59"/>
        </w:numPr>
        <w:tabs>
          <w:tab w:val="left" w:pos="284"/>
          <w:tab w:val="left" w:pos="567"/>
        </w:tabs>
        <w:spacing w:before="156" w:beforeLines="50" w:after="156" w:afterLines="50"/>
        <w:ind w:firstLineChars="0"/>
        <w:jc w:val="left"/>
        <w:rPr>
          <w:rFonts w:ascii="宋体" w:hAnsi="宋体"/>
        </w:rPr>
      </w:pPr>
      <w:r>
        <w:rPr>
          <w:rFonts w:hint="eastAsia" w:ascii="宋体" w:hAnsi="宋体"/>
        </w:rPr>
        <w:t>如图2所示的双指数密度分布函数为式(A.4)：</w:t>
      </w:r>
    </w:p>
    <w:p>
      <w:pPr>
        <w:tabs>
          <w:tab w:val="left" w:pos="284"/>
          <w:tab w:val="left" w:pos="567"/>
        </w:tabs>
        <w:spacing w:before="156" w:beforeLines="50" w:after="156" w:afterLines="50"/>
        <w:ind w:firstLine="735" w:firstLineChars="350"/>
        <w:jc w:val="left"/>
        <w:rPr>
          <w:rFonts w:ascii="宋体" w:hAnsi="宋体"/>
        </w:rPr>
      </w:pPr>
      <m:oMath>
        <m:r>
          <m:rPr/>
          <w:rPr>
            <w:rFonts w:ascii="Cambria Math" w:hAnsi="Cambria Math"/>
          </w:rPr>
          <m:t>f</m:t>
        </m:r>
        <m:d>
          <m:dPr>
            <m:ctrlPr>
              <w:rPr>
                <w:rFonts w:ascii="Cambria Math" w:hAnsi="Cambria Math"/>
                <w:szCs w:val="22"/>
              </w:rPr>
            </m:ctrlPr>
          </m:dPr>
          <m:e>
            <m:r>
              <m:rPr/>
              <w:rPr>
                <w:rFonts w:ascii="Cambria Math" w:hAnsi="Cambria Math"/>
              </w:rPr>
              <m:t>x</m:t>
            </m:r>
            <m:ctrlPr>
              <w:rPr>
                <w:rFonts w:ascii="Cambria Math" w:hAnsi="Cambria Math"/>
                <w:szCs w:val="22"/>
              </w:rPr>
            </m:ctrlPr>
          </m:e>
        </m:d>
        <m:r>
          <m:rPr/>
          <w:rPr>
            <w:rFonts w:ascii="Cambria Math" w:hAnsi="Cambria Math"/>
          </w:rPr>
          <m:t>=exp</m:t>
        </m:r>
        <m:r>
          <m:rPr>
            <m:sty m:val="p"/>
          </m:rPr>
          <w:rPr>
            <w:rFonts w:ascii="Cambria Math" w:hAnsi="Cambria Math"/>
          </w:rPr>
          <m:t>⁡</m:t>
        </m:r>
        <m:r>
          <m:rPr/>
          <w:rPr>
            <w:rFonts w:ascii="Cambria Math" w:hAnsi="Cambria Math"/>
          </w:rPr>
          <m:t>(ε)exp</m:t>
        </m:r>
        <m:d>
          <m:dPr>
            <m:begChr m:val="["/>
            <m:endChr m:val="]"/>
            <m:ctrlPr>
              <w:rPr>
                <w:rFonts w:ascii="Cambria Math" w:hAnsi="Cambria Math"/>
                <w:i/>
                <w:szCs w:val="22"/>
              </w:rPr>
            </m:ctrlPr>
          </m:dPr>
          <m:e>
            <m:r>
              <m:rPr/>
              <w:rPr>
                <w:rFonts w:ascii="Cambria Math" w:hAnsi="Cambria Math"/>
              </w:rPr>
              <m:t>−exp</m:t>
            </m:r>
            <m:r>
              <m:rPr>
                <m:sty m:val="p"/>
              </m:rPr>
              <w:rPr>
                <w:rFonts w:ascii="Cambria Math" w:hAnsi="Cambria Math"/>
              </w:rPr>
              <m:t>⁡</m:t>
            </m:r>
            <m:r>
              <m:rPr/>
              <w:rPr>
                <w:rFonts w:ascii="Cambria Math" w:hAnsi="Cambria Math"/>
              </w:rPr>
              <m:t>(ε)</m:t>
            </m:r>
            <m:ctrlPr>
              <w:rPr>
                <w:rFonts w:ascii="Cambria Math" w:hAnsi="Cambria Math"/>
                <w:i/>
                <w:szCs w:val="22"/>
              </w:rPr>
            </m:ctrlPr>
          </m:e>
        </m:d>
      </m:oMath>
      <w:r>
        <w:rPr>
          <w:rFonts w:hint="eastAsia" w:ascii="宋体" w:hAnsi="宋体"/>
        </w:rPr>
        <w:t xml:space="preserve">                                                 (A.4)</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对应的概率分布函数为式(A.5):</w:t>
      </w:r>
    </w:p>
    <w:p>
      <w:pPr>
        <w:tabs>
          <w:tab w:val="left" w:pos="284"/>
          <w:tab w:val="left" w:pos="567"/>
        </w:tabs>
        <w:spacing w:before="156" w:beforeLines="50" w:after="156" w:afterLines="50"/>
        <w:ind w:firstLine="735" w:firstLineChars="350"/>
        <w:jc w:val="left"/>
        <w:rPr>
          <w:rFonts w:ascii="宋体" w:hAnsi="宋体"/>
        </w:rPr>
      </w:pPr>
      <m:oMath>
        <m:r>
          <m:rPr/>
          <w:rPr>
            <w:rFonts w:ascii="Cambria Math" w:hAnsi="Cambria Math"/>
          </w:rPr>
          <m:t>p</m:t>
        </m:r>
        <m:d>
          <m:dPr>
            <m:ctrlPr>
              <w:rPr>
                <w:rFonts w:ascii="Cambria Math" w:hAnsi="Cambria Math"/>
                <w:szCs w:val="22"/>
              </w:rPr>
            </m:ctrlPr>
          </m:dPr>
          <m:e>
            <m:r>
              <m:rPr/>
              <w:rPr>
                <w:rFonts w:ascii="Cambria Math" w:hAnsi="Cambria Math"/>
              </w:rPr>
              <m:t>x</m:t>
            </m:r>
            <m:ctrlPr>
              <w:rPr>
                <w:rFonts w:ascii="Cambria Math" w:hAnsi="Cambria Math"/>
                <w:szCs w:val="22"/>
              </w:rPr>
            </m:ctrlPr>
          </m:e>
        </m:d>
        <m:r>
          <m:rPr>
            <m:sty m:val="p"/>
          </m:rPr>
          <w:rPr>
            <w:rFonts w:ascii="Cambria Math" w:hAnsi="Cambria Math"/>
          </w:rPr>
          <m:t>=−</m:t>
        </m:r>
        <m:r>
          <m:rPr/>
          <w:rPr>
            <w:rFonts w:ascii="Cambria Math" w:hAnsi="Cambria Math"/>
          </w:rPr>
          <m:t>exp</m:t>
        </m:r>
        <m:d>
          <m:dPr>
            <m:begChr m:val="["/>
            <m:endChr m:val="]"/>
            <m:ctrlPr>
              <w:rPr>
                <w:rFonts w:ascii="Cambria Math" w:hAnsi="Cambria Math"/>
                <w:szCs w:val="22"/>
              </w:rPr>
            </m:ctrlPr>
          </m:dPr>
          <m:e>
            <m:r>
              <m:rPr/>
              <w:rPr>
                <w:rFonts w:ascii="Cambria Math" w:hAnsi="Cambria Math"/>
              </w:rPr>
              <m:t>exp</m:t>
            </m:r>
            <m:d>
              <m:dPr>
                <m:ctrlPr>
                  <w:rPr>
                    <w:rFonts w:ascii="Cambria Math" w:hAnsi="Cambria Math"/>
                    <w:i/>
                    <w:szCs w:val="22"/>
                  </w:rPr>
                </m:ctrlPr>
              </m:dPr>
              <m:e>
                <m:r>
                  <m:rPr/>
                  <w:rPr>
                    <w:rFonts w:ascii="Cambria Math" w:hAnsi="Cambria Math"/>
                  </w:rPr>
                  <m:t>ε</m:t>
                </m:r>
                <m:ctrlPr>
                  <w:rPr>
                    <w:rFonts w:ascii="Cambria Math" w:hAnsi="Cambria Math"/>
                    <w:i/>
                    <w:szCs w:val="22"/>
                  </w:rPr>
                </m:ctrlPr>
              </m:e>
            </m:d>
            <m:ctrlPr>
              <w:rPr>
                <w:rFonts w:ascii="Cambria Math" w:hAnsi="Cambria Math"/>
                <w:szCs w:val="22"/>
              </w:rPr>
            </m:ctrlPr>
          </m:e>
        </m:d>
      </m:oMath>
      <w:r>
        <w:rPr>
          <w:rFonts w:hint="eastAsia" w:ascii="宋体" w:hAnsi="宋体"/>
        </w:rPr>
        <w:t xml:space="preserve">                                                        (A.5)</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表征分布的参数</w:t>
      </w:r>
      <w:r>
        <w:rPr>
          <w:rFonts w:hint="eastAsia" w:ascii="宋体" w:hAnsi="宋体"/>
          <w:i/>
        </w:rPr>
        <w:t>ε</w:t>
      </w:r>
      <w:r>
        <w:rPr>
          <w:rFonts w:hint="eastAsia" w:ascii="宋体" w:hAnsi="宋体"/>
        </w:rPr>
        <w:t>与平均值和标准差的关系由式(A.6)表示：</w:t>
      </w:r>
    </w:p>
    <w:p>
      <w:pPr>
        <w:tabs>
          <w:tab w:val="left" w:pos="284"/>
          <w:tab w:val="left" w:pos="567"/>
        </w:tabs>
        <w:spacing w:after="156" w:afterLines="50"/>
        <w:ind w:firstLine="840" w:firstLineChars="400"/>
        <w:jc w:val="left"/>
        <w:rPr>
          <w:rFonts w:ascii="宋体" w:hAnsi="宋体"/>
        </w:rPr>
      </w:pPr>
      <m:oMath>
        <m:r>
          <m:rPr>
            <m:sty m:val="p"/>
          </m:rPr>
          <w:rPr>
            <w:rFonts w:ascii="Cambria Math" w:hAnsi="Cambria Math"/>
          </w:rPr>
          <m:t>ε=</m:t>
        </m:r>
        <m:f>
          <m:fPr>
            <m:ctrlPr>
              <w:rPr>
                <w:rFonts w:ascii="Cambria Math" w:hAnsi="Cambria Math"/>
                <w:szCs w:val="22"/>
              </w:rPr>
            </m:ctrlPr>
          </m:fPr>
          <m:num>
            <m:r>
              <m:rPr/>
              <w:rPr>
                <w:rFonts w:ascii="Cambria Math" w:hAnsi="Cambria Math"/>
              </w:rPr>
              <m:t>π</m:t>
            </m:r>
            <m:d>
              <m:dPr>
                <m:ctrlPr>
                  <w:rPr>
                    <w:rFonts w:ascii="Cambria Math" w:hAnsi="Cambria Math"/>
                    <w:i/>
                    <w:szCs w:val="22"/>
                  </w:rPr>
                </m:ctrlPr>
              </m:dPr>
              <m:e>
                <m:r>
                  <m:rPr/>
                  <w:rPr>
                    <w:rFonts w:ascii="Cambria Math" w:hAnsi="Cambria Math"/>
                  </w:rPr>
                  <m:t>x−μ</m:t>
                </m:r>
                <m:ctrlPr>
                  <w:rPr>
                    <w:rFonts w:ascii="Cambria Math" w:hAnsi="Cambria Math"/>
                    <w:i/>
                    <w:szCs w:val="22"/>
                  </w:rPr>
                </m:ctrlPr>
              </m:e>
            </m:d>
            <m:ctrlPr>
              <w:rPr>
                <w:rFonts w:ascii="Cambria Math" w:hAnsi="Cambria Math"/>
                <w:szCs w:val="22"/>
              </w:rPr>
            </m:ctrlPr>
          </m:num>
          <m:den>
            <m:rad>
              <m:radPr>
                <m:degHide m:val="1"/>
                <m:ctrlPr>
                  <w:rPr>
                    <w:rFonts w:ascii="Cambria Math" w:hAnsi="Cambria Math"/>
                    <w:i/>
                    <w:szCs w:val="22"/>
                  </w:rPr>
                </m:ctrlPr>
              </m:radPr>
              <m:deg>
                <m:ctrlPr>
                  <w:rPr>
                    <w:rFonts w:ascii="Cambria Math" w:hAnsi="Cambria Math"/>
                    <w:i/>
                    <w:szCs w:val="22"/>
                  </w:rPr>
                </m:ctrlPr>
              </m:deg>
              <m:e>
                <m:r>
                  <m:rPr/>
                  <w:rPr>
                    <w:rFonts w:ascii="Cambria Math" w:hAnsi="Cambria Math"/>
                  </w:rPr>
                  <m:t>6σ</m:t>
                </m:r>
                <m:ctrlPr>
                  <w:rPr>
                    <w:rFonts w:ascii="Cambria Math" w:hAnsi="Cambria Math"/>
                    <w:i/>
                    <w:szCs w:val="22"/>
                  </w:rPr>
                </m:ctrlPr>
              </m:e>
            </m:rad>
            <m:ctrlPr>
              <w:rPr>
                <w:rFonts w:ascii="Cambria Math" w:hAnsi="Cambria Math"/>
                <w:szCs w:val="22"/>
              </w:rPr>
            </m:ctrlPr>
          </m:den>
        </m:f>
        <m:r>
          <m:rPr/>
          <w:rPr>
            <w:rFonts w:ascii="Cambria Math" w:hAnsi="Cambria Math"/>
          </w:rPr>
          <m:t>−E</m:t>
        </m:r>
      </m:oMath>
      <w:r>
        <w:rPr>
          <w:rFonts w:hint="eastAsia" w:ascii="宋体" w:hAnsi="宋体"/>
        </w:rPr>
        <w:t xml:space="preserve">                                                             (A.6)</w:t>
      </w:r>
    </w:p>
    <w:p>
      <w:pPr>
        <w:tabs>
          <w:tab w:val="left" w:pos="284"/>
          <w:tab w:val="left" w:pos="567"/>
        </w:tabs>
        <w:spacing w:after="156" w:afterLines="50"/>
        <w:jc w:val="left"/>
      </w:pPr>
      <w:r>
        <w:t>其中，</w:t>
      </w:r>
      <w:r>
        <w:rPr>
          <w:i/>
        </w:rPr>
        <w:t>E</w:t>
      </w:r>
      <w:r>
        <w:t>是欧拉常数（</w:t>
      </w:r>
      <w:r>
        <w:rPr>
          <w:kern w:val="0"/>
          <w:sz w:val="20"/>
          <w:szCs w:val="20"/>
        </w:rPr>
        <w:t>Euler’s constant</w:t>
      </w:r>
      <w:r>
        <w:t>）:0.577 216。</w:t>
      </w:r>
    </w:p>
    <w:p>
      <w:pPr>
        <w:pStyle w:val="138"/>
        <w:numPr>
          <w:ilvl w:val="0"/>
          <w:numId w:val="59"/>
        </w:numPr>
        <w:spacing w:before="156" w:beforeLines="50" w:after="156" w:afterLines="50"/>
        <w:ind w:firstLineChars="0"/>
        <w:rPr>
          <w:rFonts w:ascii="宋体" w:hAnsi="宋体"/>
        </w:rPr>
      </w:pPr>
      <w:r>
        <w:rPr>
          <w:rFonts w:hint="eastAsia" w:ascii="宋体" w:hAnsi="宋体"/>
        </w:rPr>
        <w:t>威布尔（</w:t>
      </w:r>
      <w:r>
        <w:rPr>
          <w:rFonts w:ascii="Times New Roman" w:hAnsi="Times New Roman"/>
        </w:rPr>
        <w:t>Weibull）密</w:t>
      </w:r>
      <w:r>
        <w:rPr>
          <w:rFonts w:hint="eastAsia" w:ascii="宋体" w:hAnsi="宋体"/>
        </w:rPr>
        <w:t>度分布函数定义为式(A.7)：</w:t>
      </w:r>
    </w:p>
    <w:p>
      <w:pPr>
        <w:tabs>
          <w:tab w:val="left" w:pos="284"/>
          <w:tab w:val="left" w:pos="567"/>
        </w:tabs>
        <w:spacing w:before="156" w:beforeLines="50" w:after="156" w:afterLines="50"/>
        <w:ind w:firstLine="840" w:firstLineChars="400"/>
        <w:jc w:val="left"/>
        <w:rPr>
          <w:rFonts w:ascii="宋体" w:hAnsi="宋体"/>
        </w:rPr>
      </w:pPr>
      <m:oMath>
        <m:r>
          <m:rPr/>
          <w:rPr>
            <w:rFonts w:ascii="Cambria Math" w:hAnsi="Cambria Math"/>
          </w:rPr>
          <m:t>f</m:t>
        </m:r>
        <m:d>
          <m:dPr>
            <m:ctrlPr>
              <w:rPr>
                <w:rFonts w:ascii="Cambria Math" w:hAnsi="Cambria Math"/>
                <w:szCs w:val="22"/>
              </w:rPr>
            </m:ctrlPr>
          </m:dPr>
          <m:e>
            <m:r>
              <m:rPr/>
              <w:rPr>
                <w:rFonts w:ascii="Cambria Math" w:hAnsi="Cambria Math"/>
              </w:rPr>
              <m:t>x</m:t>
            </m:r>
            <m:ctrlPr>
              <w:rPr>
                <w:rFonts w:ascii="Cambria Math" w:hAnsi="Cambria Math"/>
                <w:szCs w:val="22"/>
              </w:rPr>
            </m:ctrlPr>
          </m:e>
        </m:d>
        <m:r>
          <m:rPr>
            <m:sty m:val="p"/>
          </m:rPr>
          <w:rPr>
            <w:rFonts w:ascii="Cambria Math" w:hAnsi="Cambria Math"/>
          </w:rPr>
          <m:t>=</m:t>
        </m:r>
        <m:f>
          <m:fPr>
            <m:ctrlPr>
              <w:rPr>
                <w:rFonts w:ascii="Cambria Math" w:hAnsi="Cambria Math"/>
                <w:szCs w:val="22"/>
              </w:rPr>
            </m:ctrlPr>
          </m:fPr>
          <m:num>
            <m:r>
              <m:rPr/>
              <w:rPr>
                <w:rFonts w:ascii="Cambria Math" w:hAnsi="Cambria Math"/>
              </w:rPr>
              <m:t>k</m:t>
            </m:r>
            <m:ctrlPr>
              <w:rPr>
                <w:rFonts w:ascii="Cambria Math" w:hAnsi="Cambria Math"/>
                <w:szCs w:val="22"/>
              </w:rPr>
            </m:ctrlPr>
          </m:num>
          <m:den>
            <m:r>
              <m:rPr/>
              <w:rPr>
                <w:rFonts w:ascii="Cambria Math" w:hAnsi="Cambria Math"/>
              </w:rPr>
              <m:t>b</m:t>
            </m:r>
            <m:ctrlPr>
              <w:rPr>
                <w:rFonts w:ascii="Cambria Math" w:hAnsi="Cambria Math"/>
                <w:szCs w:val="22"/>
              </w:rPr>
            </m:ctrlPr>
          </m:den>
        </m:f>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r>
                      <m:rPr/>
                      <w:rPr>
                        <w:rFonts w:ascii="Cambria Math" w:hAnsi="Cambria Math"/>
                      </w:rPr>
                      <m:t>x−a</m:t>
                    </m:r>
                    <m:ctrlPr>
                      <w:rPr>
                        <w:rFonts w:ascii="Cambria Math" w:hAnsi="Cambria Math"/>
                        <w:i/>
                        <w:szCs w:val="22"/>
                      </w:rPr>
                    </m:ctrlPr>
                  </m:num>
                  <m:den>
                    <m:r>
                      <m:rPr/>
                      <w:rPr>
                        <w:rFonts w:ascii="Cambria Math" w:hAnsi="Cambria Math"/>
                      </w:rPr>
                      <m:t>b</m:t>
                    </m:r>
                    <m:ctrlPr>
                      <w:rPr>
                        <w:rFonts w:ascii="Cambria Math" w:hAnsi="Cambria Math"/>
                        <w:i/>
                        <w:szCs w:val="22"/>
                      </w:rPr>
                    </m:ctrlPr>
                  </m:den>
                </m:f>
                <m:ctrlPr>
                  <w:rPr>
                    <w:rFonts w:ascii="Cambria Math" w:hAnsi="Cambria Math"/>
                    <w:i/>
                    <w:szCs w:val="22"/>
                  </w:rPr>
                </m:ctrlPr>
              </m:e>
            </m:d>
            <m:ctrlPr>
              <w:rPr>
                <w:rFonts w:ascii="Cambria Math" w:hAnsi="Cambria Math"/>
                <w:i/>
                <w:szCs w:val="22"/>
              </w:rPr>
            </m:ctrlPr>
          </m:e>
          <m:sup>
            <m:d>
              <m:dPr>
                <m:ctrlPr>
                  <w:rPr>
                    <w:rFonts w:ascii="Cambria Math" w:hAnsi="Cambria Math"/>
                    <w:i/>
                    <w:szCs w:val="22"/>
                  </w:rPr>
                </m:ctrlPr>
              </m:dPr>
              <m:e>
                <m:r>
                  <m:rPr/>
                  <w:rPr>
                    <w:rFonts w:ascii="Cambria Math" w:hAnsi="Cambria Math"/>
                  </w:rPr>
                  <m:t>k−1</m:t>
                </m:r>
                <m:ctrlPr>
                  <w:rPr>
                    <w:rFonts w:ascii="Cambria Math" w:hAnsi="Cambria Math"/>
                    <w:i/>
                    <w:szCs w:val="22"/>
                  </w:rPr>
                </m:ctrlPr>
              </m:e>
            </m:d>
            <m:ctrlPr>
              <w:rPr>
                <w:rFonts w:ascii="Cambria Math" w:hAnsi="Cambria Math"/>
                <w:i/>
                <w:szCs w:val="22"/>
              </w:rPr>
            </m:ctrlPr>
          </m:sup>
        </m:sSup>
        <m:r>
          <m:rPr/>
          <w:rPr>
            <w:rFonts w:ascii="Cambria Math" w:hAnsi="Cambria Math"/>
          </w:rPr>
          <m:t>exp</m:t>
        </m:r>
        <m:d>
          <m:dPr>
            <m:begChr m:val="["/>
            <m:endChr m:val="]"/>
            <m:ctrlPr>
              <w:rPr>
                <w:rFonts w:ascii="Cambria Math" w:hAnsi="Cambria Math"/>
                <w:i/>
                <w:szCs w:val="22"/>
              </w:rPr>
            </m:ctrlPr>
          </m:dPr>
          <m:e>
            <m:r>
              <m:rPr/>
              <w:rPr>
                <w:rFonts w:ascii="Cambria Math" w:hAnsi="Cambria Math"/>
              </w:rPr>
              <m:t>−</m:t>
            </m:r>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r>
                          <m:rPr/>
                          <w:rPr>
                            <w:rFonts w:ascii="Cambria Math" w:hAnsi="Cambria Math"/>
                          </w:rPr>
                          <m:t>x−a</m:t>
                        </m:r>
                        <m:ctrlPr>
                          <w:rPr>
                            <w:rFonts w:ascii="Cambria Math" w:hAnsi="Cambria Math"/>
                            <w:i/>
                            <w:szCs w:val="22"/>
                          </w:rPr>
                        </m:ctrlPr>
                      </m:num>
                      <m:den>
                        <m:r>
                          <m:rPr/>
                          <w:rPr>
                            <w:rFonts w:ascii="Cambria Math" w:hAnsi="Cambria Math"/>
                          </w:rPr>
                          <m:t>b</m:t>
                        </m:r>
                        <m:ctrlPr>
                          <w:rPr>
                            <w:rFonts w:ascii="Cambria Math" w:hAnsi="Cambria Math"/>
                            <w:i/>
                            <w:szCs w:val="22"/>
                          </w:rPr>
                        </m:ctrlPr>
                      </m:den>
                    </m:f>
                    <m:ctrlPr>
                      <w:rPr>
                        <w:rFonts w:ascii="Cambria Math" w:hAnsi="Cambria Math"/>
                        <w:i/>
                        <w:szCs w:val="22"/>
                      </w:rPr>
                    </m:ctrlPr>
                  </m:e>
                </m:d>
                <m:ctrlPr>
                  <w:rPr>
                    <w:rFonts w:ascii="Cambria Math" w:hAnsi="Cambria Math"/>
                    <w:i/>
                    <w:szCs w:val="22"/>
                  </w:rPr>
                </m:ctrlPr>
              </m:e>
              <m:sup>
                <m:r>
                  <m:rPr/>
                  <w:rPr>
                    <w:rFonts w:ascii="Cambria Math" w:hAnsi="Cambria Math"/>
                  </w:rPr>
                  <m:t>k</m:t>
                </m:r>
                <m:ctrlPr>
                  <w:rPr>
                    <w:rFonts w:ascii="Cambria Math" w:hAnsi="Cambria Math"/>
                    <w:i/>
                    <w:szCs w:val="22"/>
                  </w:rPr>
                </m:ctrlPr>
              </m:sup>
            </m:sSup>
            <m:ctrlPr>
              <w:rPr>
                <w:rFonts w:ascii="Cambria Math" w:hAnsi="Cambria Math"/>
                <w:i/>
                <w:szCs w:val="22"/>
              </w:rPr>
            </m:ctrlPr>
          </m:e>
        </m:d>
      </m:oMath>
      <w:r>
        <w:rPr>
          <w:rFonts w:hint="eastAsia" w:ascii="宋体" w:hAnsi="宋体"/>
        </w:rPr>
        <w:t xml:space="preserve">                                           (A.7)</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函数的形状如图3所示。</w:t>
      </w:r>
    </w:p>
    <w:p>
      <w:pPr>
        <w:pStyle w:val="138"/>
        <w:tabs>
          <w:tab w:val="left" w:pos="284"/>
          <w:tab w:val="left" w:pos="567"/>
        </w:tabs>
        <w:spacing w:before="156" w:beforeLines="50" w:after="156" w:afterLines="50"/>
        <w:jc w:val="left"/>
        <w:rPr>
          <w:rFonts w:ascii="宋体" w:hAnsi="宋体"/>
        </w:rPr>
      </w:pPr>
      <w:r>
        <w:rPr>
          <w:rFonts w:hint="eastAsia" w:ascii="宋体" w:hAnsi="宋体"/>
        </w:rPr>
        <w:t>概率分布函数就是这个函数的积分，幸运的是有一个简单的解析形式，由式(A.8)给出:</w:t>
      </w:r>
    </w:p>
    <w:p>
      <w:pPr>
        <w:tabs>
          <w:tab w:val="left" w:pos="284"/>
          <w:tab w:val="left" w:pos="567"/>
        </w:tabs>
        <w:spacing w:before="156" w:beforeLines="50" w:after="156" w:afterLines="50"/>
        <w:ind w:firstLine="840" w:firstLineChars="400"/>
        <w:jc w:val="left"/>
        <w:rPr>
          <w:rFonts w:ascii="宋体" w:hAnsi="宋体"/>
        </w:rPr>
      </w:pPr>
      <m:oMath>
        <m:r>
          <m:rPr/>
          <w:rPr>
            <w:rFonts w:ascii="Cambria Math" w:hAnsi="Cambria Math"/>
          </w:rPr>
          <m:t>p</m:t>
        </m:r>
        <m:d>
          <m:dPr>
            <m:ctrlPr>
              <w:rPr>
                <w:rFonts w:ascii="Cambria Math" w:hAnsi="Cambria Math"/>
                <w:szCs w:val="22"/>
              </w:rPr>
            </m:ctrlPr>
          </m:dPr>
          <m:e>
            <m:r>
              <m:rPr/>
              <w:rPr>
                <w:rFonts w:ascii="Cambria Math" w:hAnsi="Cambria Math"/>
              </w:rPr>
              <m:t>x</m:t>
            </m:r>
            <m:ctrlPr>
              <w:rPr>
                <w:rFonts w:ascii="Cambria Math" w:hAnsi="Cambria Math"/>
                <w:szCs w:val="22"/>
              </w:rPr>
            </m:ctrlPr>
          </m:e>
        </m:d>
        <m:r>
          <m:rPr/>
          <w:rPr>
            <w:rFonts w:ascii="Cambria Math" w:hAnsi="Cambria Math"/>
          </w:rPr>
          <m:t>=1−exp</m:t>
        </m:r>
        <m:d>
          <m:dPr>
            <m:begChr m:val="["/>
            <m:endChr m:val="]"/>
            <m:ctrlPr>
              <w:rPr>
                <w:rFonts w:ascii="Cambria Math" w:hAnsi="Cambria Math"/>
                <w:i/>
                <w:szCs w:val="22"/>
              </w:rPr>
            </m:ctrlPr>
          </m:dPr>
          <m:e>
            <m:r>
              <m:rPr/>
              <w:rPr>
                <w:rFonts w:ascii="Cambria Math" w:hAnsi="Cambria Math"/>
              </w:rPr>
              <m:t>−</m:t>
            </m:r>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r>
                          <m:rPr/>
                          <w:rPr>
                            <w:rFonts w:ascii="Cambria Math" w:hAnsi="Cambria Math"/>
                          </w:rPr>
                          <m:t>x−a</m:t>
                        </m:r>
                        <m:ctrlPr>
                          <w:rPr>
                            <w:rFonts w:ascii="Cambria Math" w:hAnsi="Cambria Math"/>
                            <w:i/>
                            <w:szCs w:val="22"/>
                          </w:rPr>
                        </m:ctrlPr>
                      </m:num>
                      <m:den>
                        <m:r>
                          <m:rPr/>
                          <w:rPr>
                            <w:rFonts w:ascii="Cambria Math" w:hAnsi="Cambria Math"/>
                          </w:rPr>
                          <m:t>b</m:t>
                        </m:r>
                        <m:ctrlPr>
                          <w:rPr>
                            <w:rFonts w:ascii="Cambria Math" w:hAnsi="Cambria Math"/>
                            <w:i/>
                            <w:szCs w:val="22"/>
                          </w:rPr>
                        </m:ctrlPr>
                      </m:den>
                    </m:f>
                    <m:ctrlPr>
                      <w:rPr>
                        <w:rFonts w:ascii="Cambria Math" w:hAnsi="Cambria Math"/>
                        <w:i/>
                        <w:szCs w:val="22"/>
                      </w:rPr>
                    </m:ctrlPr>
                  </m:e>
                </m:d>
                <m:ctrlPr>
                  <w:rPr>
                    <w:rFonts w:ascii="Cambria Math" w:hAnsi="Cambria Math"/>
                    <w:i/>
                    <w:szCs w:val="22"/>
                  </w:rPr>
                </m:ctrlPr>
              </m:e>
              <m:sup>
                <m:r>
                  <m:rPr/>
                  <w:rPr>
                    <w:rFonts w:ascii="Cambria Math" w:hAnsi="Cambria Math"/>
                  </w:rPr>
                  <m:t>k</m:t>
                </m:r>
                <m:ctrlPr>
                  <w:rPr>
                    <w:rFonts w:ascii="Cambria Math" w:hAnsi="Cambria Math"/>
                    <w:i/>
                    <w:szCs w:val="22"/>
                  </w:rPr>
                </m:ctrlPr>
              </m:sup>
            </m:sSup>
            <m:ctrlPr>
              <w:rPr>
                <w:rFonts w:ascii="Cambria Math" w:hAnsi="Cambria Math"/>
                <w:i/>
                <w:szCs w:val="22"/>
              </w:rPr>
            </m:ctrlPr>
          </m:e>
        </m:d>
      </m:oMath>
      <w:r>
        <w:rPr>
          <w:rFonts w:hint="eastAsia" w:ascii="宋体" w:hAnsi="宋体"/>
        </w:rPr>
        <w:t xml:space="preserve">                                                 (A.8)</w:t>
      </w:r>
    </w:p>
    <w:p>
      <w:pPr>
        <w:pStyle w:val="23"/>
        <w:rPr>
          <w:rFonts w:ascii="Times New Roman"/>
        </w:rPr>
      </w:pPr>
      <w:r>
        <w:rPr>
          <w:rFonts w:ascii="Times New Roman"/>
        </w:rPr>
        <w:t>在这种形式中，参数</w:t>
      </w:r>
      <w:r>
        <w:rPr>
          <w:rFonts w:ascii="Times New Roman"/>
          <w:i/>
        </w:rPr>
        <w:t>a</w:t>
      </w:r>
      <w:r>
        <w:rPr>
          <w:rFonts w:ascii="Times New Roman"/>
        </w:rPr>
        <w:t>表示</w:t>
      </w:r>
      <w:r>
        <w:rPr>
          <w:rFonts w:ascii="Times New Roman"/>
          <w:i/>
        </w:rPr>
        <w:t>x</w:t>
      </w:r>
      <w:r>
        <w:rPr>
          <w:rFonts w:ascii="Times New Roman"/>
        </w:rPr>
        <w:t>的最小寿命参数，在该参数下失效概率刚好为零(表示无限寿命)。在大多数实际应用中，</w:t>
      </w:r>
      <w:r>
        <w:rPr>
          <w:rFonts w:ascii="Times New Roman"/>
          <w:i/>
        </w:rPr>
        <w:t>a</w:t>
      </w:r>
      <w:r>
        <w:rPr>
          <w:rFonts w:ascii="Times New Roman"/>
        </w:rPr>
        <w:t>被取为零。但是，当存在一个真正的疲劳极限时，</w:t>
      </w:r>
      <w:r>
        <w:rPr>
          <w:rFonts w:ascii="Times New Roman"/>
          <w:i/>
        </w:rPr>
        <w:t>a</w:t>
      </w:r>
      <w:r>
        <w:rPr>
          <w:rFonts w:ascii="Times New Roman"/>
        </w:rPr>
        <w:t>可以取一个有限的非零值。</w:t>
      </w:r>
    </w:p>
    <w:p>
      <w:pPr>
        <w:tabs>
          <w:tab w:val="left" w:pos="284"/>
          <w:tab w:val="left" w:pos="567"/>
        </w:tabs>
        <w:spacing w:before="156" w:beforeLines="50" w:after="156" w:afterLines="50"/>
        <w:ind w:firstLine="420" w:firstLineChars="200"/>
        <w:jc w:val="left"/>
      </w:pPr>
      <w:r>
        <w:t>参数</w:t>
      </w:r>
      <w:r>
        <w:rPr>
          <w:i/>
        </w:rPr>
        <w:t>b</w:t>
      </w:r>
      <w:r>
        <w:t>影响结果的分散程度和密度函数峰值的位置，而</w:t>
      </w:r>
      <w:r>
        <w:rPr>
          <w:i/>
        </w:rPr>
        <w:t>k</w:t>
      </w:r>
      <w:r>
        <w:t>改变密度分布的形状。</w:t>
      </w:r>
    </w:p>
    <w:p>
      <w:pPr>
        <w:pStyle w:val="23"/>
      </w:pPr>
    </w:p>
    <w:p>
      <w:pPr>
        <w:pStyle w:val="23"/>
      </w:pPr>
    </w:p>
    <w:p>
      <w:pPr>
        <w:pStyle w:val="23"/>
      </w:pPr>
    </w:p>
    <w:p>
      <w:pPr>
        <w:pStyle w:val="23"/>
      </w:pPr>
    </w:p>
    <w:p>
      <w:pPr>
        <w:pStyle w:val="23"/>
      </w:pPr>
    </w:p>
    <w:p>
      <w:pPr>
        <w:pStyle w:val="84"/>
      </w:pPr>
      <w:r>
        <w:br w:type="textWrapping"/>
      </w:r>
      <w:bookmarkStart w:id="271" w:name="_Toc124173981"/>
      <w:r>
        <w:rPr>
          <w:rFonts w:hint="eastAsia"/>
        </w:rPr>
        <w:t>（资料性）</w:t>
      </w:r>
      <w:r>
        <w:br w:type="textWrapping"/>
      </w:r>
      <w:r>
        <w:rPr>
          <w:rFonts w:hint="eastAsia"/>
        </w:rPr>
        <w:t>平均值的其他形式</w:t>
      </w:r>
      <w:bookmarkEnd w:id="271"/>
    </w:p>
    <w:p>
      <w:pPr>
        <w:pStyle w:val="138"/>
        <w:numPr>
          <w:ilvl w:val="0"/>
          <w:numId w:val="60"/>
        </w:numPr>
        <w:tabs>
          <w:tab w:val="left" w:pos="284"/>
          <w:tab w:val="left" w:pos="567"/>
        </w:tabs>
        <w:spacing w:before="156" w:beforeLines="50" w:after="156" w:afterLines="50"/>
        <w:ind w:left="0" w:firstLine="0" w:firstLineChars="0"/>
        <w:jc w:val="left"/>
        <w:rPr>
          <w:rFonts w:ascii="Times New Roman" w:hAnsi="Times New Roman"/>
        </w:rPr>
      </w:pPr>
      <w:r>
        <w:rPr>
          <w:rFonts w:hint="eastAsia" w:ascii="Times New Roman" w:hAnsi="Times New Roman"/>
        </w:rPr>
        <w:t>在个体结果差异可能跨越几十年的情况下，会遇到几何平均值</w:t>
      </w:r>
      <w:r>
        <w:rPr>
          <w:rFonts w:hint="eastAsia" w:ascii="Times New Roman" w:hAnsi="Times New Roman"/>
        </w:rPr>
        <w:sym w:font="Symbol" w:char="F060"/>
      </w:r>
      <w:r>
        <w:rPr>
          <w:rFonts w:ascii="Times New Roman" w:hAnsi="Times New Roman"/>
          <w:i/>
        </w:rPr>
        <w:t>x</w:t>
      </w:r>
      <w:r>
        <w:rPr>
          <w:rFonts w:ascii="Times New Roman" w:hAnsi="Times New Roman"/>
          <w:vertAlign w:val="subscript"/>
        </w:rPr>
        <w:t>geom</w:t>
      </w:r>
      <w:r>
        <w:rPr>
          <w:rFonts w:hint="eastAsia" w:ascii="Times New Roman" w:hAnsi="Times New Roman"/>
        </w:rPr>
        <w:t>，例如一些电气试验或疲劳寿命。几何均值为样本中</w:t>
      </w:r>
      <w:r>
        <w:rPr>
          <w:rFonts w:ascii="Times New Roman" w:hAnsi="Times New Roman"/>
          <w:i/>
        </w:rPr>
        <w:t>n</w:t>
      </w:r>
      <w:r>
        <w:rPr>
          <w:rFonts w:hint="eastAsia" w:ascii="Times New Roman" w:hAnsi="Times New Roman"/>
        </w:rPr>
        <w:t>个值的乘积的</w:t>
      </w:r>
      <w:r>
        <w:rPr>
          <w:rFonts w:ascii="Times New Roman" w:hAnsi="Times New Roman"/>
          <w:i/>
        </w:rPr>
        <w:t>n</w:t>
      </w:r>
      <w:r>
        <w:rPr>
          <w:rFonts w:hint="eastAsia" w:ascii="Times New Roman" w:hAnsi="Times New Roman"/>
        </w:rPr>
        <w:t>次方根，由下述方程给出：</w:t>
      </w:r>
    </w:p>
    <w:p>
      <w:pPr>
        <w:tabs>
          <w:tab w:val="left" w:pos="284"/>
          <w:tab w:val="left" w:pos="567"/>
        </w:tabs>
        <w:spacing w:before="156" w:beforeLines="50" w:after="156" w:afterLines="50"/>
        <w:ind w:firstLine="840" w:firstLineChars="400"/>
        <w:jc w:val="left"/>
        <w:rPr>
          <w:rFonts w:ascii="宋体" w:hAnsi="宋体"/>
        </w:rPr>
      </w:pPr>
      <m:oMath>
        <m:sSub>
          <m:sSubPr>
            <m:ctrlPr>
              <w:rPr>
                <w:rFonts w:ascii="Cambria Math" w:hAnsi="Cambria Math"/>
                <w:szCs w:val="22"/>
              </w:rPr>
            </m:ctrlPr>
          </m:sSubPr>
          <m:e>
            <m:acc>
              <m:accPr>
                <m:chr m:val="̅"/>
                <m:ctrlPr>
                  <w:rPr>
                    <w:rFonts w:ascii="Cambria Math" w:hAnsi="Cambria Math"/>
                    <w:i/>
                    <w:szCs w:val="22"/>
                  </w:rPr>
                </m:ctrlPr>
              </m:accPr>
              <m:e>
                <m:r>
                  <m:rPr/>
                  <w:rPr>
                    <w:rFonts w:ascii="Cambria Math" w:hAnsi="Cambria Math"/>
                  </w:rPr>
                  <m:t>x</m:t>
                </m:r>
                <m:ctrlPr>
                  <w:rPr>
                    <w:rFonts w:ascii="Cambria Math" w:hAnsi="Cambria Math"/>
                    <w:i/>
                    <w:szCs w:val="22"/>
                  </w:rPr>
                </m:ctrlPr>
              </m:e>
            </m:acc>
            <m:ctrlPr>
              <w:rPr>
                <w:rFonts w:ascii="Cambria Math" w:hAnsi="Cambria Math"/>
                <w:szCs w:val="22"/>
              </w:rPr>
            </m:ctrlPr>
          </m:e>
          <m:sub>
            <m:r>
              <m:rPr/>
              <w:rPr>
                <w:rFonts w:ascii="Cambria Math" w:hAnsi="Cambria Math"/>
              </w:rPr>
              <m:t>geom</m:t>
            </m:r>
            <m:ctrlPr>
              <w:rPr>
                <w:rFonts w:ascii="Cambria Math" w:hAnsi="Cambria Math"/>
                <w:szCs w:val="22"/>
              </w:rPr>
            </m:ctrlPr>
          </m:sub>
        </m:sSub>
        <m:r>
          <m:rPr/>
          <w:rPr>
            <w:rFonts w:ascii="Cambria Math" w:hAnsi="Cambria Math"/>
          </w:rPr>
          <m:t>=</m:t>
        </m:r>
        <m:rad>
          <m:radPr>
            <m:degHide m:val="1"/>
            <m:ctrlPr>
              <w:rPr>
                <w:rFonts w:ascii="Cambria Math" w:hAnsi="Cambria Math"/>
                <w:i/>
                <w:szCs w:val="22"/>
              </w:rPr>
            </m:ctrlPr>
          </m:radPr>
          <m:deg>
            <m:ctrlPr>
              <w:rPr>
                <w:rFonts w:ascii="Cambria Math" w:hAnsi="Cambria Math"/>
                <w:i/>
                <w:szCs w:val="22"/>
              </w:rPr>
            </m:ctrlPr>
          </m:deg>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1</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3</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n</m:t>
                </m:r>
                <m:ctrlPr>
                  <w:rPr>
                    <w:rFonts w:ascii="Cambria Math" w:hAnsi="Cambria Math"/>
                    <w:i/>
                    <w:szCs w:val="22"/>
                  </w:rPr>
                </m:ctrlPr>
              </m:sub>
            </m:sSub>
            <m:ctrlPr>
              <w:rPr>
                <w:rFonts w:ascii="Cambria Math" w:hAnsi="Cambria Math"/>
                <w:i/>
                <w:szCs w:val="22"/>
              </w:rPr>
            </m:ctrlPr>
          </m:e>
        </m:rad>
      </m:oMath>
      <w:r>
        <w:rPr>
          <w:rFonts w:hint="eastAsia" w:ascii="宋体" w:hAnsi="宋体"/>
        </w:rPr>
        <w:t xml:space="preserve">                                                      (B.1)</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可以证明，几何平均值是这些值对数的算术平均值的反对数。</w:t>
      </w:r>
    </w:p>
    <w:p>
      <w:pPr>
        <w:pStyle w:val="138"/>
        <w:numPr>
          <w:ilvl w:val="0"/>
          <w:numId w:val="60"/>
        </w:numPr>
        <w:tabs>
          <w:tab w:val="left" w:pos="284"/>
          <w:tab w:val="left" w:pos="567"/>
        </w:tabs>
        <w:spacing w:before="156" w:beforeLines="50" w:after="156" w:afterLines="50"/>
        <w:ind w:firstLineChars="0"/>
        <w:jc w:val="left"/>
        <w:rPr>
          <w:rFonts w:ascii="Times New Roman" w:hAnsi="Times New Roman"/>
        </w:rPr>
      </w:pPr>
      <w:r>
        <w:rPr>
          <w:rFonts w:hint="eastAsia" w:ascii="Times New Roman" w:hAnsi="Times New Roman"/>
        </w:rPr>
        <w:t>一组数字的均方根</w:t>
      </w:r>
      <w:r>
        <w:rPr>
          <w:rFonts w:ascii="Times New Roman" w:hAnsi="Times New Roman"/>
        </w:rPr>
        <w:t>(r.m.s.)</w:t>
      </w:r>
      <w:r>
        <w:rPr>
          <w:rFonts w:hint="eastAsia" w:ascii="Times New Roman" w:hAnsi="Times New Roman"/>
        </w:rPr>
        <w:t>或二次均值以这些值的平方均值的平方根表示，即：</w:t>
      </w:r>
    </w:p>
    <w:p>
      <w:pPr>
        <w:tabs>
          <w:tab w:val="left" w:pos="284"/>
          <w:tab w:val="left" w:pos="567"/>
        </w:tabs>
        <w:spacing w:before="156" w:beforeLines="50" w:after="156" w:afterLines="50"/>
        <w:ind w:firstLine="945" w:firstLineChars="450"/>
        <w:jc w:val="left"/>
      </w:pPr>
      <m:oMath>
        <m:r>
          <m:rPr>
            <m:sty m:val="p"/>
          </m:rPr>
          <w:rPr>
            <w:rFonts w:ascii="Cambria Math" w:hAnsi="Cambria Math"/>
          </w:rPr>
          <m:t>r.m.s=</m:t>
        </m:r>
        <m:rad>
          <m:radPr>
            <m:degHide m:val="1"/>
            <m:ctrlPr>
              <w:rPr>
                <w:rFonts w:ascii="Cambria Math" w:hAnsi="Cambria Math"/>
                <w:szCs w:val="22"/>
              </w:rPr>
            </m:ctrlPr>
          </m:radPr>
          <m:deg>
            <m:ctrlPr>
              <w:rPr>
                <w:rFonts w:ascii="Cambria Math" w:hAnsi="Cambria Math"/>
                <w:szCs w:val="22"/>
              </w:rPr>
            </m:ctrlPr>
          </m:deg>
          <m:e>
            <m:d>
              <m:dPr>
                <m:ctrlPr>
                  <w:rPr>
                    <w:rFonts w:ascii="Cambria Math" w:hAnsi="Cambria Math"/>
                    <w:i/>
                    <w:szCs w:val="22"/>
                  </w:rPr>
                </m:ctrlPr>
              </m:dPr>
              <m:e>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nary>
                <m:ctrlPr>
                  <w:rPr>
                    <w:rFonts w:ascii="Cambria Math" w:hAnsi="Cambria Math"/>
                    <w:i/>
                    <w:szCs w:val="22"/>
                  </w:rPr>
                </m:ctrlPr>
              </m:e>
            </m:d>
            <m:r>
              <m:rPr/>
              <w:rPr>
                <w:rFonts w:ascii="Cambria Math" w:hAnsi="Cambria Math"/>
              </w:rPr>
              <m:t>/n</m:t>
            </m:r>
            <m:ctrlPr>
              <w:rPr>
                <w:rFonts w:ascii="Cambria Math" w:hAnsi="Cambria Math"/>
                <w:szCs w:val="22"/>
              </w:rPr>
            </m:ctrlPr>
          </m:e>
        </m:rad>
      </m:oMath>
      <w:r>
        <w:t xml:space="preserve">                                  </w:t>
      </w:r>
      <w:r>
        <w:rPr>
          <w:rFonts w:hint="eastAsia"/>
        </w:rPr>
        <w:t xml:space="preserve">         </w:t>
      </w:r>
      <w:r>
        <w:t xml:space="preserve">             (B.2)</w:t>
      </w:r>
    </w:p>
    <w:p>
      <w:pPr>
        <w:tabs>
          <w:tab w:val="left" w:pos="284"/>
          <w:tab w:val="left" w:pos="567"/>
        </w:tabs>
        <w:spacing w:before="156" w:beforeLines="50" w:after="156" w:afterLines="50"/>
        <w:ind w:firstLine="420" w:firstLineChars="200"/>
        <w:jc w:val="left"/>
      </w:pPr>
      <w:r>
        <w:rPr>
          <w:rFonts w:hint="eastAsia"/>
        </w:rPr>
        <w:t>当测试各种要素或过程在关注的性能中产生不确定性，并且正在寻求它们的组合效果时，经常会发现这种均值是有用的。此外，当点散布在直线的两侧并且寻求平均偏差的总体度量时</w:t>
      </w:r>
      <w:r>
        <w:t>(</w:t>
      </w:r>
      <w:r>
        <w:rPr>
          <w:rFonts w:hint="eastAsia"/>
        </w:rPr>
        <w:t>例如，</w:t>
      </w:r>
      <w:r>
        <w:t>a.c.</w:t>
      </w:r>
      <w:r>
        <w:rPr>
          <w:rFonts w:hint="eastAsia"/>
        </w:rPr>
        <w:t>电压被列为</w:t>
      </w:r>
      <w:r>
        <w:t>r.m.s</w:t>
      </w:r>
      <w:r>
        <w:rPr>
          <w:rFonts w:hint="eastAsia"/>
        </w:rPr>
        <w:t>值，因为正弦波的其他平均值为零</w:t>
      </w:r>
      <w:r>
        <w:t>)</w:t>
      </w:r>
      <w:r>
        <w:rPr>
          <w:rFonts w:hint="eastAsia"/>
        </w:rPr>
        <w:t>。</w:t>
      </w:r>
    </w:p>
    <w:p>
      <w:pPr>
        <w:pStyle w:val="23"/>
      </w:pPr>
    </w:p>
    <w:p>
      <w:pPr>
        <w:pStyle w:val="84"/>
      </w:pPr>
      <w:r>
        <w:br w:type="textWrapping"/>
      </w:r>
      <w:bookmarkStart w:id="272" w:name="_Toc124173982"/>
      <w:r>
        <w:rPr>
          <w:rFonts w:hint="eastAsia"/>
        </w:rPr>
        <w:t>（资料性）</w:t>
      </w:r>
      <w:r>
        <w:br w:type="textWrapping"/>
      </w:r>
      <w:r>
        <w:rPr>
          <w:rFonts w:hint="eastAsia"/>
        </w:rPr>
        <w:t>在双指数和威布尔分布中集中趋势度量的相互关系</w:t>
      </w:r>
      <w:bookmarkEnd w:id="272"/>
    </w:p>
    <w:p>
      <w:pPr>
        <w:pStyle w:val="102"/>
        <w:spacing w:before="312" w:after="312"/>
        <w:rPr>
          <w:rFonts w:hAnsi="黑体"/>
          <w:kern w:val="0"/>
        </w:rPr>
      </w:pPr>
      <w:bookmarkStart w:id="273" w:name="_Toc124173983"/>
      <w:bookmarkStart w:id="274" w:name="_Toc124173215"/>
      <w:r>
        <w:rPr>
          <w:rFonts w:hint="eastAsia" w:hAnsi="黑体"/>
          <w:kern w:val="0"/>
        </w:rPr>
        <w:t>双指数分布</w:t>
      </w:r>
      <w:bookmarkEnd w:id="273"/>
      <w:bookmarkEnd w:id="274"/>
    </w:p>
    <w:p>
      <w:pPr>
        <w:pStyle w:val="23"/>
        <w:rPr>
          <w:rFonts w:ascii="Times New Roman"/>
        </w:rPr>
      </w:pPr>
      <w:r>
        <w:rPr>
          <w:rFonts w:ascii="Times New Roman"/>
        </w:rPr>
        <w:t>由双指数分布函数的方程可以看出:</w:t>
      </w:r>
    </w:p>
    <w:p>
      <w:pPr>
        <w:pStyle w:val="23"/>
        <w:rPr>
          <w:rFonts w:ascii="Times New Roman"/>
        </w:rPr>
      </w:pPr>
      <w:r>
        <w:rPr>
          <w:rFonts w:ascii="Times New Roman"/>
        </w:rPr>
        <w:t>a) 当参数为</w:t>
      </w:r>
      <w:r>
        <w:rPr>
          <w:rFonts w:ascii="Times New Roman"/>
          <w:i/>
        </w:rPr>
        <w:t>ε</w:t>
      </w:r>
      <w:r>
        <w:rPr>
          <w:rFonts w:ascii="Times New Roman"/>
        </w:rPr>
        <w:t xml:space="preserve">= 0时，众数出现; </w:t>
      </w:r>
    </w:p>
    <w:p>
      <w:pPr>
        <w:pStyle w:val="23"/>
        <w:rPr>
          <w:rFonts w:ascii="Times New Roman"/>
        </w:rPr>
      </w:pPr>
      <w:r>
        <w:rPr>
          <w:rFonts w:ascii="Times New Roman"/>
        </w:rPr>
        <w:t>b) 当</w:t>
      </w:r>
      <w:r>
        <w:rPr>
          <w:rFonts w:ascii="Times New Roman"/>
          <w:i/>
        </w:rPr>
        <w:t>ε</w:t>
      </w:r>
      <w:r>
        <w:rPr>
          <w:rFonts w:ascii="Times New Roman"/>
        </w:rPr>
        <w:t xml:space="preserve"> = ln(ln 2)时，中位数出现;</w:t>
      </w:r>
    </w:p>
    <w:p>
      <w:pPr>
        <w:pStyle w:val="23"/>
        <w:rPr>
          <w:rFonts w:ascii="Times New Roman"/>
        </w:rPr>
      </w:pPr>
      <w:r>
        <w:rPr>
          <w:rFonts w:ascii="Times New Roman"/>
        </w:rPr>
        <w:t>c) 当</w:t>
      </w:r>
      <w:r>
        <w:rPr>
          <w:rFonts w:ascii="Times New Roman"/>
          <w:i/>
        </w:rPr>
        <w:t>ε</w:t>
      </w:r>
      <w:r>
        <w:rPr>
          <w:rFonts w:ascii="Times New Roman"/>
        </w:rPr>
        <w:t xml:space="preserve"> = </w:t>
      </w:r>
      <w:r>
        <w:rPr>
          <w:rFonts w:ascii="Times New Roman" w:eastAsia="MS Mincho"/>
        </w:rPr>
        <w:t>−</w:t>
      </w:r>
      <w:r>
        <w:rPr>
          <w:rFonts w:ascii="Times New Roman"/>
        </w:rPr>
        <w:t xml:space="preserve"> </w:t>
      </w:r>
      <w:r>
        <w:rPr>
          <w:rFonts w:ascii="Times New Roman"/>
          <w:i/>
        </w:rPr>
        <w:t>E</w:t>
      </w:r>
      <w:r>
        <w:rPr>
          <w:rFonts w:ascii="Times New Roman"/>
        </w:rPr>
        <w:t>时，均值出现(</w:t>
      </w:r>
      <w:r>
        <w:rPr>
          <w:rFonts w:ascii="Times New Roman"/>
          <w:i/>
        </w:rPr>
        <w:t>E</w:t>
      </w:r>
      <w:r>
        <w:rPr>
          <w:rFonts w:ascii="Times New Roman"/>
        </w:rPr>
        <w:t>是欧拉常数：0.577 216)。</w:t>
      </w:r>
    </w:p>
    <w:p>
      <w:pPr>
        <w:pStyle w:val="23"/>
        <w:rPr>
          <w:rFonts w:ascii="Times New Roman"/>
        </w:rPr>
      </w:pPr>
      <w:r>
        <w:rPr>
          <w:rFonts w:ascii="Times New Roman"/>
        </w:rPr>
        <w:t>由此可知(见参考文献[8]):</w:t>
      </w:r>
    </w:p>
    <w:p>
      <w:pPr>
        <w:pStyle w:val="23"/>
        <w:rPr>
          <w:rFonts w:ascii="Times New Roman"/>
        </w:rPr>
      </w:pPr>
      <w:r>
        <w:rPr>
          <w:rFonts w:ascii="Times New Roman"/>
        </w:rPr>
        <w:t>众数=均值+0.450 05</w:t>
      </w:r>
      <w:r>
        <w:rPr>
          <w:rFonts w:ascii="Times New Roman"/>
          <w:i/>
        </w:rPr>
        <w:sym w:font="Symbol" w:char="0073"/>
      </w:r>
    </w:p>
    <w:p>
      <w:pPr>
        <w:pStyle w:val="23"/>
        <w:rPr>
          <w:rFonts w:ascii="Times New Roman"/>
        </w:rPr>
      </w:pPr>
      <w:r>
        <w:rPr>
          <w:rFonts w:ascii="Times New Roman"/>
        </w:rPr>
        <w:t>中位数=均值+0.164 28</w:t>
      </w:r>
      <w:r>
        <w:rPr>
          <w:rFonts w:ascii="Times New Roman"/>
          <w:i/>
        </w:rPr>
        <w:sym w:font="Symbol" w:char="0073"/>
      </w:r>
    </w:p>
    <w:p>
      <w:pPr>
        <w:pStyle w:val="23"/>
        <w:ind w:firstLine="0" w:firstLineChars="0"/>
        <w:rPr>
          <w:rFonts w:ascii="Times New Roman"/>
        </w:rPr>
      </w:pPr>
      <w:r>
        <w:rPr>
          <w:rFonts w:ascii="Times New Roman"/>
        </w:rPr>
        <w:t>其中，</w:t>
      </w:r>
      <w:r>
        <w:rPr>
          <w:rFonts w:ascii="Times New Roman"/>
        </w:rPr>
        <w:sym w:font="Symbol" w:char="0073"/>
      </w:r>
      <w:r>
        <w:rPr>
          <w:rFonts w:ascii="Times New Roman"/>
        </w:rPr>
        <w:t>是总体标准差（见6.2.3）。</w:t>
      </w:r>
    </w:p>
    <w:p>
      <w:pPr>
        <w:pStyle w:val="102"/>
        <w:spacing w:before="312" w:after="312"/>
        <w:rPr>
          <w:rFonts w:hAnsi="黑体"/>
          <w:kern w:val="0"/>
        </w:rPr>
      </w:pPr>
      <w:bookmarkStart w:id="275" w:name="_Toc124173984"/>
      <w:bookmarkStart w:id="276" w:name="_Toc124173216"/>
      <w:r>
        <w:rPr>
          <w:rFonts w:hint="eastAsia" w:hAnsi="黑体"/>
          <w:kern w:val="0"/>
        </w:rPr>
        <w:t>威布尔分布</w:t>
      </w:r>
      <w:bookmarkEnd w:id="275"/>
      <w:bookmarkEnd w:id="276"/>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对于威布尔分布函数，均值能够用式(C.1)给出：</w:t>
      </w:r>
    </w:p>
    <w:p>
      <w:pPr>
        <w:tabs>
          <w:tab w:val="left" w:pos="284"/>
          <w:tab w:val="left" w:pos="567"/>
        </w:tabs>
        <w:spacing w:before="156" w:beforeLines="50" w:after="156" w:afterLines="50"/>
        <w:ind w:firstLine="420" w:firstLineChars="200"/>
        <w:jc w:val="left"/>
        <w:rPr>
          <w:rFonts w:ascii="宋体" w:hAnsi="宋体"/>
        </w:rPr>
      </w:pPr>
      <m:oMath>
        <m:acc>
          <m:accPr>
            <m:chr m:val="̅"/>
            <m:ctrlPr>
              <w:rPr>
                <w:rFonts w:ascii="Cambria Math" w:hAnsi="Cambria Math"/>
                <w:i/>
                <w:szCs w:val="22"/>
              </w:rPr>
            </m:ctrlPr>
          </m:accPr>
          <m:e>
            <m:r>
              <m:rPr/>
              <w:rPr>
                <w:rFonts w:ascii="Cambria Math" w:hAnsi="Cambria Math"/>
              </w:rPr>
              <m:t>x</m:t>
            </m:r>
            <m:ctrlPr>
              <w:rPr>
                <w:rFonts w:ascii="Cambria Math" w:hAnsi="Cambria Math"/>
                <w:i/>
                <w:szCs w:val="22"/>
              </w:rPr>
            </m:ctrlPr>
          </m:e>
        </m:acc>
        <m:r>
          <m:rPr/>
          <w:rPr>
            <w:rFonts w:ascii="Cambria Math" w:hAnsi="Cambria Math"/>
          </w:rPr>
          <m:t>=a+bΓ</m:t>
        </m:r>
        <m:d>
          <m:dPr>
            <m:begChr m:val="["/>
            <m:endChr m:val="]"/>
            <m:ctrlPr>
              <w:rPr>
                <w:rFonts w:ascii="Cambria Math" w:hAnsi="Cambria Math"/>
                <w:i/>
                <w:szCs w:val="22"/>
              </w:rPr>
            </m:ctrlPr>
          </m:dPr>
          <m:e>
            <m:r>
              <m:rPr/>
              <w:rPr>
                <w:rFonts w:ascii="Cambria Math" w:hAnsi="Cambria Math"/>
              </w:rPr>
              <m:t>1+</m:t>
            </m:r>
            <m:d>
              <m:dPr>
                <m:ctrlPr>
                  <w:rPr>
                    <w:rFonts w:ascii="Cambria Math" w:hAnsi="Cambria Math"/>
                    <w:i/>
                    <w:szCs w:val="22"/>
                  </w:rPr>
                </m:ctrlPr>
              </m:dPr>
              <m:e>
                <m:r>
                  <m:rPr/>
                  <w:rPr>
                    <w:rFonts w:ascii="Cambria Math" w:hAnsi="Cambria Math"/>
                  </w:rPr>
                  <m:t>1/k</m:t>
                </m:r>
                <m:ctrlPr>
                  <w:rPr>
                    <w:rFonts w:ascii="Cambria Math" w:hAnsi="Cambria Math"/>
                    <w:i/>
                    <w:szCs w:val="22"/>
                  </w:rPr>
                </m:ctrlPr>
              </m:e>
            </m:d>
            <m:ctrlPr>
              <w:rPr>
                <w:rFonts w:ascii="Cambria Math" w:hAnsi="Cambria Math"/>
                <w:i/>
                <w:szCs w:val="22"/>
              </w:rPr>
            </m:ctrlPr>
          </m:e>
        </m:d>
      </m:oMath>
      <w:r>
        <w:rPr>
          <w:rFonts w:hint="eastAsia" w:ascii="宋体" w:hAnsi="宋体"/>
        </w:rPr>
        <w:t xml:space="preserve">                                                 (C.1)</w:t>
      </w:r>
    </w:p>
    <w:p>
      <w:pPr>
        <w:tabs>
          <w:tab w:val="left" w:pos="284"/>
          <w:tab w:val="left" w:pos="567"/>
        </w:tabs>
        <w:spacing w:before="156" w:beforeLines="50" w:after="156" w:afterLines="50"/>
        <w:jc w:val="left"/>
        <w:rPr>
          <w:rFonts w:ascii="宋体" w:hAnsi="宋体"/>
        </w:rPr>
      </w:pPr>
      <w:r>
        <w:rPr>
          <w:rFonts w:hint="eastAsia" w:ascii="宋体" w:hAnsi="宋体"/>
        </w:rPr>
        <w:t>式中，</w:t>
      </w:r>
    </w:p>
    <w:p>
      <w:pPr>
        <w:tabs>
          <w:tab w:val="left" w:pos="284"/>
          <w:tab w:val="left" w:pos="567"/>
        </w:tabs>
        <w:spacing w:before="156" w:beforeLines="50" w:after="156" w:afterLines="50"/>
        <w:ind w:left="630" w:leftChars="300"/>
        <w:jc w:val="left"/>
        <w:rPr>
          <w:rFonts w:ascii="宋体" w:hAnsi="宋体"/>
        </w:rPr>
      </w:pPr>
      <m:oMath>
        <m:acc>
          <m:accPr>
            <m:chr m:val="̅"/>
            <m:ctrlPr>
              <w:rPr>
                <w:rFonts w:ascii="Cambria Math" w:hAnsi="Cambria Math"/>
                <w:szCs w:val="22"/>
              </w:rPr>
            </m:ctrlPr>
          </m:accPr>
          <m:e>
            <m:r>
              <m:rPr/>
              <w:rPr>
                <w:rFonts w:ascii="Cambria Math" w:hAnsi="Cambria Math"/>
              </w:rPr>
              <m:t>x</m:t>
            </m:r>
            <m:ctrlPr>
              <w:rPr>
                <w:rFonts w:ascii="Cambria Math" w:hAnsi="Cambria Math"/>
                <w:szCs w:val="22"/>
              </w:rPr>
            </m:ctrlPr>
          </m:e>
        </m:acc>
      </m:oMath>
      <w:r>
        <w:rPr>
          <w:rFonts w:hint="eastAsia" w:ascii="宋体" w:hAnsi="宋体"/>
        </w:rPr>
        <w:t xml:space="preserve"> 是均值；</w:t>
      </w:r>
    </w:p>
    <w:p>
      <w:pPr>
        <w:tabs>
          <w:tab w:val="left" w:pos="284"/>
          <w:tab w:val="left" w:pos="567"/>
        </w:tabs>
        <w:spacing w:before="156" w:beforeLines="50" w:after="156" w:afterLines="50"/>
        <w:ind w:left="630" w:leftChars="300"/>
        <w:jc w:val="left"/>
        <w:rPr>
          <w:rFonts w:ascii="宋体" w:hAnsi="宋体"/>
        </w:rPr>
      </w:pPr>
      <w:r>
        <w:rPr>
          <w:rFonts w:ascii="宋体" w:hAnsi="宋体"/>
          <w:i/>
        </w:rPr>
        <w:sym w:font="Symbol" w:char="0047"/>
      </w:r>
      <w:r>
        <w:rPr>
          <w:rFonts w:hint="eastAsia" w:ascii="宋体" w:hAnsi="宋体"/>
          <w:i/>
        </w:rPr>
        <w:t xml:space="preserve"> </w:t>
      </w:r>
      <w:r>
        <w:rPr>
          <w:rFonts w:hint="eastAsia" w:ascii="宋体" w:hAnsi="宋体"/>
        </w:rPr>
        <w:t>是伽马函数.</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标准差</w:t>
      </w:r>
      <w:r>
        <w:rPr>
          <w:i/>
        </w:rPr>
        <w:sym w:font="Symbol" w:char="0073"/>
      </w:r>
      <w:r>
        <w:rPr>
          <w:rFonts w:hint="eastAsia" w:ascii="宋体" w:hAnsi="宋体"/>
        </w:rPr>
        <w:t>由式(C.2)给出：</w:t>
      </w:r>
    </w:p>
    <w:p>
      <w:pPr>
        <w:tabs>
          <w:tab w:val="left" w:pos="284"/>
          <w:tab w:val="left" w:pos="567"/>
        </w:tabs>
        <w:spacing w:before="156" w:beforeLines="50" w:after="156" w:afterLines="50"/>
        <w:ind w:firstLine="420" w:firstLineChars="200"/>
        <w:jc w:val="left"/>
        <w:rPr>
          <w:rFonts w:ascii="宋体" w:hAnsi="宋体"/>
        </w:rPr>
      </w:pPr>
      <m:oMath>
        <m:r>
          <m:rPr/>
          <w:rPr>
            <w:rFonts w:ascii="Cambria Math" w:hAnsi="Cambria Math"/>
          </w:rPr>
          <m:t>σ</m:t>
        </m:r>
        <m:r>
          <m:rPr>
            <m:sty m:val="p"/>
          </m:rPr>
          <w:rPr>
            <w:rFonts w:ascii="Cambria Math" w:hAnsi="Cambria Math"/>
          </w:rPr>
          <m:t>=</m:t>
        </m:r>
        <m:sSup>
          <m:sSupPr>
            <m:ctrlPr>
              <w:rPr>
                <w:rFonts w:ascii="Cambria Math" w:hAnsi="Cambria Math"/>
                <w:szCs w:val="22"/>
              </w:rPr>
            </m:ctrlPr>
          </m:sSupPr>
          <m:e>
            <m:r>
              <m:rPr/>
              <w:rPr>
                <w:rFonts w:ascii="Cambria Math" w:hAnsi="Cambria Math"/>
              </w:rPr>
              <m:t>b</m:t>
            </m:r>
            <m:ctrlPr>
              <w:rPr>
                <w:rFonts w:ascii="Cambria Math" w:hAnsi="Cambria Math"/>
                <w:szCs w:val="22"/>
              </w:rPr>
            </m:ctrlPr>
          </m:e>
          <m:sup>
            <m:r>
              <m:rPr/>
              <w:rPr>
                <w:rFonts w:ascii="Cambria Math" w:hAnsi="Cambria Math"/>
              </w:rPr>
              <m:t>2</m:t>
            </m:r>
            <m:ctrlPr>
              <w:rPr>
                <w:rFonts w:ascii="Cambria Math" w:hAnsi="Cambria Math"/>
                <w:szCs w:val="22"/>
              </w:rPr>
            </m:ctrlPr>
          </m:sup>
        </m:sSup>
        <m:d>
          <m:dPr>
            <m:begChr m:val="{"/>
            <m:endChr m:val="}"/>
            <m:ctrlPr>
              <w:rPr>
                <w:rFonts w:ascii="Cambria Math" w:hAnsi="Cambria Math"/>
                <w:i/>
                <w:szCs w:val="22"/>
              </w:rPr>
            </m:ctrlPr>
          </m:dPr>
          <m:e>
            <m:r>
              <m:rPr/>
              <w:rPr>
                <w:rFonts w:ascii="Cambria Math" w:hAnsi="Cambria Math"/>
              </w:rPr>
              <m:t>Γ</m:t>
            </m:r>
            <m:d>
              <m:dPr>
                <m:begChr m:val="["/>
                <m:endChr m:val="]"/>
                <m:ctrlPr>
                  <w:rPr>
                    <w:rFonts w:ascii="Cambria Math" w:hAnsi="Cambria Math"/>
                    <w:i/>
                    <w:szCs w:val="22"/>
                  </w:rPr>
                </m:ctrlPr>
              </m:dPr>
              <m:e>
                <m:r>
                  <m:rPr/>
                  <w:rPr>
                    <w:rFonts w:ascii="Cambria Math" w:hAnsi="Cambria Math"/>
                  </w:rPr>
                  <m:t>1+</m:t>
                </m:r>
                <m:d>
                  <m:dPr>
                    <m:ctrlPr>
                      <w:rPr>
                        <w:rFonts w:ascii="Cambria Math" w:hAnsi="Cambria Math"/>
                        <w:i/>
                        <w:szCs w:val="22"/>
                      </w:rPr>
                    </m:ctrlPr>
                  </m:dPr>
                  <m:e>
                    <m:r>
                      <m:rPr/>
                      <w:rPr>
                        <w:rFonts w:ascii="Cambria Math" w:hAnsi="Cambria Math"/>
                      </w:rPr>
                      <m:t>2/k</m:t>
                    </m:r>
                    <m:ctrlPr>
                      <w:rPr>
                        <w:rFonts w:ascii="Cambria Math" w:hAnsi="Cambria Math"/>
                        <w:i/>
                        <w:szCs w:val="22"/>
                      </w:rPr>
                    </m:ctrlPr>
                  </m:e>
                </m:d>
                <m:ctrlPr>
                  <w:rPr>
                    <w:rFonts w:ascii="Cambria Math" w:hAnsi="Cambria Math"/>
                    <w:i/>
                    <w:szCs w:val="22"/>
                  </w:rPr>
                </m:ctrlPr>
              </m:e>
            </m:d>
            <m:r>
              <m:rPr/>
              <w:rPr>
                <w:rFonts w:ascii="Cambria Math" w:hAnsi="Cambria Math"/>
              </w:rPr>
              <m:t>−</m:t>
            </m:r>
            <m:sSup>
              <m:sSupPr>
                <m:ctrlPr>
                  <w:rPr>
                    <w:rFonts w:ascii="Cambria Math" w:hAnsi="Cambria Math"/>
                    <w:i/>
                    <w:szCs w:val="22"/>
                  </w:rPr>
                </m:ctrlPr>
              </m:sSupPr>
              <m:e>
                <m:r>
                  <m:rPr/>
                  <w:rPr>
                    <w:rFonts w:ascii="Cambria Math" w:hAnsi="Cambria Math"/>
                  </w:rPr>
                  <m:t>Γ</m:t>
                </m:r>
                <m:ctrlPr>
                  <w:rPr>
                    <w:rFonts w:ascii="Cambria Math" w:hAnsi="Cambria Math"/>
                    <w:i/>
                    <w:szCs w:val="22"/>
                  </w:rPr>
                </m:ctrlPr>
              </m:e>
              <m:sup>
                <m:r>
                  <m:rPr/>
                  <w:rPr>
                    <w:rFonts w:ascii="Cambria Math" w:hAnsi="Cambria Math"/>
                  </w:rPr>
                  <m:t>2</m:t>
                </m:r>
                <m:ctrlPr>
                  <w:rPr>
                    <w:rFonts w:ascii="Cambria Math" w:hAnsi="Cambria Math"/>
                    <w:i/>
                    <w:szCs w:val="22"/>
                  </w:rPr>
                </m:ctrlPr>
              </m:sup>
            </m:sSup>
            <m:d>
              <m:dPr>
                <m:begChr m:val="["/>
                <m:endChr m:val="]"/>
                <m:ctrlPr>
                  <w:rPr>
                    <w:rFonts w:ascii="Cambria Math" w:hAnsi="Cambria Math"/>
                    <w:i/>
                    <w:szCs w:val="22"/>
                  </w:rPr>
                </m:ctrlPr>
              </m:dPr>
              <m:e>
                <m:r>
                  <m:rPr/>
                  <w:rPr>
                    <w:rFonts w:ascii="Cambria Math" w:hAnsi="Cambria Math"/>
                  </w:rPr>
                  <m:t>1+</m:t>
                </m:r>
                <m:d>
                  <m:dPr>
                    <m:ctrlPr>
                      <w:rPr>
                        <w:rFonts w:ascii="Cambria Math" w:hAnsi="Cambria Math"/>
                        <w:i/>
                        <w:szCs w:val="22"/>
                      </w:rPr>
                    </m:ctrlPr>
                  </m:dPr>
                  <m:e>
                    <m:r>
                      <m:rPr/>
                      <w:rPr>
                        <w:rFonts w:ascii="Cambria Math" w:hAnsi="Cambria Math"/>
                      </w:rPr>
                      <m:t>1/k</m:t>
                    </m:r>
                    <m:ctrlPr>
                      <w:rPr>
                        <w:rFonts w:ascii="Cambria Math" w:hAnsi="Cambria Math"/>
                        <w:i/>
                        <w:szCs w:val="22"/>
                      </w:rPr>
                    </m:ctrlPr>
                  </m:e>
                </m:d>
                <m:ctrlPr>
                  <w:rPr>
                    <w:rFonts w:ascii="Cambria Math" w:hAnsi="Cambria Math"/>
                    <w:i/>
                    <w:szCs w:val="22"/>
                  </w:rPr>
                </m:ctrlPr>
              </m:e>
            </m:d>
            <m:ctrlPr>
              <w:rPr>
                <w:rFonts w:ascii="Cambria Math" w:hAnsi="Cambria Math"/>
                <w:i/>
                <w:szCs w:val="22"/>
              </w:rPr>
            </m:ctrlPr>
          </m:e>
        </m:d>
      </m:oMath>
      <w:r>
        <w:rPr>
          <w:rFonts w:hint="eastAsia" w:ascii="宋体" w:hAnsi="宋体"/>
        </w:rPr>
        <w:t xml:space="preserve">                                  (C.2)</w:t>
      </w:r>
    </w:p>
    <w:p>
      <w:pPr>
        <w:tabs>
          <w:tab w:val="left" w:pos="284"/>
          <w:tab w:val="left" w:pos="567"/>
        </w:tabs>
        <w:spacing w:before="156" w:beforeLines="50" w:after="156" w:afterLines="50"/>
        <w:ind w:firstLine="420" w:firstLineChars="200"/>
        <w:jc w:val="left"/>
        <w:rPr>
          <w:rFonts w:ascii="宋体" w:hAnsi="宋体"/>
        </w:rPr>
      </w:pPr>
      <w:r>
        <w:rPr>
          <w:rFonts w:hint="eastAsia" w:ascii="宋体" w:hAnsi="宋体"/>
        </w:rPr>
        <w:t>相似地，得出：</w:t>
      </w:r>
    </w:p>
    <w:p>
      <w:pPr>
        <w:tabs>
          <w:tab w:val="left" w:pos="284"/>
          <w:tab w:val="left" w:pos="567"/>
        </w:tabs>
        <w:spacing w:before="156" w:beforeLines="50" w:after="156" w:afterLines="50"/>
        <w:ind w:firstLine="420" w:firstLineChars="200"/>
        <w:jc w:val="left"/>
      </w:pPr>
      <w:r>
        <w:rPr>
          <w:rFonts w:hint="eastAsia"/>
        </w:rPr>
        <w:t>均值</w:t>
      </w:r>
      <w:r>
        <w:t xml:space="preserve"> = </w:t>
      </w:r>
      <w:r>
        <w:rPr>
          <w:i/>
        </w:rPr>
        <w:t xml:space="preserve">a </w:t>
      </w:r>
      <w:r>
        <w:t xml:space="preserve">+ </w:t>
      </w:r>
      <w:r>
        <w:rPr>
          <w:i/>
        </w:rPr>
        <w:t>b</w:t>
      </w:r>
      <w:r>
        <w:t>(ln2)</w:t>
      </w:r>
      <w:r>
        <w:rPr>
          <w:vertAlign w:val="superscript"/>
        </w:rPr>
        <w:t>(1/k)</w:t>
      </w:r>
      <w:r>
        <w:t xml:space="preserve">                                                  (C.3)</w:t>
      </w:r>
    </w:p>
    <w:p>
      <w:pPr>
        <w:tabs>
          <w:tab w:val="left" w:pos="284"/>
          <w:tab w:val="left" w:pos="567"/>
        </w:tabs>
        <w:spacing w:before="156" w:beforeLines="50" w:after="156" w:afterLines="50"/>
        <w:ind w:firstLine="420" w:firstLineChars="200"/>
        <w:jc w:val="left"/>
      </w:pPr>
      <w:r>
        <w:rPr>
          <w:rFonts w:hint="eastAsia"/>
        </w:rPr>
        <w:t>众数</w:t>
      </w:r>
      <w:r>
        <w:t xml:space="preserve"> = </w:t>
      </w:r>
      <w:r>
        <w:rPr>
          <w:i/>
        </w:rPr>
        <w:t xml:space="preserve">a </w:t>
      </w:r>
      <w:r>
        <w:t xml:space="preserve">+ </w:t>
      </w:r>
      <w:r>
        <w:rPr>
          <w:i/>
        </w:rPr>
        <w:t>b</w:t>
      </w:r>
      <w:r>
        <w:t>(</w:t>
      </w:r>
      <m:oMath>
        <m:f>
          <m:fPr>
            <m:ctrlPr>
              <w:rPr>
                <w:rFonts w:ascii="Cambria Math" w:hAnsi="Cambria Math"/>
                <w:szCs w:val="22"/>
              </w:rPr>
            </m:ctrlPr>
          </m:fPr>
          <m:num>
            <m:r>
              <m:rPr/>
              <w:rPr>
                <w:rFonts w:ascii="Cambria Math" w:hAnsi="Cambria Math"/>
              </w:rPr>
              <m:t>k−1</m:t>
            </m:r>
            <m:ctrlPr>
              <w:rPr>
                <w:rFonts w:ascii="Cambria Math" w:hAnsi="Cambria Math"/>
                <w:szCs w:val="22"/>
              </w:rPr>
            </m:ctrlPr>
          </m:num>
          <m:den>
            <m:r>
              <m:rPr/>
              <w:rPr>
                <w:rFonts w:ascii="Cambria Math" w:hAnsi="Cambria Math"/>
              </w:rPr>
              <m:t>k</m:t>
            </m:r>
            <m:ctrlPr>
              <w:rPr>
                <w:rFonts w:ascii="Cambria Math" w:hAnsi="Cambria Math"/>
                <w:szCs w:val="22"/>
              </w:rPr>
            </m:ctrlPr>
          </m:den>
        </m:f>
      </m:oMath>
      <w:r>
        <w:t>)</w:t>
      </w:r>
      <w:r>
        <w:rPr>
          <w:vertAlign w:val="superscript"/>
        </w:rPr>
        <w:t>(1/k)</w:t>
      </w:r>
      <w:r>
        <w:t xml:space="preserve">                                                  (C.4)</w:t>
      </w:r>
    </w:p>
    <w:p>
      <w:pPr>
        <w:pStyle w:val="23"/>
      </w:pPr>
    </w:p>
    <w:p>
      <w:pPr>
        <w:pStyle w:val="23"/>
      </w:pPr>
    </w:p>
    <w:p>
      <w:pPr>
        <w:pStyle w:val="84"/>
        <w:rPr>
          <w:color w:val="FF0000"/>
        </w:rPr>
      </w:pPr>
      <w:r>
        <w:br w:type="textWrapping"/>
      </w:r>
      <w:bookmarkStart w:id="277" w:name="_Toc124173985"/>
      <w:r>
        <w:rPr>
          <w:rFonts w:hint="eastAsia"/>
        </w:rPr>
        <w:t>（资料性）</w:t>
      </w:r>
      <w:r>
        <w:br w:type="textWrapping"/>
      </w:r>
      <w:r>
        <w:rPr>
          <w:rFonts w:hint="eastAsia"/>
          <w:color w:val="FF0000"/>
        </w:rPr>
        <w:t>计算标准差的公式</w:t>
      </w:r>
      <w:bookmarkEnd w:id="277"/>
    </w:p>
    <w:p>
      <w:pPr>
        <w:pStyle w:val="23"/>
        <w:jc w:val="center"/>
      </w:pPr>
      <w:r>
        <w:rPr>
          <w:rFonts w:hint="eastAsia"/>
          <w:color w:val="FF0000"/>
        </w:rPr>
        <w:t>（本附录拟删除）</w:t>
      </w:r>
    </w:p>
    <w:p>
      <w:pPr>
        <w:pStyle w:val="138"/>
        <w:numPr>
          <w:ilvl w:val="0"/>
          <w:numId w:val="61"/>
        </w:numPr>
        <w:tabs>
          <w:tab w:val="left" w:pos="284"/>
          <w:tab w:val="left" w:pos="567"/>
        </w:tabs>
        <w:spacing w:before="156" w:beforeLines="50" w:after="156" w:afterLines="50"/>
        <w:ind w:left="0" w:firstLine="0" w:firstLineChars="0"/>
        <w:jc w:val="left"/>
        <w:rPr>
          <w:rFonts w:ascii="Times New Roman" w:hAnsi="Times New Roman"/>
        </w:rPr>
      </w:pPr>
      <w:r>
        <w:rPr>
          <w:rFonts w:hint="eastAsia" w:ascii="Times New Roman" w:hAnsi="Times New Roman"/>
        </w:rPr>
        <w:t>在</w:t>
      </w:r>
      <w:r>
        <w:rPr>
          <w:rFonts w:ascii="Times New Roman" w:hAnsi="Times New Roman"/>
        </w:rPr>
        <w:t>6.2.3.2</w:t>
      </w:r>
      <w:r>
        <w:rPr>
          <w:rFonts w:hint="eastAsia" w:ascii="Times New Roman" w:hAnsi="Times New Roman"/>
        </w:rPr>
        <w:t>中给出的方程的形式并不总是最方便使用的，因为要先计算出均值，然后再对偏差进行二次计算。因此，经常使用更方便的公式</w:t>
      </w:r>
      <w:r>
        <w:t>(D.1)</w:t>
      </w:r>
      <w:r>
        <w:rPr>
          <w:rFonts w:hint="eastAsia" w:ascii="Times New Roman" w:hAnsi="Times New Roman"/>
        </w:rPr>
        <w:t>：</w:t>
      </w:r>
    </w:p>
    <w:p>
      <w:pPr>
        <w:tabs>
          <w:tab w:val="left" w:pos="284"/>
          <w:tab w:val="left" w:pos="567"/>
        </w:tabs>
        <w:spacing w:before="156" w:beforeLines="50" w:after="156" w:afterLines="50"/>
        <w:ind w:firstLine="420" w:firstLineChars="200"/>
        <w:jc w:val="left"/>
      </w:pPr>
      <m:oMath>
        <m:sSup>
          <m:sSupPr>
            <m:ctrlPr>
              <w:rPr>
                <w:rFonts w:ascii="Cambria Math" w:hAnsi="Cambria Math"/>
                <w:szCs w:val="22"/>
              </w:rPr>
            </m:ctrlPr>
          </m:sSupPr>
          <m:e>
            <m:r>
              <m:rPr>
                <m:sty m:val="p"/>
              </m:rPr>
              <w:rPr>
                <w:rFonts w:ascii="Cambria Math" w:hAnsi="Cambria Math"/>
              </w:rPr>
              <m:t>S</m:t>
            </m:r>
            <m:ctrlPr>
              <w:rPr>
                <w:rFonts w:ascii="Cambria Math" w:hAnsi="Cambria Math"/>
                <w:szCs w:val="22"/>
              </w:rPr>
            </m:ctrlPr>
          </m:e>
          <m:sup>
            <m:r>
              <m:rPr>
                <m:sty m:val="p"/>
              </m:rPr>
              <w:rPr>
                <w:rFonts w:ascii="Cambria Math" w:hAnsi="Cambria Math"/>
              </w:rPr>
              <m:t>'</m:t>
            </m:r>
            <m:ctrlPr>
              <w:rPr>
                <w:rFonts w:ascii="Cambria Math" w:hAnsi="Cambria Math"/>
                <w:szCs w:val="22"/>
              </w:rPr>
            </m:ctrlPr>
          </m:sup>
        </m:sSup>
        <m:r>
          <m:rPr>
            <m:sty m:val="p"/>
          </m:rPr>
          <w:rPr>
            <w:rFonts w:ascii="Cambria Math" w:hAnsi="Cambria Math"/>
          </w:rPr>
          <m:t>=</m:t>
        </m:r>
        <m:sSup>
          <m:sSupPr>
            <m:ctrlPr>
              <w:rPr>
                <w:rFonts w:ascii="Cambria Math" w:hAnsi="Cambria Math"/>
                <w:szCs w:val="22"/>
              </w:rPr>
            </m:ctrlPr>
          </m:sSupPr>
          <m:e>
            <m:d>
              <m:dPr>
                <m:begChr m:val="["/>
                <m:endChr m:val="]"/>
                <m:ctrlPr>
                  <w:rPr>
                    <w:rFonts w:ascii="Cambria Math" w:hAnsi="Cambria Math"/>
                    <w:i/>
                    <w:szCs w:val="22"/>
                  </w:rPr>
                </m:ctrlPr>
              </m:dPr>
              <m:e>
                <m:f>
                  <m:fPr>
                    <m:ctrlPr>
                      <w:rPr>
                        <w:rFonts w:ascii="Cambria Math" w:hAnsi="Cambria Math"/>
                        <w:i/>
                        <w:szCs w:val="22"/>
                      </w:rPr>
                    </m:ctrlPr>
                  </m:fPr>
                  <m:num>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d>
                          <m:dPr>
                            <m:ctrlPr>
                              <w:rPr>
                                <w:rFonts w:ascii="Cambria Math" w:hAnsi="Cambria Math"/>
                                <w:i/>
                                <w:szCs w:val="22"/>
                              </w:rPr>
                            </m:ctrlPr>
                          </m:dPr>
                          <m:e>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i</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d>
                        <m:r>
                          <m:rPr/>
                          <w:rPr>
                            <w:rFonts w:ascii="Cambria Math" w:hAnsi="Cambria Math"/>
                          </w:rPr>
                          <m:t>−</m:t>
                        </m:r>
                        <m:sSup>
                          <m:sSupPr>
                            <m:ctrlPr>
                              <w:rPr>
                                <w:rFonts w:ascii="Cambria Math" w:hAnsi="Cambria Math"/>
                                <w:i/>
                                <w:szCs w:val="22"/>
                              </w:rPr>
                            </m:ctrlPr>
                          </m:sSupPr>
                          <m:e>
                            <m:d>
                              <m:dPr>
                                <m:ctrlPr>
                                  <w:rPr>
                                    <w:rFonts w:ascii="Cambria Math" w:hAnsi="Cambria Math"/>
                                    <w:i/>
                                    <w:szCs w:val="22"/>
                                  </w:rPr>
                                </m:ctrlPr>
                              </m:dPr>
                              <m:e>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i</m:t>
                                        </m:r>
                                        <m:ctrlPr>
                                          <w:rPr>
                                            <w:rFonts w:ascii="Cambria Math" w:hAnsi="Cambria Math"/>
                                            <w:i/>
                                            <w:szCs w:val="22"/>
                                          </w:rPr>
                                        </m:ctrlPr>
                                      </m:sub>
                                    </m:sSub>
                                    <m:ctrlPr>
                                      <w:rPr>
                                        <w:rFonts w:ascii="Cambria Math" w:hAnsi="Cambria Math"/>
                                        <w:i/>
                                        <w:szCs w:val="22"/>
                                      </w:rPr>
                                    </m:ctrlPr>
                                  </m:e>
                                </m:nary>
                                <m:ctrlPr>
                                  <w:rPr>
                                    <w:rFonts w:ascii="Cambria Math" w:hAnsi="Cambria Math"/>
                                    <w:i/>
                                    <w:szCs w:val="22"/>
                                  </w:rPr>
                                </m:ctrlPr>
                              </m:e>
                            </m:d>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/n</m:t>
                        </m:r>
                        <m:ctrlPr>
                          <w:rPr>
                            <w:rFonts w:ascii="Cambria Math" w:hAnsi="Cambria Math"/>
                            <w:i/>
                            <w:szCs w:val="22"/>
                          </w:rPr>
                        </m:ctrlPr>
                      </m:e>
                    </m:nary>
                    <m:ctrlPr>
                      <w:rPr>
                        <w:rFonts w:ascii="Cambria Math" w:hAnsi="Cambria Math"/>
                        <w:i/>
                        <w:szCs w:val="22"/>
                      </w:rPr>
                    </m:ctrlPr>
                  </m:num>
                  <m:den>
                    <m:r>
                      <m:rPr/>
                      <w:rPr>
                        <w:rFonts w:ascii="Cambria Math" w:hAnsi="Cambria Math"/>
                      </w:rPr>
                      <m:t>n</m:t>
                    </m:r>
                    <m:ctrlPr>
                      <w:rPr>
                        <w:rFonts w:ascii="Cambria Math" w:hAnsi="Cambria Math"/>
                        <w:i/>
                        <w:szCs w:val="22"/>
                      </w:rPr>
                    </m:ctrlPr>
                  </m:den>
                </m:f>
                <m:ctrlPr>
                  <w:rPr>
                    <w:rFonts w:ascii="Cambria Math" w:hAnsi="Cambria Math"/>
                    <w:i/>
                    <w:szCs w:val="22"/>
                  </w:rPr>
                </m:ctrlPr>
              </m:e>
            </m:d>
            <m:ctrlPr>
              <w:rPr>
                <w:rFonts w:ascii="Cambria Math" w:hAnsi="Cambria Math"/>
                <w:szCs w:val="22"/>
              </w:rPr>
            </m:ctrlPr>
          </m:e>
          <m:sup>
            <m:r>
              <m:rPr/>
              <w:rPr>
                <w:rFonts w:ascii="Cambria Math" w:hAnsi="Cambria Math"/>
              </w:rPr>
              <m:t>1/2</m:t>
            </m:r>
            <m:ctrlPr>
              <w:rPr>
                <w:rFonts w:ascii="Cambria Math" w:hAnsi="Cambria Math"/>
                <w:szCs w:val="22"/>
              </w:rPr>
            </m:ctrlPr>
          </m:sup>
        </m:sSup>
      </m:oMath>
      <w:r>
        <w:t xml:space="preserve">     </w:t>
      </w:r>
      <w:r>
        <w:rPr>
          <w:rFonts w:hint="eastAsia"/>
          <w:color w:val="FF0000"/>
        </w:rPr>
        <w:t xml:space="preserve"> </w:t>
      </w:r>
      <w:r>
        <w:rPr>
          <w:color w:val="FF0000"/>
        </w:rPr>
        <w:t xml:space="preserve">                          </w:t>
      </w:r>
      <w:r>
        <w:t xml:space="preserve">           (D.1)</w:t>
      </w:r>
    </w:p>
    <w:p>
      <w:pPr>
        <w:tabs>
          <w:tab w:val="left" w:pos="284"/>
          <w:tab w:val="left" w:pos="567"/>
        </w:tabs>
        <w:spacing w:before="156" w:beforeLines="50" w:after="156" w:afterLines="50"/>
        <w:ind w:firstLine="420" w:firstLineChars="200"/>
        <w:jc w:val="left"/>
      </w:pPr>
      <w:r>
        <w:rPr>
          <w:rFonts w:hint="eastAsia"/>
        </w:rPr>
        <w:t>虽然这在数学上是精确的，但在使用计算机或计算器来实现它时要小心。如果大量读数仅在其第四个或更多的有效数字上存在差异，会引起</w:t>
      </w:r>
      <w:r>
        <w:rPr>
          <w:i/>
        </w:rPr>
        <w:t>x</w:t>
      </w:r>
      <w:r>
        <w:rPr>
          <w:i/>
          <w:vertAlign w:val="subscript"/>
        </w:rPr>
        <w:t>i</w:t>
      </w:r>
      <w:r>
        <w:rPr>
          <w:rFonts w:hint="eastAsia"/>
        </w:rPr>
        <w:t>项的求和中截断误差。在这种情况下，由于分子上的两个表达式的差异相对较小，可能会导致大得惊人的误差。</w:t>
      </w:r>
    </w:p>
    <w:p>
      <w:pPr>
        <w:pStyle w:val="138"/>
        <w:numPr>
          <w:ilvl w:val="0"/>
          <w:numId w:val="61"/>
        </w:numPr>
        <w:tabs>
          <w:tab w:val="left" w:pos="284"/>
          <w:tab w:val="left" w:pos="567"/>
        </w:tabs>
        <w:spacing w:before="156" w:beforeLines="50" w:after="156" w:afterLines="50"/>
        <w:ind w:left="0" w:firstLine="0" w:firstLineChars="0"/>
        <w:jc w:val="left"/>
        <w:rPr>
          <w:rFonts w:ascii="Times New Roman" w:hAnsi="Times New Roman"/>
        </w:rPr>
      </w:pPr>
      <w:r>
        <w:rPr>
          <w:rFonts w:hint="eastAsia" w:ascii="Times New Roman" w:hAnsi="Times New Roman"/>
        </w:rPr>
        <w:t>考虑表</w:t>
      </w:r>
      <w:r>
        <w:rPr>
          <w:rFonts w:ascii="Times New Roman" w:hAnsi="Times New Roman"/>
        </w:rPr>
        <w:t>D.1</w:t>
      </w:r>
      <w:r>
        <w:rPr>
          <w:rFonts w:hint="eastAsia" w:ascii="Times New Roman" w:hAnsi="Times New Roman"/>
        </w:rPr>
        <w:t>中给出的仅</w:t>
      </w:r>
      <w:r>
        <w:rPr>
          <w:rFonts w:ascii="Times New Roman" w:hAnsi="Times New Roman"/>
        </w:rPr>
        <w:t>15</w:t>
      </w:r>
      <w:r>
        <w:rPr>
          <w:rFonts w:hint="eastAsia" w:ascii="Times New Roman" w:hAnsi="Times New Roman"/>
        </w:rPr>
        <w:t>个结果的例子。</w:t>
      </w:r>
    </w:p>
    <w:p>
      <w:pPr>
        <w:pStyle w:val="87"/>
        <w:spacing w:before="156" w:after="156"/>
      </w:pPr>
      <w:r>
        <w:rPr>
          <w:rFonts w:hint="eastAsia"/>
          <w:kern w:val="0"/>
        </w:rPr>
        <w:t>表 D.1</w:t>
      </w:r>
      <w:r>
        <w:rPr>
          <w:kern w:val="0"/>
        </w:rPr>
        <w:t xml:space="preserve"> </w:t>
      </w:r>
      <w:r>
        <w:rPr>
          <w:rFonts w:hint="eastAsia"/>
          <w:kern w:val="0"/>
        </w:rPr>
        <w:t xml:space="preserve">标准差比较 </w:t>
      </w:r>
    </w:p>
    <w:tbl>
      <w:tblPr>
        <w:tblStyle w:val="33"/>
        <w:tblW w:w="5000" w:type="pct"/>
        <w:tblInd w:w="0" w:type="dxa"/>
        <w:tblLayout w:type="autofit"/>
        <w:tblCellMar>
          <w:top w:w="0" w:type="dxa"/>
          <w:left w:w="108" w:type="dxa"/>
          <w:bottom w:w="0" w:type="dxa"/>
          <w:right w:w="108" w:type="dxa"/>
        </w:tblCellMar>
      </w:tblPr>
      <w:tblGrid>
        <w:gridCol w:w="1051"/>
        <w:gridCol w:w="3547"/>
        <w:gridCol w:w="2105"/>
        <w:gridCol w:w="2867"/>
      </w:tblGrid>
      <w:tr>
        <w:tblPrEx>
          <w:tblCellMar>
            <w:top w:w="0" w:type="dxa"/>
            <w:left w:w="108" w:type="dxa"/>
            <w:bottom w:w="0" w:type="dxa"/>
            <w:right w:w="108" w:type="dxa"/>
          </w:tblCellMar>
        </w:tblPrEx>
        <w:trPr>
          <w:trHeight w:val="270" w:hRule="atLeast"/>
        </w:trPr>
        <w:tc>
          <w:tcPr>
            <w:tcW w:w="54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值</w:t>
            </w:r>
          </w:p>
        </w:tc>
        <w:tc>
          <w:tcPr>
            <w:tcW w:w="185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小</w:t>
            </w:r>
          </w:p>
        </w:tc>
        <w:tc>
          <w:tcPr>
            <w:tcW w:w="110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w:t>
            </w:r>
          </w:p>
        </w:tc>
        <w:tc>
          <w:tcPr>
            <w:tcW w:w="1498"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大</w:t>
            </w:r>
          </w:p>
        </w:tc>
      </w:tr>
      <w:tr>
        <w:tblPrEx>
          <w:tblCellMar>
            <w:top w:w="0" w:type="dxa"/>
            <w:left w:w="108" w:type="dxa"/>
            <w:bottom w:w="0" w:type="dxa"/>
            <w:right w:w="108" w:type="dxa"/>
          </w:tblCellMar>
        </w:tblPrEx>
        <w:trPr>
          <w:trHeight w:val="270" w:hRule="atLeast"/>
        </w:trPr>
        <w:tc>
          <w:tcPr>
            <w:tcW w:w="549" w:type="pct"/>
            <w:tcBorders>
              <w:top w:val="single" w:color="auto" w:sz="4" w:space="0"/>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853" w:type="pct"/>
            <w:tcBorders>
              <w:top w:val="single" w:color="auto" w:sz="4" w:space="0"/>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109.585 8 </w:t>
            </w:r>
          </w:p>
        </w:tc>
        <w:tc>
          <w:tcPr>
            <w:tcW w:w="1100" w:type="pct"/>
            <w:tcBorders>
              <w:top w:val="single" w:color="auto" w:sz="4" w:space="0"/>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10 09.586 </w:t>
            </w:r>
          </w:p>
        </w:tc>
        <w:tc>
          <w:tcPr>
            <w:tcW w:w="1498" w:type="pct"/>
            <w:tcBorders>
              <w:top w:val="single" w:color="auto" w:sz="4" w:space="0"/>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10 009.59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853"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106.336 9 </w:t>
            </w:r>
          </w:p>
        </w:tc>
        <w:tc>
          <w:tcPr>
            <w:tcW w:w="1100"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10 06.337 </w:t>
            </w:r>
          </w:p>
        </w:tc>
        <w:tc>
          <w:tcPr>
            <w:tcW w:w="1498"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10 006.34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853"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107.006 0 </w:t>
            </w:r>
          </w:p>
        </w:tc>
        <w:tc>
          <w:tcPr>
            <w:tcW w:w="1100"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10 07.006 </w:t>
            </w:r>
          </w:p>
        </w:tc>
        <w:tc>
          <w:tcPr>
            <w:tcW w:w="1498"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10 007.01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853"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106.607 0 </w:t>
            </w:r>
          </w:p>
        </w:tc>
        <w:tc>
          <w:tcPr>
            <w:tcW w:w="1100"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10 06.607 </w:t>
            </w:r>
          </w:p>
        </w:tc>
        <w:tc>
          <w:tcPr>
            <w:tcW w:w="1498"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10 006.61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853"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109.854 0 </w:t>
            </w:r>
          </w:p>
        </w:tc>
        <w:tc>
          <w:tcPr>
            <w:tcW w:w="1100"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10 09.854 </w:t>
            </w:r>
          </w:p>
        </w:tc>
        <w:tc>
          <w:tcPr>
            <w:tcW w:w="1498"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10 009.85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853"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103.337 5 </w:t>
            </w:r>
          </w:p>
        </w:tc>
        <w:tc>
          <w:tcPr>
            <w:tcW w:w="1100"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10 03.337 </w:t>
            </w:r>
          </w:p>
        </w:tc>
        <w:tc>
          <w:tcPr>
            <w:tcW w:w="1498"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10 003.34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853"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105.088 8 </w:t>
            </w:r>
          </w:p>
        </w:tc>
        <w:tc>
          <w:tcPr>
            <w:tcW w:w="1100"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10 05.089 </w:t>
            </w:r>
          </w:p>
        </w:tc>
        <w:tc>
          <w:tcPr>
            <w:tcW w:w="1498"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10 005.09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1853"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107.605 3 </w:t>
            </w:r>
          </w:p>
        </w:tc>
        <w:tc>
          <w:tcPr>
            <w:tcW w:w="1100"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10 07.605 </w:t>
            </w:r>
          </w:p>
        </w:tc>
        <w:tc>
          <w:tcPr>
            <w:tcW w:w="1498"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10 007.61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1853"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103.619 6 </w:t>
            </w:r>
          </w:p>
        </w:tc>
        <w:tc>
          <w:tcPr>
            <w:tcW w:w="1100"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10 03.620 </w:t>
            </w:r>
          </w:p>
        </w:tc>
        <w:tc>
          <w:tcPr>
            <w:tcW w:w="1498"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10 003.62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853"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104.260 0 </w:t>
            </w:r>
          </w:p>
        </w:tc>
        <w:tc>
          <w:tcPr>
            <w:tcW w:w="1100"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10 04.260 </w:t>
            </w:r>
          </w:p>
        </w:tc>
        <w:tc>
          <w:tcPr>
            <w:tcW w:w="1498"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10 004.26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w:t>
            </w:r>
          </w:p>
        </w:tc>
        <w:tc>
          <w:tcPr>
            <w:tcW w:w="1853"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108.163 3 </w:t>
            </w:r>
          </w:p>
        </w:tc>
        <w:tc>
          <w:tcPr>
            <w:tcW w:w="1100"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10 08.163 </w:t>
            </w:r>
          </w:p>
        </w:tc>
        <w:tc>
          <w:tcPr>
            <w:tcW w:w="1498"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10 008.16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1853"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103.354 7 </w:t>
            </w:r>
          </w:p>
        </w:tc>
        <w:tc>
          <w:tcPr>
            <w:tcW w:w="1100"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10 03.355 </w:t>
            </w:r>
          </w:p>
        </w:tc>
        <w:tc>
          <w:tcPr>
            <w:tcW w:w="1498"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10 003.35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w:t>
            </w:r>
          </w:p>
        </w:tc>
        <w:tc>
          <w:tcPr>
            <w:tcW w:w="1853"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103.952 0 </w:t>
            </w:r>
          </w:p>
        </w:tc>
        <w:tc>
          <w:tcPr>
            <w:tcW w:w="1100"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10 03.952 </w:t>
            </w:r>
          </w:p>
        </w:tc>
        <w:tc>
          <w:tcPr>
            <w:tcW w:w="1498"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10 003.95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1853"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103.021 2 </w:t>
            </w:r>
          </w:p>
        </w:tc>
        <w:tc>
          <w:tcPr>
            <w:tcW w:w="1100"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10 03.021 </w:t>
            </w:r>
          </w:p>
        </w:tc>
        <w:tc>
          <w:tcPr>
            <w:tcW w:w="1498" w:type="pct"/>
            <w:tcBorders>
              <w:top w:val="nil"/>
              <w:left w:val="nil"/>
              <w:bottom w:val="nil"/>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10 003.02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185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105.104 8 </w:t>
            </w:r>
          </w:p>
        </w:tc>
        <w:tc>
          <w:tcPr>
            <w:tcW w:w="11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10 05.105 </w:t>
            </w:r>
          </w:p>
        </w:tc>
        <w:tc>
          <w:tcPr>
            <w:tcW w:w="149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10 005.10 </w:t>
            </w:r>
          </w:p>
        </w:tc>
      </w:tr>
      <w:tr>
        <w:tblPrEx>
          <w:tblCellMar>
            <w:top w:w="0" w:type="dxa"/>
            <w:left w:w="108" w:type="dxa"/>
            <w:bottom w:w="0" w:type="dxa"/>
            <w:right w:w="108" w:type="dxa"/>
          </w:tblCellMar>
        </w:tblPrEx>
        <w:trPr>
          <w:trHeight w:val="270" w:hRule="atLeast"/>
        </w:trPr>
        <w:tc>
          <w:tcPr>
            <w:tcW w:w="549"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均值</w:t>
            </w:r>
          </w:p>
        </w:tc>
        <w:tc>
          <w:tcPr>
            <w:tcW w:w="1853"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105.793 1 </w:t>
            </w:r>
          </w:p>
        </w:tc>
        <w:tc>
          <w:tcPr>
            <w:tcW w:w="11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10 05.793 </w:t>
            </w:r>
          </w:p>
        </w:tc>
        <w:tc>
          <w:tcPr>
            <w:tcW w:w="1498"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10 005.79 </w:t>
            </w:r>
          </w:p>
        </w:tc>
      </w:tr>
      <w:tr>
        <w:tblPrEx>
          <w:tblCellMar>
            <w:top w:w="0" w:type="dxa"/>
            <w:left w:w="108" w:type="dxa"/>
            <w:bottom w:w="0" w:type="dxa"/>
            <w:right w:w="108" w:type="dxa"/>
          </w:tblCellMar>
        </w:tblPrEx>
        <w:trPr>
          <w:trHeight w:val="270" w:hRule="atLeast"/>
        </w:trPr>
        <w:tc>
          <w:tcPr>
            <w:tcW w:w="54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SD</w:t>
            </w:r>
            <w:r>
              <w:rPr>
                <w:rFonts w:hint="eastAsia" w:ascii="宋体" w:hAnsi="宋体" w:cs="宋体"/>
                <w:color w:val="000000"/>
                <w:kern w:val="0"/>
                <w:sz w:val="18"/>
                <w:szCs w:val="18"/>
                <w:vertAlign w:val="subscript"/>
              </w:rPr>
              <w:t>1</w:t>
            </w:r>
          </w:p>
        </w:tc>
        <w:tc>
          <w:tcPr>
            <w:tcW w:w="185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2.210 </w:t>
            </w:r>
            <w:r>
              <w:rPr>
                <w:rFonts w:hint="eastAsia" w:ascii="宋体" w:hAnsi="宋体" w:cs="宋体"/>
                <w:color w:val="FF0000"/>
                <w:kern w:val="0"/>
                <w:sz w:val="18"/>
                <w:szCs w:val="18"/>
              </w:rPr>
              <w:t>5</w:t>
            </w:r>
            <w:r>
              <w:rPr>
                <w:rFonts w:hint="eastAsia" w:ascii="宋体" w:hAnsi="宋体" w:cs="宋体"/>
                <w:color w:val="000000"/>
                <w:kern w:val="0"/>
                <w:sz w:val="18"/>
                <w:szCs w:val="18"/>
              </w:rPr>
              <w:t>93</w:t>
            </w:r>
          </w:p>
        </w:tc>
        <w:tc>
          <w:tcPr>
            <w:tcW w:w="110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2.210 </w:t>
            </w:r>
            <w:r>
              <w:rPr>
                <w:rFonts w:hint="eastAsia" w:ascii="宋体" w:hAnsi="宋体" w:cs="宋体"/>
                <w:color w:val="FF0000"/>
                <w:kern w:val="0"/>
                <w:sz w:val="18"/>
                <w:szCs w:val="18"/>
              </w:rPr>
              <w:t>5</w:t>
            </w:r>
            <w:r>
              <w:rPr>
                <w:rFonts w:hint="eastAsia" w:ascii="宋体" w:hAnsi="宋体" w:cs="宋体"/>
                <w:color w:val="000000"/>
                <w:kern w:val="0"/>
                <w:sz w:val="18"/>
                <w:szCs w:val="18"/>
              </w:rPr>
              <w:t>86</w:t>
            </w:r>
          </w:p>
        </w:tc>
        <w:tc>
          <w:tcPr>
            <w:tcW w:w="1498"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2.210 </w:t>
            </w:r>
            <w:r>
              <w:rPr>
                <w:rFonts w:hint="eastAsia" w:ascii="宋体" w:hAnsi="宋体" w:cs="宋体"/>
                <w:color w:val="FF0000"/>
                <w:kern w:val="0"/>
                <w:sz w:val="18"/>
                <w:szCs w:val="18"/>
              </w:rPr>
              <w:t>6</w:t>
            </w:r>
            <w:r>
              <w:rPr>
                <w:rFonts w:hint="eastAsia" w:ascii="宋体" w:hAnsi="宋体" w:cs="宋体"/>
                <w:color w:val="000000"/>
                <w:kern w:val="0"/>
                <w:sz w:val="18"/>
                <w:szCs w:val="18"/>
              </w:rPr>
              <w:t>53</w:t>
            </w:r>
          </w:p>
        </w:tc>
      </w:tr>
      <w:tr>
        <w:tblPrEx>
          <w:tblCellMar>
            <w:top w:w="0" w:type="dxa"/>
            <w:left w:w="108" w:type="dxa"/>
            <w:bottom w:w="0" w:type="dxa"/>
            <w:right w:w="108" w:type="dxa"/>
          </w:tblCellMar>
        </w:tblPrEx>
        <w:trPr>
          <w:trHeight w:val="270" w:hRule="atLeast"/>
        </w:trPr>
        <w:tc>
          <w:tcPr>
            <w:tcW w:w="549" w:type="pct"/>
            <w:tcBorders>
              <w:top w:val="single" w:color="auto" w:sz="4" w:space="0"/>
              <w:left w:val="single" w:color="auto" w:sz="4" w:space="0"/>
              <w:bottom w:val="single" w:color="auto" w:sz="4" w:space="0"/>
              <w:right w:val="single" w:color="auto" w:sz="4" w:space="0"/>
            </w:tcBorders>
            <w:noWrap/>
            <w:vAlign w:val="center"/>
          </w:tcPr>
          <w:p>
            <w:pPr>
              <w:widowControl/>
              <w:rPr>
                <w:rFonts w:ascii="宋体" w:hAnsi="宋体" w:cs="宋体"/>
                <w:color w:val="000000"/>
                <w:kern w:val="0"/>
                <w:sz w:val="18"/>
                <w:szCs w:val="18"/>
              </w:rPr>
            </w:pPr>
            <w:r>
              <w:rPr>
                <w:rFonts w:ascii="宋体" w:hAnsi="宋体" w:cs="宋体"/>
                <w:color w:val="000000"/>
                <w:kern w:val="0"/>
                <w:sz w:val="18"/>
                <w:szCs w:val="18"/>
              </w:rPr>
              <w:t>公式（5</w:t>
            </w:r>
            <w:r>
              <w:rPr>
                <w:rFonts w:hint="eastAsia" w:ascii="宋体" w:hAnsi="宋体" w:cs="宋体"/>
                <w:color w:val="000000"/>
                <w:kern w:val="0"/>
                <w:sz w:val="18"/>
                <w:szCs w:val="18"/>
              </w:rPr>
              <w:t>）</w:t>
            </w:r>
          </w:p>
        </w:tc>
        <w:tc>
          <w:tcPr>
            <w:tcW w:w="1853" w:type="pct"/>
            <w:tcBorders>
              <w:top w:val="single" w:color="auto" w:sz="4" w:space="0"/>
              <w:left w:val="nil"/>
              <w:bottom w:val="single" w:color="auto" w:sz="4" w:space="0"/>
              <w:right w:val="single" w:color="auto" w:sz="4" w:space="0"/>
            </w:tcBorders>
            <w:noWrap/>
            <w:vAlign w:val="center"/>
          </w:tcPr>
          <w:p>
            <w:pPr>
              <w:widowControl/>
              <w:jc w:val="right"/>
              <w:rPr>
                <w:color w:val="FF0000"/>
                <w:kern w:val="0"/>
                <w:sz w:val="22"/>
                <w:szCs w:val="22"/>
              </w:rPr>
            </w:pPr>
            <w:r>
              <w:rPr>
                <w:rFonts w:hint="eastAsia"/>
                <w:color w:val="FF0000"/>
                <w:sz w:val="22"/>
                <w:szCs w:val="22"/>
              </w:rPr>
              <w:t>2.288</w:t>
            </w:r>
            <w:r>
              <w:rPr>
                <w:color w:val="FF0000"/>
                <w:sz w:val="22"/>
                <w:szCs w:val="22"/>
              </w:rPr>
              <w:t xml:space="preserve"> </w:t>
            </w:r>
            <w:r>
              <w:rPr>
                <w:rFonts w:hint="eastAsia"/>
                <w:color w:val="FF0000"/>
                <w:sz w:val="22"/>
                <w:szCs w:val="22"/>
              </w:rPr>
              <w:t>165</w:t>
            </w:r>
          </w:p>
        </w:tc>
        <w:tc>
          <w:tcPr>
            <w:tcW w:w="1100" w:type="pct"/>
            <w:tcBorders>
              <w:top w:val="single" w:color="auto" w:sz="4" w:space="0"/>
              <w:left w:val="nil"/>
              <w:bottom w:val="single" w:color="auto" w:sz="4" w:space="0"/>
              <w:right w:val="single" w:color="auto" w:sz="4" w:space="0"/>
            </w:tcBorders>
            <w:noWrap/>
            <w:vAlign w:val="center"/>
          </w:tcPr>
          <w:p>
            <w:pPr>
              <w:jc w:val="right"/>
              <w:rPr>
                <w:color w:val="FF0000"/>
                <w:sz w:val="22"/>
                <w:szCs w:val="22"/>
              </w:rPr>
            </w:pPr>
            <w:r>
              <w:rPr>
                <w:rFonts w:hint="eastAsia"/>
                <w:color w:val="FF0000"/>
                <w:sz w:val="22"/>
                <w:szCs w:val="22"/>
              </w:rPr>
              <w:t>2.288</w:t>
            </w:r>
            <w:r>
              <w:rPr>
                <w:color w:val="FF0000"/>
                <w:sz w:val="22"/>
                <w:szCs w:val="22"/>
              </w:rPr>
              <w:t xml:space="preserve"> </w:t>
            </w:r>
            <w:r>
              <w:rPr>
                <w:rFonts w:hint="eastAsia"/>
                <w:color w:val="FF0000"/>
                <w:sz w:val="22"/>
                <w:szCs w:val="22"/>
              </w:rPr>
              <w:t>149</w:t>
            </w:r>
          </w:p>
        </w:tc>
        <w:tc>
          <w:tcPr>
            <w:tcW w:w="1498" w:type="pct"/>
            <w:tcBorders>
              <w:top w:val="single" w:color="auto" w:sz="4" w:space="0"/>
              <w:left w:val="nil"/>
              <w:bottom w:val="single" w:color="auto" w:sz="4" w:space="0"/>
              <w:right w:val="single" w:color="auto" w:sz="4" w:space="0"/>
            </w:tcBorders>
            <w:noWrap/>
            <w:vAlign w:val="center"/>
          </w:tcPr>
          <w:p>
            <w:pPr>
              <w:jc w:val="right"/>
              <w:rPr>
                <w:color w:val="FF0000"/>
                <w:sz w:val="22"/>
                <w:szCs w:val="22"/>
              </w:rPr>
            </w:pPr>
            <w:r>
              <w:rPr>
                <w:rFonts w:hint="eastAsia"/>
                <w:color w:val="FF0000"/>
                <w:sz w:val="22"/>
                <w:szCs w:val="22"/>
              </w:rPr>
              <w:t>2.288</w:t>
            </w:r>
            <w:r>
              <w:rPr>
                <w:color w:val="FF0000"/>
                <w:sz w:val="22"/>
                <w:szCs w:val="22"/>
              </w:rPr>
              <w:t xml:space="preserve"> </w:t>
            </w:r>
            <w:r>
              <w:rPr>
                <w:rFonts w:hint="eastAsia"/>
                <w:color w:val="FF0000"/>
                <w:sz w:val="22"/>
                <w:szCs w:val="22"/>
              </w:rPr>
              <w:t>895</w:t>
            </w:r>
          </w:p>
        </w:tc>
      </w:tr>
      <w:tr>
        <w:tblPrEx>
          <w:tblCellMar>
            <w:top w:w="0" w:type="dxa"/>
            <w:left w:w="108" w:type="dxa"/>
            <w:bottom w:w="0" w:type="dxa"/>
            <w:right w:w="108" w:type="dxa"/>
          </w:tblCellMar>
        </w:tblPrEx>
        <w:trPr>
          <w:trHeight w:val="270" w:hRule="atLeast"/>
        </w:trPr>
        <w:tc>
          <w:tcPr>
            <w:tcW w:w="54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公式（</w:t>
            </w:r>
            <w:r>
              <w:rPr>
                <w:rFonts w:ascii="宋体" w:hAnsi="宋体" w:cs="宋体"/>
                <w:color w:val="000000"/>
                <w:kern w:val="0"/>
                <w:sz w:val="18"/>
                <w:szCs w:val="18"/>
              </w:rPr>
              <w:t>6</w:t>
            </w:r>
            <w:r>
              <w:rPr>
                <w:rFonts w:hint="eastAsia" w:ascii="宋体" w:hAnsi="宋体" w:cs="宋体"/>
                <w:color w:val="000000"/>
                <w:kern w:val="0"/>
                <w:sz w:val="18"/>
                <w:szCs w:val="18"/>
              </w:rPr>
              <w:t>）</w:t>
            </w:r>
          </w:p>
        </w:tc>
        <w:tc>
          <w:tcPr>
            <w:tcW w:w="1853" w:type="pct"/>
            <w:tcBorders>
              <w:top w:val="nil"/>
              <w:left w:val="nil"/>
              <w:bottom w:val="nil"/>
              <w:right w:val="nil"/>
            </w:tcBorders>
            <w:shd w:val="clear" w:color="000000" w:fill="FFFF00"/>
            <w:noWrap/>
            <w:vAlign w:val="center"/>
          </w:tcPr>
          <w:p>
            <w:pPr>
              <w:widowControl/>
              <w:jc w:val="right"/>
              <w:rPr>
                <w:color w:val="FF0000"/>
                <w:kern w:val="0"/>
                <w:sz w:val="22"/>
                <w:szCs w:val="22"/>
              </w:rPr>
            </w:pPr>
            <w:r>
              <w:rPr>
                <w:rFonts w:hint="eastAsia"/>
                <w:color w:val="FF0000"/>
                <w:sz w:val="22"/>
                <w:szCs w:val="22"/>
              </w:rPr>
              <w:t>2.210</w:t>
            </w:r>
            <w:r>
              <w:rPr>
                <w:color w:val="FF0000"/>
                <w:sz w:val="22"/>
                <w:szCs w:val="22"/>
              </w:rPr>
              <w:t xml:space="preserve"> </w:t>
            </w:r>
            <w:r>
              <w:rPr>
                <w:rFonts w:hint="eastAsia"/>
                <w:color w:val="FF0000"/>
                <w:sz w:val="22"/>
                <w:szCs w:val="22"/>
              </w:rPr>
              <w:t>578</w:t>
            </w:r>
          </w:p>
        </w:tc>
        <w:tc>
          <w:tcPr>
            <w:tcW w:w="1100" w:type="pct"/>
            <w:tcBorders>
              <w:top w:val="nil"/>
              <w:left w:val="nil"/>
              <w:bottom w:val="nil"/>
              <w:right w:val="nil"/>
            </w:tcBorders>
            <w:shd w:val="clear" w:color="000000" w:fill="FFFF00"/>
            <w:noWrap/>
            <w:vAlign w:val="center"/>
          </w:tcPr>
          <w:p>
            <w:pPr>
              <w:jc w:val="right"/>
              <w:rPr>
                <w:color w:val="FF0000"/>
                <w:sz w:val="22"/>
                <w:szCs w:val="22"/>
              </w:rPr>
            </w:pPr>
            <w:r>
              <w:rPr>
                <w:rFonts w:hint="eastAsia"/>
                <w:color w:val="FF0000"/>
                <w:sz w:val="22"/>
                <w:szCs w:val="22"/>
              </w:rPr>
              <w:t>2.210</w:t>
            </w:r>
            <w:r>
              <w:rPr>
                <w:color w:val="FF0000"/>
                <w:sz w:val="22"/>
                <w:szCs w:val="22"/>
              </w:rPr>
              <w:t xml:space="preserve"> </w:t>
            </w:r>
            <w:r>
              <w:rPr>
                <w:rFonts w:hint="eastAsia"/>
                <w:color w:val="FF0000"/>
                <w:sz w:val="22"/>
                <w:szCs w:val="22"/>
              </w:rPr>
              <w:t>562</w:t>
            </w:r>
          </w:p>
        </w:tc>
        <w:tc>
          <w:tcPr>
            <w:tcW w:w="1498" w:type="pct"/>
            <w:tcBorders>
              <w:top w:val="nil"/>
              <w:left w:val="nil"/>
              <w:bottom w:val="nil"/>
              <w:right w:val="nil"/>
            </w:tcBorders>
            <w:shd w:val="clear" w:color="000000" w:fill="FFFF00"/>
            <w:noWrap/>
            <w:vAlign w:val="center"/>
          </w:tcPr>
          <w:p>
            <w:pPr>
              <w:jc w:val="right"/>
              <w:rPr>
                <w:color w:val="FF0000"/>
                <w:sz w:val="22"/>
                <w:szCs w:val="22"/>
              </w:rPr>
            </w:pPr>
            <w:r>
              <w:rPr>
                <w:rFonts w:hint="eastAsia"/>
                <w:color w:val="FF0000"/>
                <w:sz w:val="22"/>
                <w:szCs w:val="22"/>
              </w:rPr>
              <w:t>2.211</w:t>
            </w:r>
            <w:r>
              <w:rPr>
                <w:color w:val="FF0000"/>
                <w:sz w:val="22"/>
                <w:szCs w:val="22"/>
              </w:rPr>
              <w:t xml:space="preserve"> </w:t>
            </w:r>
            <w:r>
              <w:rPr>
                <w:rFonts w:hint="eastAsia"/>
                <w:color w:val="FF0000"/>
                <w:sz w:val="22"/>
                <w:szCs w:val="22"/>
              </w:rPr>
              <w:t>282</w:t>
            </w:r>
          </w:p>
        </w:tc>
      </w:tr>
      <w:tr>
        <w:tblPrEx>
          <w:tblCellMar>
            <w:top w:w="0" w:type="dxa"/>
            <w:left w:w="108" w:type="dxa"/>
            <w:bottom w:w="0" w:type="dxa"/>
            <w:right w:w="108" w:type="dxa"/>
          </w:tblCellMar>
        </w:tblPrEx>
        <w:trPr>
          <w:trHeight w:val="270" w:hRule="atLeast"/>
        </w:trPr>
        <w:tc>
          <w:tcPr>
            <w:tcW w:w="54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SD</w:t>
            </w:r>
            <w:r>
              <w:rPr>
                <w:rFonts w:hint="eastAsia" w:ascii="宋体" w:hAnsi="宋体" w:cs="宋体"/>
                <w:color w:val="000000"/>
                <w:kern w:val="0"/>
                <w:sz w:val="18"/>
                <w:szCs w:val="18"/>
                <w:vertAlign w:val="subscript"/>
              </w:rPr>
              <w:t>2</w:t>
            </w:r>
          </w:p>
        </w:tc>
        <w:tc>
          <w:tcPr>
            <w:tcW w:w="1853"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2.210 </w:t>
            </w:r>
            <w:r>
              <w:rPr>
                <w:rFonts w:hint="eastAsia" w:ascii="宋体" w:hAnsi="宋体" w:cs="宋体"/>
                <w:color w:val="FF0000"/>
                <w:kern w:val="0"/>
                <w:sz w:val="18"/>
                <w:szCs w:val="18"/>
              </w:rPr>
              <w:t>8</w:t>
            </w:r>
            <w:r>
              <w:rPr>
                <w:rFonts w:hint="eastAsia" w:ascii="宋体" w:hAnsi="宋体" w:cs="宋体"/>
                <w:color w:val="000000"/>
                <w:kern w:val="0"/>
                <w:sz w:val="18"/>
                <w:szCs w:val="18"/>
              </w:rPr>
              <w:t>74</w:t>
            </w:r>
          </w:p>
        </w:tc>
        <w:tc>
          <w:tcPr>
            <w:tcW w:w="110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2.245 459</w:t>
            </w:r>
          </w:p>
        </w:tc>
        <w:tc>
          <w:tcPr>
            <w:tcW w:w="1498"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4.532 608</w:t>
            </w:r>
          </w:p>
        </w:tc>
      </w:tr>
      <w:tr>
        <w:tblPrEx>
          <w:tblCellMar>
            <w:top w:w="0" w:type="dxa"/>
            <w:left w:w="108" w:type="dxa"/>
            <w:bottom w:w="0" w:type="dxa"/>
            <w:right w:w="108" w:type="dxa"/>
          </w:tblCellMar>
        </w:tblPrEx>
        <w:trPr>
          <w:trHeight w:val="270" w:hRule="atLeast"/>
        </w:trPr>
        <w:tc>
          <w:tcPr>
            <w:tcW w:w="54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18"/>
                <w:szCs w:val="18"/>
              </w:rPr>
            </w:pPr>
          </w:p>
        </w:tc>
        <w:tc>
          <w:tcPr>
            <w:tcW w:w="185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right"/>
              <w:rPr>
                <w:color w:val="FF0000"/>
                <w:kern w:val="0"/>
                <w:sz w:val="22"/>
                <w:szCs w:val="22"/>
              </w:rPr>
            </w:pPr>
            <w:r>
              <w:rPr>
                <w:rFonts w:hint="eastAsia"/>
                <w:color w:val="FF0000"/>
                <w:sz w:val="22"/>
                <w:szCs w:val="22"/>
              </w:rPr>
              <w:t>2.210</w:t>
            </w:r>
            <w:r>
              <w:rPr>
                <w:color w:val="FF0000"/>
                <w:sz w:val="22"/>
                <w:szCs w:val="22"/>
              </w:rPr>
              <w:t xml:space="preserve"> </w:t>
            </w:r>
            <w:r>
              <w:rPr>
                <w:rFonts w:hint="eastAsia"/>
                <w:color w:val="FF0000"/>
                <w:sz w:val="22"/>
                <w:szCs w:val="22"/>
              </w:rPr>
              <w:t xml:space="preserve">578 </w:t>
            </w:r>
          </w:p>
        </w:tc>
        <w:tc>
          <w:tcPr>
            <w:tcW w:w="110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color w:val="FF0000"/>
                <w:sz w:val="22"/>
                <w:szCs w:val="22"/>
              </w:rPr>
            </w:pPr>
            <w:r>
              <w:rPr>
                <w:rFonts w:hint="eastAsia"/>
                <w:color w:val="FF0000"/>
                <w:sz w:val="22"/>
                <w:szCs w:val="22"/>
              </w:rPr>
              <w:t>2.210</w:t>
            </w:r>
            <w:r>
              <w:rPr>
                <w:color w:val="FF0000"/>
                <w:sz w:val="22"/>
                <w:szCs w:val="22"/>
              </w:rPr>
              <w:t xml:space="preserve"> </w:t>
            </w:r>
            <w:r>
              <w:rPr>
                <w:rFonts w:hint="eastAsia"/>
                <w:color w:val="FF0000"/>
                <w:sz w:val="22"/>
                <w:szCs w:val="22"/>
              </w:rPr>
              <w:t xml:space="preserve">562 </w:t>
            </w:r>
          </w:p>
        </w:tc>
        <w:tc>
          <w:tcPr>
            <w:tcW w:w="149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color w:val="FF0000"/>
                <w:sz w:val="22"/>
                <w:szCs w:val="22"/>
              </w:rPr>
            </w:pPr>
            <w:r>
              <w:rPr>
                <w:rFonts w:hint="eastAsia"/>
                <w:color w:val="FF0000"/>
                <w:sz w:val="22"/>
                <w:szCs w:val="22"/>
              </w:rPr>
              <w:t>2.211</w:t>
            </w:r>
            <w:r>
              <w:rPr>
                <w:color w:val="FF0000"/>
                <w:sz w:val="22"/>
                <w:szCs w:val="22"/>
              </w:rPr>
              <w:t xml:space="preserve"> </w:t>
            </w:r>
            <w:r>
              <w:rPr>
                <w:rFonts w:hint="eastAsia"/>
                <w:color w:val="FF0000"/>
                <w:sz w:val="22"/>
                <w:szCs w:val="22"/>
              </w:rPr>
              <w:t xml:space="preserve">282 </w:t>
            </w:r>
          </w:p>
        </w:tc>
      </w:tr>
    </w:tbl>
    <w:p>
      <w:pPr>
        <w:pStyle w:val="23"/>
      </w:pPr>
    </w:p>
    <w:p>
      <w:pPr>
        <w:pStyle w:val="138"/>
        <w:numPr>
          <w:ilvl w:val="0"/>
          <w:numId w:val="61"/>
        </w:numPr>
        <w:tabs>
          <w:tab w:val="left" w:pos="284"/>
          <w:tab w:val="left" w:pos="567"/>
        </w:tabs>
        <w:spacing w:before="156" w:beforeLines="50" w:after="156" w:afterLines="50"/>
        <w:ind w:left="0" w:firstLine="0" w:firstLineChars="0"/>
        <w:jc w:val="left"/>
        <w:rPr>
          <w:rFonts w:ascii="Times New Roman" w:hAnsi="Times New Roman"/>
        </w:rPr>
      </w:pPr>
      <w:r>
        <w:rPr>
          <w:rFonts w:hint="eastAsia" w:ascii="Times New Roman" w:hAnsi="Times New Roman"/>
        </w:rPr>
        <w:t>统计量是用一个具有单精度变量的</w:t>
      </w:r>
      <w:r>
        <w:rPr>
          <w:rFonts w:ascii="Times New Roman" w:hAnsi="Times New Roman"/>
        </w:rPr>
        <w:t>BASIC</w:t>
      </w:r>
      <w:r>
        <w:rPr>
          <w:rFonts w:hint="eastAsia" w:ascii="Times New Roman" w:hAnsi="Times New Roman"/>
        </w:rPr>
        <w:t>程序计算的。标准差</w:t>
      </w:r>
      <w:r>
        <w:rPr>
          <w:rFonts w:ascii="Times New Roman" w:hAnsi="Times New Roman"/>
        </w:rPr>
        <w:t>SD</w:t>
      </w:r>
      <w:r>
        <w:rPr>
          <w:rFonts w:ascii="Times New Roman" w:hAnsi="Times New Roman"/>
          <w:vertAlign w:val="subscript"/>
        </w:rPr>
        <w:t>1</w:t>
      </w:r>
      <w:r>
        <w:rPr>
          <w:rFonts w:hint="eastAsia" w:ascii="Times New Roman" w:hAnsi="Times New Roman"/>
        </w:rPr>
        <w:t>是用</w:t>
      </w:r>
      <w:r>
        <w:rPr>
          <w:rFonts w:ascii="Times New Roman" w:hAnsi="Times New Roman"/>
        </w:rPr>
        <w:t>6.2.3.2</w:t>
      </w:r>
      <w:r>
        <w:rPr>
          <w:rFonts w:hint="eastAsia" w:ascii="Times New Roman" w:hAnsi="Times New Roman"/>
        </w:rPr>
        <w:t>中的公式计算的，标准差</w:t>
      </w:r>
      <w:r>
        <w:rPr>
          <w:rFonts w:ascii="Times New Roman" w:hAnsi="Times New Roman"/>
        </w:rPr>
        <w:t>SD</w:t>
      </w:r>
      <w:r>
        <w:rPr>
          <w:rFonts w:ascii="Times New Roman" w:hAnsi="Times New Roman"/>
          <w:vertAlign w:val="subscript"/>
        </w:rPr>
        <w:t>2</w:t>
      </w:r>
      <w:r>
        <w:rPr>
          <w:rFonts w:hint="eastAsia" w:ascii="Times New Roman" w:hAnsi="Times New Roman"/>
        </w:rPr>
        <w:t>是用本附录中的公式计算的。很明显，使用第一个方程时标准差没有出现显著误差。而当第</w:t>
      </w:r>
      <w:r>
        <w:rPr>
          <w:rFonts w:ascii="Times New Roman" w:hAnsi="Times New Roman"/>
        </w:rPr>
        <w:t>5</w:t>
      </w:r>
      <w:r>
        <w:rPr>
          <w:rFonts w:hint="eastAsia" w:ascii="Times New Roman" w:hAnsi="Times New Roman"/>
        </w:rPr>
        <w:t>个有效数字而不是第</w:t>
      </w:r>
      <w:r>
        <w:rPr>
          <w:rFonts w:ascii="Times New Roman" w:hAnsi="Times New Roman"/>
        </w:rPr>
        <w:t>4</w:t>
      </w:r>
      <w:r>
        <w:rPr>
          <w:rFonts w:hint="eastAsia" w:ascii="Times New Roman" w:hAnsi="Times New Roman"/>
        </w:rPr>
        <w:t>个或更前的有效数字时发生变化时，第二个公式的确导致了误差的快速上升。（统计学上，这三列中每一列的有效数字都在</w:t>
      </w:r>
      <w:r>
        <w:rPr>
          <w:rFonts w:hint="eastAsia" w:ascii="Times New Roman" w:hAnsi="Times New Roman"/>
          <w:color w:val="FF0000"/>
        </w:rPr>
        <w:t>个位列</w:t>
      </w:r>
      <w:r>
        <w:rPr>
          <w:rFonts w:hint="eastAsia" w:ascii="Times New Roman" w:hAnsi="Times New Roman"/>
        </w:rPr>
        <w:t>中。在发生的变化中，从统计学上讲，百数位、千数位和万数位都不</w:t>
      </w:r>
      <w:r>
        <w:rPr>
          <w:rFonts w:hint="eastAsia" w:ascii="Times New Roman" w:hAnsi="Times New Roman"/>
          <w:highlight w:val="yellow"/>
        </w:rPr>
        <w:t>显著</w:t>
      </w:r>
      <w:r>
        <w:rPr>
          <w:rFonts w:hint="eastAsia" w:ascii="Times New Roman" w:hAnsi="Times New Roman"/>
        </w:rPr>
        <w:t>。）</w:t>
      </w:r>
    </w:p>
    <w:p>
      <w:pPr>
        <w:pStyle w:val="138"/>
        <w:numPr>
          <w:ilvl w:val="0"/>
          <w:numId w:val="61"/>
        </w:numPr>
        <w:tabs>
          <w:tab w:val="left" w:pos="284"/>
          <w:tab w:val="left" w:pos="567"/>
        </w:tabs>
        <w:spacing w:before="156" w:beforeLines="50" w:after="156" w:afterLines="50"/>
        <w:ind w:firstLineChars="0"/>
        <w:jc w:val="left"/>
        <w:rPr>
          <w:rFonts w:ascii="Times New Roman" w:hAnsi="Times New Roman"/>
        </w:rPr>
      </w:pPr>
      <w:r>
        <w:rPr>
          <w:rFonts w:hint="eastAsia" w:ascii="Times New Roman" w:hAnsi="Times New Roman"/>
        </w:rPr>
        <w:t>当对</w:t>
      </w:r>
      <w:r>
        <w:rPr>
          <w:rFonts w:ascii="Times New Roman" w:hAnsi="Times New Roman"/>
        </w:rPr>
        <w:t>150</w:t>
      </w:r>
      <w:r>
        <w:rPr>
          <w:rFonts w:hint="eastAsia" w:ascii="Times New Roman" w:hAnsi="Times New Roman"/>
        </w:rPr>
        <w:t>个值进行计算时，第三列的</w:t>
      </w:r>
      <w:r>
        <w:rPr>
          <w:rFonts w:ascii="Times New Roman" w:hAnsi="Times New Roman"/>
        </w:rPr>
        <w:t>SD</w:t>
      </w:r>
      <w:r>
        <w:rPr>
          <w:rFonts w:ascii="Times New Roman" w:hAnsi="Times New Roman"/>
          <w:vertAlign w:val="subscript"/>
        </w:rPr>
        <w:t>2</w:t>
      </w:r>
      <w:r>
        <w:rPr>
          <w:rFonts w:hint="eastAsia" w:ascii="Times New Roman" w:hAnsi="Times New Roman"/>
        </w:rPr>
        <w:t>比</w:t>
      </w:r>
      <w:r>
        <w:rPr>
          <w:rFonts w:ascii="Times New Roman" w:hAnsi="Times New Roman"/>
        </w:rPr>
        <w:t>SD</w:t>
      </w:r>
      <w:r>
        <w:rPr>
          <w:rFonts w:ascii="Times New Roman" w:hAnsi="Times New Roman"/>
          <w:vertAlign w:val="subscript"/>
        </w:rPr>
        <w:t>1</w:t>
      </w:r>
      <w:r>
        <w:rPr>
          <w:rFonts w:hint="eastAsia" w:ascii="Times New Roman" w:hAnsi="Times New Roman"/>
        </w:rPr>
        <w:t>大</w:t>
      </w:r>
      <w:r>
        <w:rPr>
          <w:rFonts w:ascii="Times New Roman" w:hAnsi="Times New Roman"/>
        </w:rPr>
        <w:t>4</w:t>
      </w:r>
      <w:r>
        <w:rPr>
          <w:rFonts w:hint="eastAsia" w:ascii="Times New Roman" w:hAnsi="Times New Roman"/>
        </w:rPr>
        <w:t>倍，而不是上例中的两倍。</w:t>
      </w:r>
    </w:p>
    <w:p>
      <w:pPr>
        <w:pStyle w:val="138"/>
        <w:numPr>
          <w:ilvl w:val="0"/>
          <w:numId w:val="61"/>
        </w:numPr>
        <w:tabs>
          <w:tab w:val="left" w:pos="284"/>
          <w:tab w:val="left" w:pos="567"/>
        </w:tabs>
        <w:spacing w:before="156" w:beforeLines="50" w:after="156" w:afterLines="50"/>
        <w:ind w:left="0" w:firstLine="0" w:firstLineChars="0"/>
        <w:jc w:val="left"/>
        <w:rPr>
          <w:rFonts w:ascii="Times New Roman" w:hAnsi="Times New Roman"/>
        </w:rPr>
      </w:pPr>
      <w:r>
        <w:rPr>
          <w:rFonts w:hint="eastAsia" w:ascii="Times New Roman" w:hAnsi="Times New Roman"/>
        </w:rPr>
        <w:t>在橡胶试验中，出现上述严重问题的情况并不多见。不过，为了安全起见，并包括所有可能发生的情况，应采取下列策</w:t>
      </w:r>
      <w:r>
        <w:rPr>
          <w:rFonts w:hint="eastAsia" w:ascii="Times New Roman" w:hAnsi="Times New Roman"/>
          <w:highlight w:val="yellow"/>
        </w:rPr>
        <w:t>略</w:t>
      </w:r>
      <w:r>
        <w:rPr>
          <w:rFonts w:hint="eastAsia" w:ascii="Times New Roman" w:hAnsi="Times New Roman"/>
        </w:rPr>
        <w:t>之一</w:t>
      </w:r>
      <w:r>
        <w:rPr>
          <w:rFonts w:ascii="Times New Roman" w:hAnsi="Times New Roman"/>
        </w:rPr>
        <w:t>:</w:t>
      </w:r>
    </w:p>
    <w:p>
      <w:pPr>
        <w:tabs>
          <w:tab w:val="left" w:pos="284"/>
          <w:tab w:val="left" w:pos="567"/>
        </w:tabs>
        <w:spacing w:before="156" w:beforeLines="50" w:after="156" w:afterLines="50"/>
        <w:ind w:firstLine="420" w:firstLineChars="200"/>
        <w:jc w:val="left"/>
      </w:pPr>
      <w:r>
        <w:t xml:space="preserve">a) </w:t>
      </w:r>
      <w:r>
        <w:rPr>
          <w:rFonts w:hint="eastAsia"/>
        </w:rPr>
        <w:t>使用</w:t>
      </w:r>
      <w:r>
        <w:t>6.2.3.2</w:t>
      </w:r>
      <w:r>
        <w:rPr>
          <w:rFonts w:hint="eastAsia"/>
        </w:rPr>
        <w:t>中的公式。</w:t>
      </w:r>
    </w:p>
    <w:p>
      <w:pPr>
        <w:tabs>
          <w:tab w:val="left" w:pos="284"/>
          <w:tab w:val="left" w:pos="567"/>
        </w:tabs>
        <w:spacing w:before="156" w:beforeLines="50" w:after="156" w:afterLines="50"/>
        <w:ind w:firstLine="420" w:firstLineChars="200"/>
        <w:jc w:val="left"/>
      </w:pPr>
      <w:r>
        <w:t xml:space="preserve">b) </w:t>
      </w:r>
      <w:r>
        <w:rPr>
          <w:rFonts w:hint="eastAsia"/>
        </w:rPr>
        <w:t>确保所使用的软件或计算器以双精度工作</w:t>
      </w:r>
      <w:r>
        <w:t>(</w:t>
      </w:r>
      <w:r>
        <w:rPr>
          <w:rFonts w:hint="eastAsia"/>
        </w:rPr>
        <w:t>即至少</w:t>
      </w:r>
      <w:r>
        <w:t>12</w:t>
      </w:r>
      <w:r>
        <w:rPr>
          <w:rFonts w:hint="eastAsia"/>
        </w:rPr>
        <w:t>个有效数字</w:t>
      </w:r>
      <w:r>
        <w:t>)</w:t>
      </w:r>
      <w:r>
        <w:rPr>
          <w:rFonts w:hint="eastAsia"/>
        </w:rPr>
        <w:t>。</w:t>
      </w:r>
    </w:p>
    <w:p>
      <w:pPr>
        <w:tabs>
          <w:tab w:val="left" w:pos="284"/>
          <w:tab w:val="left" w:pos="567"/>
        </w:tabs>
        <w:spacing w:before="156" w:beforeLines="50" w:after="156" w:afterLines="50"/>
        <w:ind w:firstLine="420" w:firstLineChars="200"/>
        <w:jc w:val="left"/>
      </w:pPr>
      <w:r>
        <w:t xml:space="preserve">c) </w:t>
      </w:r>
      <w:r>
        <w:rPr>
          <w:rFonts w:hint="eastAsia"/>
        </w:rPr>
        <w:t>在进行标准差计算之前，从每个值中减去一个常数，以便从这些值中去掉在数值上最重要但不变的数字。在上面的例子中，可以从第二列的每个值减去</w:t>
      </w:r>
      <w:r>
        <w:t>1 000</w:t>
      </w:r>
      <w:r>
        <w:rPr>
          <w:rFonts w:hint="eastAsia"/>
        </w:rPr>
        <w:t>，从第三列的每个值减去</w:t>
      </w:r>
      <w:r>
        <w:t>10 000</w:t>
      </w:r>
      <w:r>
        <w:rPr>
          <w:rFonts w:hint="eastAsia"/>
        </w:rPr>
        <w:t>。这个步骤不会改变标准差。</w:t>
      </w:r>
    </w:p>
    <w:p>
      <w:pPr>
        <w:pStyle w:val="98"/>
        <w:outlineLvl w:val="9"/>
      </w:pPr>
    </w:p>
    <w:p>
      <w:pPr>
        <w:pStyle w:val="86"/>
        <w:outlineLvl w:val="9"/>
      </w:pPr>
    </w:p>
    <w:p>
      <w:pPr>
        <w:pStyle w:val="84"/>
      </w:pPr>
      <w:r>
        <w:br w:type="textWrapping"/>
      </w:r>
      <w:bookmarkStart w:id="278" w:name="_Toc124173986"/>
      <w:r>
        <w:rPr>
          <w:rFonts w:hint="eastAsia"/>
        </w:rPr>
        <w:t>（资料性）</w:t>
      </w:r>
      <w:r>
        <w:br w:type="textWrapping"/>
      </w:r>
      <w:r>
        <w:rPr>
          <w:rFonts w:hint="eastAsia"/>
        </w:rPr>
        <w:t>构建威布尔概率纸</w:t>
      </w:r>
      <w:bookmarkEnd w:id="278"/>
    </w:p>
    <w:p>
      <w:pPr>
        <w:pStyle w:val="138"/>
        <w:numPr>
          <w:ilvl w:val="0"/>
          <w:numId w:val="62"/>
        </w:numPr>
        <w:tabs>
          <w:tab w:val="left" w:pos="284"/>
          <w:tab w:val="left" w:pos="567"/>
        </w:tabs>
        <w:spacing w:before="156" w:beforeLines="50" w:after="156" w:afterLines="50"/>
        <w:ind w:firstLineChars="0"/>
        <w:jc w:val="left"/>
        <w:rPr>
          <w:rFonts w:ascii="Times New Roman" w:hAnsi="Times New Roman"/>
        </w:rPr>
      </w:pPr>
      <w:r>
        <w:rPr>
          <w:rFonts w:hint="eastAsia" w:ascii="Times New Roman" w:hAnsi="Times New Roman"/>
        </w:rPr>
        <w:t>为方便威布尔分析，以概率函数为纵坐标，以观测寿命为横坐标</w:t>
      </w:r>
      <w:r>
        <w:rPr>
          <w:rFonts w:hint="eastAsia" w:ascii="Arial" w:hAnsi="Arial" w:cs="Arial"/>
          <w:color w:val="333333"/>
          <w:szCs w:val="21"/>
          <w:shd w:val="clear" w:color="auto" w:fill="F7F8FA"/>
        </w:rPr>
        <w:t>。</w:t>
      </w:r>
    </w:p>
    <w:p>
      <w:pPr>
        <w:pStyle w:val="138"/>
        <w:numPr>
          <w:ilvl w:val="0"/>
          <w:numId w:val="62"/>
        </w:numPr>
        <w:tabs>
          <w:tab w:val="left" w:pos="284"/>
          <w:tab w:val="left" w:pos="567"/>
        </w:tabs>
        <w:spacing w:before="156" w:beforeLines="50" w:after="156" w:afterLines="50"/>
        <w:ind w:left="0" w:firstLine="0" w:firstLineChars="0"/>
        <w:rPr>
          <w:rFonts w:ascii="Times New Roman" w:hAnsi="Times New Roman"/>
        </w:rPr>
      </w:pPr>
      <w:r>
        <w:rPr>
          <w:rFonts w:hint="eastAsia" w:ascii="Times New Roman" w:hAnsi="Times New Roman"/>
        </w:rPr>
        <w:t>如果失败样本的百分比为</w:t>
      </w:r>
      <w:r>
        <w:rPr>
          <w:rFonts w:ascii="Times New Roman" w:hAnsi="Times New Roman"/>
          <w:i/>
        </w:rPr>
        <w:t>F</w:t>
      </w:r>
      <w:r>
        <w:rPr>
          <w:rFonts w:hint="eastAsia" w:ascii="Times New Roman" w:hAnsi="Times New Roman"/>
        </w:rPr>
        <w:t>，则这些失败点百分比对应的纵坐标为</w:t>
      </w:r>
      <w:r>
        <w:rPr>
          <w:rFonts w:ascii="Times New Roman" w:hAnsi="Times New Roman"/>
        </w:rPr>
        <w:t>log[100/(100−</w:t>
      </w:r>
      <w:r>
        <w:rPr>
          <w:rFonts w:ascii="Times New Roman" w:hAnsi="Times New Roman"/>
          <w:i/>
        </w:rPr>
        <w:t>F</w:t>
      </w:r>
      <w:r>
        <w:rPr>
          <w:rFonts w:ascii="Times New Roman" w:hAnsi="Times New Roman"/>
        </w:rPr>
        <w:t>)]</w:t>
      </w:r>
      <w:r>
        <w:rPr>
          <w:rFonts w:hint="eastAsia" w:ascii="Times New Roman" w:hAnsi="Times New Roman"/>
        </w:rPr>
        <w:t>，这些纵坐标沿着正态</w:t>
      </w:r>
      <w:r>
        <w:rPr>
          <w:rFonts w:ascii="Times New Roman" w:hAnsi="Times New Roman"/>
        </w:rPr>
        <w:t>log-log</w:t>
      </w:r>
      <w:r>
        <w:rPr>
          <w:rFonts w:hint="eastAsia" w:ascii="Times New Roman" w:hAnsi="Times New Roman"/>
        </w:rPr>
        <w:t>图纸的一个轴绘制</w:t>
      </w:r>
      <w:r>
        <w:rPr>
          <w:rFonts w:ascii="Times New Roman" w:hAnsi="Times New Roman"/>
        </w:rPr>
        <w:t>(</w:t>
      </w:r>
      <w:r>
        <w:rPr>
          <w:rFonts w:hint="eastAsia" w:ascii="Times New Roman" w:hAnsi="Times New Roman"/>
        </w:rPr>
        <w:t>通常</w:t>
      </w:r>
      <w:r>
        <w:rPr>
          <w:rFonts w:ascii="Times New Roman" w:hAnsi="Times New Roman"/>
        </w:rPr>
        <w:t>2</w:t>
      </w:r>
      <w:r>
        <w:rPr>
          <w:rFonts w:hint="eastAsia" w:ascii="Times New Roman" w:hAnsi="Times New Roman"/>
        </w:rPr>
        <w:t>或</w:t>
      </w:r>
      <w:r>
        <w:rPr>
          <w:rFonts w:ascii="Times New Roman" w:hAnsi="Times New Roman"/>
        </w:rPr>
        <w:t xml:space="preserve"> 3</w:t>
      </w:r>
      <w:r>
        <w:rPr>
          <w:rFonts w:hint="eastAsia" w:ascii="Times New Roman" w:hAnsi="Times New Roman"/>
        </w:rPr>
        <w:t>个循环纸就足够了</w:t>
      </w:r>
      <w:r>
        <w:rPr>
          <w:rFonts w:ascii="Times New Roman" w:hAnsi="Times New Roman"/>
        </w:rPr>
        <w:t>)</w:t>
      </w:r>
      <w:r>
        <w:rPr>
          <w:rFonts w:hint="eastAsia" w:ascii="Times New Roman" w:hAnsi="Times New Roman"/>
        </w:rPr>
        <w:t>。例如，</w:t>
      </w:r>
      <w:r>
        <w:rPr>
          <w:rFonts w:ascii="Times New Roman" w:hAnsi="Times New Roman"/>
          <w:i/>
        </w:rPr>
        <w:t>F</w:t>
      </w:r>
      <w:r>
        <w:rPr>
          <w:rFonts w:ascii="Times New Roman" w:hAnsi="Times New Roman"/>
        </w:rPr>
        <w:t>=10</w:t>
      </w:r>
      <w:r>
        <w:rPr>
          <w:rFonts w:hint="eastAsia" w:ascii="Times New Roman" w:hAnsi="Times New Roman"/>
        </w:rPr>
        <w:t>的纵度坐标的位置是图刻度</w:t>
      </w:r>
      <w:r>
        <w:rPr>
          <w:rFonts w:ascii="Times New Roman" w:hAnsi="Times New Roman"/>
        </w:rPr>
        <w:t>=0.0458</w:t>
      </w:r>
      <w:r>
        <w:rPr>
          <w:rFonts w:hint="eastAsia" w:ascii="Times New Roman" w:hAnsi="Times New Roman"/>
        </w:rPr>
        <w:t>的线</w:t>
      </w:r>
      <w:r>
        <w:rPr>
          <w:rFonts w:ascii="Times New Roman" w:hAnsi="Times New Roman"/>
        </w:rPr>
        <w:t xml:space="preserve">; </w:t>
      </w:r>
      <w:r>
        <w:rPr>
          <w:rFonts w:ascii="Times New Roman" w:hAnsi="Times New Roman"/>
          <w:i/>
        </w:rPr>
        <w:t>F</w:t>
      </w:r>
      <w:r>
        <w:rPr>
          <w:rFonts w:ascii="Times New Roman" w:hAnsi="Times New Roman"/>
        </w:rPr>
        <w:t>=50,</w:t>
      </w:r>
      <w:r>
        <w:rPr>
          <w:rFonts w:hint="eastAsia" w:ascii="Times New Roman" w:hAnsi="Times New Roman"/>
        </w:rPr>
        <w:t>线位于</w:t>
      </w:r>
      <w:r>
        <w:rPr>
          <w:rFonts w:ascii="Times New Roman" w:hAnsi="Times New Roman"/>
        </w:rPr>
        <w:t>0.3010</w:t>
      </w:r>
      <w:r>
        <w:rPr>
          <w:rFonts w:hint="eastAsia" w:ascii="Times New Roman" w:hAnsi="Times New Roman"/>
        </w:rPr>
        <w:t>；</w:t>
      </w:r>
      <w:r>
        <w:rPr>
          <w:rFonts w:ascii="Times New Roman" w:hAnsi="Times New Roman"/>
          <w:i/>
        </w:rPr>
        <w:t>F</w:t>
      </w:r>
      <w:r>
        <w:rPr>
          <w:rFonts w:ascii="Times New Roman" w:hAnsi="Times New Roman"/>
        </w:rPr>
        <w:t>=90</w:t>
      </w:r>
      <w:r>
        <w:rPr>
          <w:rFonts w:hint="eastAsia" w:ascii="Times New Roman" w:hAnsi="Times New Roman"/>
        </w:rPr>
        <w:t>，线位于</w:t>
      </w:r>
      <w:r>
        <w:rPr>
          <w:rFonts w:ascii="Times New Roman" w:hAnsi="Times New Roman"/>
        </w:rPr>
        <w:t>1.000 0</w:t>
      </w:r>
      <w:r>
        <w:rPr>
          <w:rFonts w:hint="eastAsia" w:ascii="Times New Roman" w:hAnsi="Times New Roman"/>
        </w:rPr>
        <w:t>等等。</w:t>
      </w:r>
    </w:p>
    <w:p>
      <w:pPr>
        <w:tabs>
          <w:tab w:val="left" w:pos="284"/>
          <w:tab w:val="left" w:pos="567"/>
        </w:tabs>
        <w:spacing w:before="156" w:beforeLines="50" w:after="156" w:afterLines="50"/>
        <w:ind w:firstLine="420" w:firstLineChars="200"/>
      </w:pPr>
      <w:r>
        <w:rPr>
          <w:rFonts w:hint="eastAsia"/>
        </w:rPr>
        <w:t>百分失败参数</w:t>
      </w:r>
      <w:r>
        <w:rPr>
          <w:i/>
        </w:rPr>
        <w:t>P</w:t>
      </w:r>
      <w:r>
        <w:rPr>
          <w:vertAlign w:val="subscript"/>
        </w:rPr>
        <w:t>m</w:t>
      </w:r>
      <w:r>
        <w:rPr>
          <w:rFonts w:hint="eastAsia"/>
        </w:rPr>
        <w:t>由下式给出：</w:t>
      </w:r>
    </w:p>
    <w:p>
      <w:pPr>
        <w:tabs>
          <w:tab w:val="left" w:pos="284"/>
          <w:tab w:val="left" w:pos="567"/>
        </w:tabs>
        <w:spacing w:before="156" w:beforeLines="50" w:after="156" w:afterLines="50"/>
        <w:ind w:firstLine="840" w:firstLineChars="400"/>
        <w:rPr>
          <w:rFonts w:ascii="宋体" w:hAnsi="宋体"/>
        </w:rPr>
      </w:pPr>
      <m:oMath>
        <m:sSub>
          <m:sSubPr>
            <m:ctrlPr>
              <w:rPr>
                <w:rFonts w:ascii="Cambria Math" w:hAnsi="宋体"/>
                <w:szCs w:val="22"/>
              </w:rPr>
            </m:ctrlPr>
          </m:sSubPr>
          <m:e>
            <m:r>
              <m:rPr/>
              <w:rPr>
                <w:rFonts w:ascii="Cambria Math" w:hAnsi="Cambria Math"/>
              </w:rPr>
              <m:t>P</m:t>
            </m:r>
            <m:ctrlPr>
              <w:rPr>
                <w:rFonts w:ascii="Cambria Math" w:hAnsi="宋体"/>
                <w:szCs w:val="22"/>
              </w:rPr>
            </m:ctrlPr>
          </m:e>
          <m:sub>
            <m:r>
              <m:rPr/>
              <w:rPr>
                <w:rFonts w:ascii="Cambria Math" w:hAnsi="宋体"/>
              </w:rPr>
              <m:t>m</m:t>
            </m:r>
            <m:ctrlPr>
              <w:rPr>
                <w:rFonts w:ascii="Cambria Math" w:hAnsi="宋体"/>
                <w:szCs w:val="22"/>
              </w:rPr>
            </m:ctrlPr>
          </m:sub>
        </m:sSub>
        <m:r>
          <m:rPr>
            <m:sty m:val="p"/>
          </m:rPr>
          <w:rPr>
            <w:rFonts w:ascii="Cambria Math" w:hAnsi="宋体"/>
          </w:rPr>
          <m:t>=100</m:t>
        </m:r>
        <m:f>
          <m:fPr>
            <m:ctrlPr>
              <w:rPr>
                <w:rFonts w:ascii="Cambria Math" w:hAnsi="宋体"/>
                <w:szCs w:val="22"/>
              </w:rPr>
            </m:ctrlPr>
          </m:fPr>
          <m:num>
            <m:r>
              <m:rPr/>
              <w:rPr>
                <w:rFonts w:ascii="Cambria Math" w:hAnsi="宋体"/>
              </w:rPr>
              <m:t>m</m:t>
            </m:r>
            <m:ctrlPr>
              <w:rPr>
                <w:rFonts w:ascii="Cambria Math" w:hAnsi="宋体"/>
                <w:szCs w:val="22"/>
              </w:rPr>
            </m:ctrlPr>
          </m:num>
          <m:den>
            <m:r>
              <m:rPr>
                <m:sty m:val="p"/>
              </m:rPr>
              <w:rPr>
                <w:rFonts w:ascii="Cambria Math" w:hAnsi="宋体"/>
              </w:rPr>
              <m:t>(</m:t>
            </m:r>
            <m:r>
              <m:rPr/>
              <w:rPr>
                <w:rFonts w:ascii="Cambria Math" w:hAnsi="宋体"/>
              </w:rPr>
              <m:t>n</m:t>
            </m:r>
            <m:r>
              <m:rPr>
                <m:sty m:val="p"/>
              </m:rPr>
              <w:rPr>
                <w:rFonts w:ascii="Cambria Math" w:hAnsi="宋体"/>
              </w:rPr>
              <m:t>+1)</m:t>
            </m:r>
            <m:ctrlPr>
              <w:rPr>
                <w:rFonts w:ascii="Cambria Math" w:hAnsi="宋体"/>
                <w:szCs w:val="22"/>
              </w:rPr>
            </m:ctrlPr>
          </m:den>
        </m:f>
      </m:oMath>
      <w:r>
        <w:rPr>
          <w:rFonts w:hint="eastAsia" w:ascii="宋体" w:hAnsi="宋体"/>
        </w:rPr>
        <w:t xml:space="preserve">                                                             (E.1)</w:t>
      </w:r>
    </w:p>
    <w:p>
      <w:pPr>
        <w:tabs>
          <w:tab w:val="left" w:pos="284"/>
          <w:tab w:val="left" w:pos="567"/>
        </w:tabs>
        <w:spacing w:before="156" w:beforeLines="50" w:after="156" w:afterLines="50"/>
      </w:pPr>
      <w:r>
        <w:rPr>
          <w:rFonts w:hint="eastAsia"/>
        </w:rPr>
        <w:t>式中：</w:t>
      </w:r>
    </w:p>
    <w:p>
      <w:pPr>
        <w:tabs>
          <w:tab w:val="left" w:pos="284"/>
          <w:tab w:val="left" w:pos="567"/>
        </w:tabs>
        <w:spacing w:before="156" w:beforeLines="50" w:after="156" w:afterLines="50"/>
        <w:ind w:left="630" w:leftChars="300"/>
      </w:pPr>
      <w:r>
        <w:rPr>
          <w:i/>
        </w:rPr>
        <w:t>m</w:t>
      </w:r>
      <w:r>
        <w:rPr>
          <w:rFonts w:hint="eastAsia"/>
        </w:rPr>
        <w:t>为按增序为的第</w:t>
      </w:r>
      <w:r>
        <w:rPr>
          <w:i/>
        </w:rPr>
        <w:t>m</w:t>
      </w:r>
      <w:r>
        <w:rPr>
          <w:rFonts w:hint="eastAsia"/>
        </w:rPr>
        <w:t>个值观测值；</w:t>
      </w:r>
    </w:p>
    <w:p>
      <w:pPr>
        <w:tabs>
          <w:tab w:val="left" w:pos="284"/>
          <w:tab w:val="left" w:pos="567"/>
        </w:tabs>
        <w:spacing w:before="156" w:beforeLines="50" w:after="156" w:afterLines="50"/>
        <w:ind w:left="630" w:leftChars="300"/>
      </w:pPr>
      <w:r>
        <w:rPr>
          <w:i/>
        </w:rPr>
        <w:t>n</w:t>
      </w:r>
      <w:r>
        <w:rPr>
          <w:rFonts w:hint="eastAsia"/>
        </w:rPr>
        <w:t>为总观测点数。</w:t>
      </w:r>
    </w:p>
    <w:p>
      <w:pPr>
        <w:tabs>
          <w:tab w:val="left" w:pos="284"/>
          <w:tab w:val="left" w:pos="567"/>
        </w:tabs>
        <w:spacing w:before="156" w:beforeLines="50" w:after="156" w:afterLines="50"/>
        <w:ind w:firstLine="420" w:firstLineChars="200"/>
      </w:pPr>
    </w:p>
    <w:p>
      <w:pPr>
        <w:pStyle w:val="138"/>
        <w:numPr>
          <w:ilvl w:val="0"/>
          <w:numId w:val="62"/>
        </w:numPr>
        <w:tabs>
          <w:tab w:val="left" w:pos="284"/>
          <w:tab w:val="left" w:pos="567"/>
        </w:tabs>
        <w:spacing w:before="156" w:beforeLines="50" w:after="156" w:afterLines="50"/>
        <w:ind w:firstLineChars="0"/>
        <w:rPr>
          <w:rFonts w:ascii="Times New Roman" w:hAnsi="Times New Roman"/>
        </w:rPr>
      </w:pPr>
      <w:r>
        <w:rPr>
          <w:rFonts w:hint="eastAsia" w:ascii="Times New Roman" w:hAnsi="Times New Roman"/>
        </w:rPr>
        <w:t>参数</w:t>
      </w:r>
      <w:r>
        <w:rPr>
          <w:rFonts w:ascii="Times New Roman" w:hAnsi="Times New Roman"/>
          <w:i/>
        </w:rPr>
        <w:t>P</w:t>
      </w:r>
      <w:r>
        <w:rPr>
          <w:rFonts w:ascii="Times New Roman" w:hAnsi="Times New Roman"/>
          <w:vertAlign w:val="subscript"/>
        </w:rPr>
        <w:t>m</w:t>
      </w:r>
      <w:r>
        <w:rPr>
          <w:rFonts w:hint="eastAsia" w:ascii="Times New Roman" w:hAnsi="Times New Roman"/>
        </w:rPr>
        <w:t>沿纵坐标在等效</w:t>
      </w:r>
      <w:r>
        <w:rPr>
          <w:rFonts w:ascii="Times New Roman" w:hAnsi="Times New Roman"/>
          <w:i/>
        </w:rPr>
        <w:t>F</w:t>
      </w:r>
      <w:r>
        <w:rPr>
          <w:rFonts w:hint="eastAsia" w:ascii="Times New Roman" w:hAnsi="Times New Roman"/>
        </w:rPr>
        <w:t>位置与对应横坐标的对数刻度的寿命作图。</w:t>
      </w:r>
    </w:p>
    <w:p>
      <w:pPr>
        <w:tabs>
          <w:tab w:val="left" w:pos="284"/>
          <w:tab w:val="left" w:pos="567"/>
        </w:tabs>
        <w:spacing w:before="156" w:beforeLines="50" w:after="156" w:afterLines="50"/>
        <w:ind w:firstLine="420" w:firstLineChars="200"/>
        <w:jc w:val="left"/>
      </w:pPr>
      <w:r>
        <w:rPr>
          <w:rFonts w:hint="eastAsia"/>
        </w:rPr>
        <w:t>由此得到的直线，形状参数</w:t>
      </w:r>
      <w:r>
        <w:rPr>
          <w:i/>
        </w:rPr>
        <w:t>k</w:t>
      </w:r>
      <w:r>
        <w:rPr>
          <w:rFonts w:hint="eastAsia"/>
        </w:rPr>
        <w:t>由直线的斜率给出，参数</w:t>
      </w:r>
      <w:r>
        <w:rPr>
          <w:i/>
        </w:rPr>
        <w:t>b</w:t>
      </w:r>
      <w:r>
        <w:rPr>
          <w:rFonts w:hint="eastAsia"/>
        </w:rPr>
        <w:t>是</w:t>
      </w:r>
      <w:r>
        <w:rPr>
          <w:i/>
        </w:rPr>
        <w:t>P</w:t>
      </w:r>
      <w:r>
        <w:rPr>
          <w:vertAlign w:val="subscript"/>
        </w:rPr>
        <w:t>m</w:t>
      </w:r>
      <w:r>
        <w:rPr>
          <w:rFonts w:hint="eastAsia"/>
        </w:rPr>
        <w:t>值为</w:t>
      </w:r>
      <w:r>
        <w:t>63.212%</w:t>
      </w:r>
      <w:r>
        <w:rPr>
          <w:rFonts w:hint="eastAsia"/>
        </w:rPr>
        <w:t>时的寿命。</w:t>
      </w:r>
    </w:p>
    <w:p>
      <w:pPr>
        <w:pStyle w:val="138"/>
        <w:numPr>
          <w:ilvl w:val="0"/>
          <w:numId w:val="62"/>
        </w:numPr>
        <w:tabs>
          <w:tab w:val="left" w:pos="284"/>
          <w:tab w:val="left" w:pos="567"/>
        </w:tabs>
        <w:spacing w:before="156" w:beforeLines="50" w:after="156" w:afterLines="50"/>
        <w:ind w:left="0" w:firstLine="0" w:firstLineChars="0"/>
        <w:rPr>
          <w:rFonts w:ascii="Times New Roman" w:hAnsi="Times New Roman"/>
        </w:rPr>
      </w:pPr>
      <w:r>
        <w:rPr>
          <w:rFonts w:hint="eastAsia" w:ascii="Times New Roman" w:hAnsi="Times New Roman"/>
        </w:rPr>
        <w:t>上述方法隐含地假设参数</w:t>
      </w:r>
      <w:r>
        <w:rPr>
          <w:rFonts w:ascii="Times New Roman" w:hAnsi="Times New Roman"/>
          <w:i/>
        </w:rPr>
        <w:t>a</w:t>
      </w:r>
      <w:r>
        <w:rPr>
          <w:rFonts w:hint="eastAsia" w:ascii="Times New Roman" w:hAnsi="Times New Roman"/>
        </w:rPr>
        <w:t>为零。如果不是，那么最终的直线将不是线性的，而是随着寿命和可能性的减少而越来越偏离直线，曲率是朝向寿命轴的。在这种情况下，</w:t>
      </w:r>
      <w:r>
        <w:rPr>
          <w:rFonts w:ascii="Times New Roman" w:hAnsi="Times New Roman"/>
          <w:i/>
        </w:rPr>
        <w:t>a</w:t>
      </w:r>
      <w:r>
        <w:rPr>
          <w:rFonts w:hint="eastAsia" w:ascii="Times New Roman" w:hAnsi="Times New Roman"/>
        </w:rPr>
        <w:t>的估计可以通过记录曲线渐近接近的寿命的值来做出</w:t>
      </w:r>
      <w:r>
        <w:rPr>
          <w:rFonts w:ascii="Times New Roman" w:hAnsi="Times New Roman"/>
        </w:rPr>
        <w:t>(</w:t>
      </w:r>
      <w:r>
        <w:rPr>
          <w:rFonts w:hint="eastAsia" w:ascii="Times New Roman" w:hAnsi="Times New Roman"/>
        </w:rPr>
        <w:t>它也可以通过将曲线的高概率线性部分外推到大约</w:t>
      </w:r>
      <w:r>
        <w:rPr>
          <w:rFonts w:ascii="Times New Roman" w:hAnsi="Times New Roman"/>
        </w:rPr>
        <w:t>5%</w:t>
      </w:r>
      <w:r>
        <w:rPr>
          <w:rFonts w:hint="eastAsia" w:ascii="Times New Roman" w:hAnsi="Times New Roman"/>
        </w:rPr>
        <w:t>的低概率来估计</w:t>
      </w:r>
      <w:r>
        <w:rPr>
          <w:rFonts w:ascii="Times New Roman" w:hAnsi="Times New Roman"/>
        </w:rPr>
        <w:t>)</w:t>
      </w:r>
      <w:r>
        <w:rPr>
          <w:rFonts w:hint="eastAsia" w:ascii="Times New Roman" w:hAnsi="Times New Roman"/>
        </w:rPr>
        <w:t>。</w:t>
      </w:r>
    </w:p>
    <w:p>
      <w:pPr>
        <w:pStyle w:val="23"/>
        <w:rPr>
          <w:rFonts w:ascii="Times New Roman"/>
        </w:rPr>
      </w:pPr>
      <w:r>
        <w:rPr>
          <w:rFonts w:hint="eastAsia" w:ascii="Times New Roman"/>
        </w:rPr>
        <w:t>然后，从所有寿命值中减去对</w:t>
      </w:r>
      <w:r>
        <w:rPr>
          <w:rFonts w:ascii="Times New Roman"/>
          <w:i/>
        </w:rPr>
        <w:t>a</w:t>
      </w:r>
      <w:r>
        <w:rPr>
          <w:rFonts w:hint="eastAsia" w:ascii="Times New Roman"/>
        </w:rPr>
        <w:t>的这个估计值，并使用这些调整后的寿命作为横坐标构建第二个图。如果需要，如果数据质量有保证，可以沿着相同的路线进行进一步的改进。</w:t>
      </w:r>
    </w:p>
    <w:p>
      <w:pPr>
        <w:pStyle w:val="23"/>
        <w:rPr>
          <w:rFonts w:ascii="Times New Roman"/>
        </w:rPr>
      </w:pPr>
    </w:p>
    <w:p>
      <w:pPr>
        <w:pStyle w:val="23"/>
        <w:rPr>
          <w:rFonts w:ascii="Times New Roman"/>
        </w:rPr>
      </w:pPr>
    </w:p>
    <w:p>
      <w:pPr>
        <w:pStyle w:val="23"/>
        <w:rPr>
          <w:rFonts w:ascii="Times New Roman"/>
        </w:rPr>
      </w:pPr>
    </w:p>
    <w:p>
      <w:pPr>
        <w:pStyle w:val="23"/>
        <w:rPr>
          <w:rFonts w:ascii="Times New Roman"/>
        </w:rPr>
      </w:pPr>
    </w:p>
    <w:p>
      <w:pPr>
        <w:pStyle w:val="23"/>
        <w:rPr>
          <w:rFonts w:ascii="Times New Roman"/>
        </w:rPr>
      </w:pPr>
    </w:p>
    <w:p>
      <w:pPr>
        <w:pStyle w:val="23"/>
        <w:rPr>
          <w:rFonts w:ascii="Times New Roman"/>
        </w:rPr>
      </w:pPr>
    </w:p>
    <w:p>
      <w:pPr>
        <w:pStyle w:val="23"/>
        <w:rPr>
          <w:rFonts w:ascii="Times New Roman"/>
        </w:rPr>
      </w:pPr>
    </w:p>
    <w:p>
      <w:pPr>
        <w:pStyle w:val="23"/>
        <w:rPr>
          <w:rFonts w:ascii="Times New Roman"/>
        </w:rPr>
      </w:pPr>
    </w:p>
    <w:p>
      <w:pPr>
        <w:pStyle w:val="23"/>
        <w:rPr>
          <w:rFonts w:ascii="Times New Roman"/>
        </w:rPr>
      </w:pPr>
    </w:p>
    <w:p>
      <w:pPr>
        <w:pStyle w:val="23"/>
      </w:pPr>
    </w:p>
    <w:p>
      <w:pPr>
        <w:pStyle w:val="84"/>
      </w:pPr>
      <w:r>
        <w:br w:type="textWrapping"/>
      </w:r>
      <w:bookmarkStart w:id="279" w:name="_Toc124173987"/>
      <w:r>
        <w:rPr>
          <w:rFonts w:hint="eastAsia"/>
        </w:rPr>
        <w:t>（资料性）</w:t>
      </w:r>
      <w:r>
        <w:br w:type="textWrapping"/>
      </w:r>
      <w:r>
        <w:rPr>
          <w:rFonts w:hint="eastAsia"/>
          <w:color w:val="FF0000"/>
        </w:rPr>
        <w:t>计算学生</w:t>
      </w:r>
      <w:r>
        <w:rPr>
          <w:i/>
          <w:color w:val="FF0000"/>
        </w:rPr>
        <w:t>t</w:t>
      </w:r>
      <w:r>
        <w:rPr>
          <w:rFonts w:hint="eastAsia"/>
          <w:color w:val="FF0000"/>
        </w:rPr>
        <w:t>值的公式</w:t>
      </w:r>
      <w:bookmarkEnd w:id="279"/>
    </w:p>
    <w:p>
      <w:pPr>
        <w:tabs>
          <w:tab w:val="left" w:pos="284"/>
          <w:tab w:val="left" w:pos="567"/>
        </w:tabs>
        <w:spacing w:before="156" w:beforeLines="50" w:after="156" w:afterLines="50"/>
        <w:ind w:firstLine="420" w:firstLineChars="200"/>
        <w:jc w:val="center"/>
        <w:rPr>
          <w:color w:val="FF0000"/>
        </w:rPr>
      </w:pPr>
      <w:r>
        <w:rPr>
          <w:rFonts w:hint="eastAsia"/>
          <w:color w:val="FF0000"/>
        </w:rPr>
        <w:t>本附录拟删除，与7.2.1.1.8重复</w:t>
      </w:r>
    </w:p>
    <w:p>
      <w:pPr>
        <w:tabs>
          <w:tab w:val="left" w:pos="284"/>
          <w:tab w:val="left" w:pos="567"/>
        </w:tabs>
        <w:spacing w:before="156" w:beforeLines="50" w:after="156" w:afterLines="50"/>
        <w:ind w:firstLine="420" w:firstLineChars="200"/>
        <w:jc w:val="left"/>
      </w:pPr>
      <w:r>
        <w:rPr>
          <w:rFonts w:hint="eastAsia"/>
        </w:rPr>
        <w:t>如果能接受不超过真实</w:t>
      </w:r>
      <w:r>
        <w:rPr>
          <w:i/>
        </w:rPr>
        <w:t>t</w:t>
      </w:r>
      <w:r>
        <w:rPr>
          <w:rFonts w:hint="eastAsia"/>
        </w:rPr>
        <w:t>值的</w:t>
      </w:r>
      <w:r>
        <w:t>0.5%</w:t>
      </w:r>
      <w:r>
        <w:rPr>
          <w:rFonts w:hint="eastAsia"/>
        </w:rPr>
        <w:t>的误差，则可采用以下公式：</w:t>
      </w:r>
    </w:p>
    <w:p>
      <w:pPr>
        <w:tabs>
          <w:tab w:val="left" w:pos="284"/>
          <w:tab w:val="left" w:pos="567"/>
        </w:tabs>
        <w:spacing w:before="156" w:beforeLines="50" w:after="156" w:afterLines="50"/>
        <w:ind w:firstLine="420" w:firstLineChars="200"/>
        <w:jc w:val="left"/>
      </w:pPr>
      <m:oMath>
        <m:sSub>
          <m:sSubPr>
            <m:ctrlPr>
              <w:rPr>
                <w:rFonts w:ascii="Cambria Math" w:hAnsi="Cambria Math"/>
                <w:szCs w:val="22"/>
              </w:rPr>
            </m:ctrlPr>
          </m:sSubPr>
          <m:e>
            <m:r>
              <m:rPr/>
              <w:rPr>
                <w:rFonts w:ascii="Cambria Math" w:hAnsi="Cambria Math"/>
              </w:rPr>
              <m:t>t</m:t>
            </m:r>
            <m:ctrlPr>
              <w:rPr>
                <w:rFonts w:ascii="Cambria Math" w:hAnsi="Cambria Math"/>
                <w:szCs w:val="22"/>
              </w:rPr>
            </m:ctrlPr>
          </m:e>
          <m:sub>
            <m:r>
              <m:rPr/>
              <w:rPr>
                <w:rFonts w:ascii="Cambria Math" w:hAnsi="Cambria Math"/>
              </w:rPr>
              <m:t>α</m:t>
            </m:r>
            <m:ctrlPr>
              <w:rPr>
                <w:rFonts w:ascii="Cambria Math" w:hAnsi="Cambria Math"/>
                <w:szCs w:val="22"/>
              </w:rPr>
            </m:ctrlPr>
          </m:sub>
        </m:sSub>
        <m:r>
          <m:rPr/>
          <w:rPr>
            <w:rFonts w:ascii="Cambria Math" w:hAnsi="Cambria Math"/>
          </w:rPr>
          <m:t>=A+B</m:t>
        </m:r>
        <m:sSup>
          <m:sSupPr>
            <m:ctrlPr>
              <w:rPr>
                <w:rFonts w:ascii="Cambria Math" w:hAnsi="Cambria Math"/>
                <w:i/>
                <w:szCs w:val="22"/>
              </w:rPr>
            </m:ctrlPr>
          </m:sSupPr>
          <m:e>
            <m:r>
              <m:rPr/>
              <w:rPr>
                <w:rFonts w:ascii="Cambria Math" w:hAnsi="Cambria Math"/>
              </w:rPr>
              <m:t>C</m:t>
            </m:r>
            <m:ctrlPr>
              <w:rPr>
                <w:rFonts w:ascii="Cambria Math" w:hAnsi="Cambria Math"/>
                <w:i/>
                <w:szCs w:val="22"/>
              </w:rPr>
            </m:ctrlPr>
          </m:e>
          <m:sup>
            <m:r>
              <m:rPr/>
              <w:rPr>
                <w:rFonts w:ascii="Cambria Math" w:hAnsi="Cambria Math"/>
              </w:rPr>
              <m:t>1/(n−1)</m:t>
            </m:r>
            <m:ctrlPr>
              <w:rPr>
                <w:rFonts w:ascii="Cambria Math" w:hAnsi="Cambria Math"/>
                <w:i/>
                <w:szCs w:val="22"/>
              </w:rPr>
            </m:ctrlPr>
          </m:sup>
        </m:sSup>
      </m:oMath>
      <w:r>
        <w:t xml:space="preserve">                                                    (F.1)</w:t>
      </w:r>
    </w:p>
    <w:p>
      <w:pPr>
        <w:tabs>
          <w:tab w:val="left" w:pos="284"/>
          <w:tab w:val="left" w:pos="567"/>
        </w:tabs>
        <w:spacing w:before="156" w:beforeLines="50" w:after="156" w:afterLines="50"/>
        <w:jc w:val="left"/>
      </w:pPr>
      <w:r>
        <w:rPr>
          <w:rFonts w:hint="eastAsia"/>
        </w:rPr>
        <w:t>式中，常数</w:t>
      </w:r>
      <w:r>
        <w:rPr>
          <w:i/>
        </w:rPr>
        <w:t>A</w:t>
      </w:r>
      <w:r>
        <w:rPr>
          <w:rFonts w:hint="eastAsia"/>
        </w:rPr>
        <w:t>、</w:t>
      </w:r>
      <w:r>
        <w:rPr>
          <w:i/>
        </w:rPr>
        <w:t>B</w:t>
      </w:r>
      <w:r>
        <w:rPr>
          <w:rFonts w:hint="eastAsia"/>
        </w:rPr>
        <w:t>和</w:t>
      </w:r>
      <w:r>
        <w:rPr>
          <w:i/>
        </w:rPr>
        <w:t>C</w:t>
      </w:r>
      <w:r>
        <w:rPr>
          <w:rFonts w:hint="eastAsia"/>
        </w:rPr>
        <w:t>在表</w:t>
      </w:r>
      <w:r>
        <w:t>F.1</w:t>
      </w:r>
      <w:r>
        <w:rPr>
          <w:rFonts w:hint="eastAsia"/>
        </w:rPr>
        <w:t>中给出。</w:t>
      </w:r>
    </w:p>
    <w:p>
      <w:pPr>
        <w:pStyle w:val="87"/>
        <w:numPr>
          <w:ilvl w:val="1"/>
          <w:numId w:val="11"/>
        </w:numPr>
        <w:spacing w:before="156" w:after="156"/>
        <w:ind w:left="567"/>
      </w:pPr>
      <w:r>
        <w:rPr>
          <w:rFonts w:hint="eastAsia"/>
          <w:i/>
        </w:rPr>
        <w:t>t</w:t>
      </w:r>
      <w:r>
        <w:rPr>
          <w:rFonts w:hint="eastAsia"/>
        </w:rPr>
        <w:t>-值的计算常数</w:t>
      </w:r>
    </w:p>
    <w:tbl>
      <w:tblPr>
        <w:tblStyle w:val="33"/>
        <w:tblW w:w="5000" w:type="pct"/>
        <w:tblInd w:w="0" w:type="dxa"/>
        <w:tblLayout w:type="autofit"/>
        <w:tblCellMar>
          <w:top w:w="0" w:type="dxa"/>
          <w:left w:w="108" w:type="dxa"/>
          <w:bottom w:w="0" w:type="dxa"/>
          <w:right w:w="108" w:type="dxa"/>
        </w:tblCellMar>
      </w:tblPr>
      <w:tblGrid>
        <w:gridCol w:w="2392"/>
        <w:gridCol w:w="2392"/>
        <w:gridCol w:w="2393"/>
        <w:gridCol w:w="2393"/>
      </w:tblGrid>
      <w:tr>
        <w:tblPrEx>
          <w:tblCellMar>
            <w:top w:w="0" w:type="dxa"/>
            <w:left w:w="108" w:type="dxa"/>
            <w:bottom w:w="0" w:type="dxa"/>
            <w:right w:w="108" w:type="dxa"/>
          </w:tblCellMar>
        </w:tblPrEx>
        <w:trPr>
          <w:trHeight w:val="270" w:hRule="atLeast"/>
        </w:trPr>
        <w:tc>
          <w:tcPr>
            <w:tcW w:w="125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i/>
                <w:color w:val="000000"/>
                <w:kern w:val="0"/>
                <w:sz w:val="22"/>
                <w:szCs w:val="22"/>
              </w:rPr>
            </w:pPr>
            <w:r>
              <w:rPr>
                <w:rFonts w:hint="eastAsia" w:ascii="宋体" w:hAnsi="宋体" w:cs="宋体"/>
                <w:i/>
                <w:color w:val="000000"/>
                <w:kern w:val="0"/>
                <w:sz w:val="22"/>
              </w:rPr>
              <w:t>t</w:t>
            </w:r>
          </w:p>
        </w:tc>
        <w:tc>
          <w:tcPr>
            <w:tcW w:w="125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i/>
                <w:color w:val="000000"/>
                <w:kern w:val="0"/>
                <w:sz w:val="22"/>
                <w:szCs w:val="22"/>
              </w:rPr>
            </w:pPr>
            <w:r>
              <w:rPr>
                <w:rFonts w:hint="eastAsia" w:ascii="宋体" w:hAnsi="宋体" w:cs="宋体"/>
                <w:i/>
                <w:color w:val="000000"/>
                <w:kern w:val="0"/>
                <w:sz w:val="22"/>
              </w:rPr>
              <w:t>A</w:t>
            </w:r>
          </w:p>
        </w:tc>
        <w:tc>
          <w:tcPr>
            <w:tcW w:w="125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i/>
                <w:color w:val="000000"/>
                <w:kern w:val="0"/>
                <w:sz w:val="22"/>
                <w:szCs w:val="22"/>
              </w:rPr>
            </w:pPr>
            <w:r>
              <w:rPr>
                <w:rFonts w:hint="eastAsia" w:ascii="宋体" w:hAnsi="宋体" w:cs="宋体"/>
                <w:i/>
                <w:color w:val="000000"/>
                <w:kern w:val="0"/>
                <w:sz w:val="22"/>
              </w:rPr>
              <w:t>B</w:t>
            </w:r>
          </w:p>
        </w:tc>
        <w:tc>
          <w:tcPr>
            <w:tcW w:w="125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i/>
                <w:color w:val="000000"/>
                <w:kern w:val="0"/>
                <w:sz w:val="22"/>
                <w:szCs w:val="22"/>
              </w:rPr>
            </w:pPr>
            <w:r>
              <w:rPr>
                <w:rFonts w:hint="eastAsia" w:ascii="宋体" w:hAnsi="宋体" w:cs="宋体"/>
                <w:i/>
                <w:color w:val="000000"/>
                <w:kern w:val="0"/>
                <w:sz w:val="22"/>
              </w:rPr>
              <w:t>C</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i/>
                <w:color w:val="000000"/>
                <w:kern w:val="0"/>
                <w:sz w:val="22"/>
              </w:rPr>
              <w:t>t</w:t>
            </w:r>
            <w:r>
              <w:rPr>
                <w:rFonts w:hint="eastAsia" w:ascii="宋体" w:hAnsi="宋体" w:cs="宋体"/>
                <w:color w:val="000000"/>
                <w:kern w:val="0"/>
                <w:sz w:val="22"/>
                <w:vertAlign w:val="subscript"/>
              </w:rPr>
              <w:t>0.95</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rPr>
              <w:t>0.875 7</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rPr>
              <w:t>0.770 03</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rPr>
              <w:t>7.062 3</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i/>
                <w:color w:val="000000"/>
                <w:kern w:val="0"/>
                <w:sz w:val="22"/>
              </w:rPr>
              <w:t>t</w:t>
            </w:r>
            <w:r>
              <w:rPr>
                <w:rFonts w:hint="eastAsia" w:ascii="宋体" w:hAnsi="宋体" w:cs="宋体"/>
                <w:color w:val="000000"/>
                <w:kern w:val="0"/>
                <w:sz w:val="22"/>
                <w:vertAlign w:val="subscript"/>
              </w:rPr>
              <w:t>0.975</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rPr>
              <w:t>1.053 1</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rPr>
              <w:t>0.909 30</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rPr>
              <w:t>12.819 2</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i/>
                <w:color w:val="000000"/>
                <w:kern w:val="0"/>
                <w:sz w:val="22"/>
              </w:rPr>
              <w:t>t</w:t>
            </w:r>
            <w:r>
              <w:rPr>
                <w:rFonts w:hint="eastAsia" w:ascii="宋体" w:hAnsi="宋体" w:cs="宋体"/>
                <w:color w:val="000000"/>
                <w:kern w:val="0"/>
                <w:sz w:val="22"/>
                <w:vertAlign w:val="subscript"/>
              </w:rPr>
              <w:t>0.99</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rPr>
              <w:t>1.264 0</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rPr>
              <w:t>1.069 9</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rPr>
              <w:t>28.559 0</w:t>
            </w:r>
          </w:p>
        </w:tc>
      </w:tr>
      <w:tr>
        <w:tblPrEx>
          <w:tblCellMar>
            <w:top w:w="0" w:type="dxa"/>
            <w:left w:w="108" w:type="dxa"/>
            <w:bottom w:w="0" w:type="dxa"/>
            <w:right w:w="108" w:type="dxa"/>
          </w:tblCellMar>
        </w:tblPrEx>
        <w:trPr>
          <w:trHeight w:val="270" w:hRule="atLeast"/>
        </w:trPr>
        <w:tc>
          <w:tcPr>
            <w:tcW w:w="12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i/>
                <w:color w:val="000000"/>
                <w:kern w:val="0"/>
                <w:sz w:val="22"/>
              </w:rPr>
              <w:t>t</w:t>
            </w:r>
            <w:r>
              <w:rPr>
                <w:rFonts w:hint="eastAsia" w:ascii="宋体" w:hAnsi="宋体" w:cs="宋体"/>
                <w:color w:val="000000"/>
                <w:kern w:val="0"/>
                <w:sz w:val="22"/>
                <w:vertAlign w:val="subscript"/>
              </w:rPr>
              <w:t>0.995</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rPr>
              <w:t>1.418 7</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rPr>
              <w:t>1.171 7</w:t>
            </w:r>
          </w:p>
        </w:tc>
        <w:tc>
          <w:tcPr>
            <w:tcW w:w="125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rPr>
              <w:t>53.120 9</w:t>
            </w:r>
          </w:p>
        </w:tc>
      </w:tr>
    </w:tbl>
    <w:p>
      <w:pPr>
        <w:pStyle w:val="23"/>
      </w:pPr>
    </w:p>
    <w:p>
      <w:pPr>
        <w:pStyle w:val="23"/>
      </w:pPr>
    </w:p>
    <w:p>
      <w:pPr>
        <w:pStyle w:val="23"/>
      </w:pPr>
    </w:p>
    <w:p>
      <w:pPr>
        <w:pStyle w:val="23"/>
      </w:pPr>
    </w:p>
    <w:p>
      <w:pPr>
        <w:pStyle w:val="84"/>
      </w:pPr>
      <w:r>
        <w:br w:type="textWrapping"/>
      </w:r>
      <w:bookmarkStart w:id="280" w:name="_Toc124173988"/>
      <w:r>
        <w:rPr>
          <w:rFonts w:hint="eastAsia"/>
        </w:rPr>
        <w:t>（资料性）</w:t>
      </w:r>
      <w:r>
        <w:br w:type="textWrapping"/>
      </w:r>
      <w:r>
        <w:rPr>
          <w:rFonts w:hint="eastAsia"/>
        </w:rPr>
        <w:t>方差分析</w:t>
      </w:r>
      <w:bookmarkEnd w:id="280"/>
    </w:p>
    <w:p>
      <w:pPr>
        <w:pStyle w:val="102"/>
        <w:spacing w:before="312" w:after="312"/>
      </w:pPr>
      <w:bookmarkStart w:id="281" w:name="_Toc124173989"/>
      <w:bookmarkStart w:id="282" w:name="_Toc124173221"/>
      <w:r>
        <w:rPr>
          <w:rFonts w:hint="eastAsia"/>
        </w:rPr>
        <w:t>双</w:t>
      </w:r>
      <w:r>
        <w:t>因</w:t>
      </w:r>
      <w:r>
        <w:rPr>
          <w:rFonts w:hint="eastAsia"/>
        </w:rPr>
        <w:t>素</w:t>
      </w:r>
      <w:r>
        <w:t>详述</w:t>
      </w:r>
      <w:bookmarkEnd w:id="281"/>
      <w:bookmarkEnd w:id="282"/>
    </w:p>
    <w:p>
      <w:pPr>
        <w:pStyle w:val="103"/>
        <w:spacing w:before="156" w:after="156"/>
        <w:outlineLvl w:val="9"/>
        <w:rPr>
          <w:rFonts w:ascii="宋体" w:hAnsi="宋体" w:eastAsia="宋体"/>
          <w:kern w:val="0"/>
        </w:rPr>
      </w:pPr>
      <w:bookmarkStart w:id="283" w:name="_Toc124173222"/>
      <w:bookmarkStart w:id="284" w:name="_Toc117245096"/>
      <w:r>
        <w:rPr>
          <w:rFonts w:hint="eastAsia" w:ascii="宋体" w:hAnsi="宋体" w:eastAsia="宋体"/>
          <w:kern w:val="0"/>
        </w:rPr>
        <w:t>考虑一组观测值</w:t>
      </w:r>
      <w:r>
        <w:rPr>
          <w:rFonts w:ascii="Times New Roman" w:eastAsia="宋体"/>
          <w:i/>
          <w:kern w:val="0"/>
        </w:rPr>
        <w:t>x</w:t>
      </w:r>
      <w:r>
        <w:rPr>
          <w:rFonts w:hint="eastAsia" w:ascii="宋体" w:hAnsi="宋体" w:eastAsia="宋体"/>
          <w:i/>
          <w:kern w:val="0"/>
          <w:vertAlign w:val="subscript"/>
        </w:rPr>
        <w:t>ijk</w:t>
      </w:r>
      <w:bookmarkEnd w:id="283"/>
      <w:bookmarkEnd w:id="284"/>
    </w:p>
    <w:p>
      <w:pPr>
        <w:tabs>
          <w:tab w:val="left" w:pos="284"/>
          <w:tab w:val="left" w:pos="567"/>
        </w:tabs>
        <w:spacing w:before="156" w:beforeLines="50" w:after="156" w:afterLines="50"/>
        <w:jc w:val="left"/>
      </w:pPr>
      <w:r>
        <w:rPr>
          <w:rFonts w:hint="eastAsia"/>
        </w:rPr>
        <w:t>其中，</w:t>
      </w:r>
    </w:p>
    <w:p>
      <w:pPr>
        <w:tabs>
          <w:tab w:val="left" w:pos="284"/>
          <w:tab w:val="left" w:pos="567"/>
        </w:tabs>
        <w:spacing w:before="156" w:beforeLines="50" w:after="156" w:afterLines="50"/>
        <w:ind w:left="420" w:leftChars="200"/>
        <w:jc w:val="left"/>
      </w:pPr>
      <w:r>
        <w:rPr>
          <w:rFonts w:hint="eastAsia"/>
        </w:rPr>
        <w:t>因素</w:t>
      </w:r>
      <w:r>
        <w:t>A, 1</w:t>
      </w:r>
      <w:r>
        <w:rPr>
          <w:rFonts w:hint="eastAsia" w:ascii="宋体" w:hAnsi="宋体"/>
        </w:rPr>
        <w:t>≤</w:t>
      </w:r>
      <w:r>
        <w:rPr>
          <w:i/>
        </w:rPr>
        <w:t xml:space="preserve"> i </w:t>
      </w:r>
      <w:r>
        <w:rPr>
          <w:rFonts w:hint="eastAsia" w:ascii="宋体" w:hAnsi="宋体"/>
        </w:rPr>
        <w:t>≤</w:t>
      </w:r>
      <w:r>
        <w:rPr>
          <w:i/>
        </w:rPr>
        <w:t>a</w:t>
      </w:r>
    </w:p>
    <w:p>
      <w:pPr>
        <w:tabs>
          <w:tab w:val="left" w:pos="284"/>
          <w:tab w:val="left" w:pos="567"/>
        </w:tabs>
        <w:spacing w:before="156" w:beforeLines="50" w:after="156" w:afterLines="50"/>
        <w:ind w:left="420" w:leftChars="200"/>
        <w:jc w:val="left"/>
      </w:pPr>
      <w:r>
        <w:rPr>
          <w:rFonts w:hint="eastAsia"/>
        </w:rPr>
        <w:t>因素</w:t>
      </w:r>
      <w:r>
        <w:t>B, 1</w:t>
      </w:r>
      <w:r>
        <w:rPr>
          <w:rFonts w:hint="eastAsia" w:ascii="宋体" w:hAnsi="宋体"/>
        </w:rPr>
        <w:t>≤</w:t>
      </w:r>
      <w:r>
        <w:rPr>
          <w:i/>
        </w:rPr>
        <w:t xml:space="preserve"> j</w:t>
      </w:r>
      <w:r>
        <w:rPr>
          <w:rFonts w:hint="eastAsia" w:ascii="宋体" w:hAnsi="宋体"/>
        </w:rPr>
        <w:t>≤</w:t>
      </w:r>
      <w:r>
        <w:rPr>
          <w:rFonts w:hint="eastAsia" w:ascii="宋体" w:hAnsi="宋体"/>
          <w:i/>
        </w:rPr>
        <w:t>b</w:t>
      </w:r>
    </w:p>
    <w:p>
      <w:pPr>
        <w:tabs>
          <w:tab w:val="left" w:pos="284"/>
          <w:tab w:val="left" w:pos="567"/>
        </w:tabs>
        <w:spacing w:before="156" w:beforeLines="50" w:after="156" w:afterLines="50"/>
        <w:ind w:left="420" w:leftChars="200"/>
        <w:jc w:val="left"/>
      </w:pPr>
      <w:r>
        <w:rPr>
          <w:rFonts w:hint="eastAsia"/>
        </w:rPr>
        <w:t>重复水平，</w:t>
      </w:r>
      <w:r>
        <w:t>1</w:t>
      </w:r>
      <w:r>
        <w:rPr>
          <w:rFonts w:hint="eastAsia" w:ascii="宋体" w:hAnsi="宋体"/>
        </w:rPr>
        <w:t>≤</w:t>
      </w:r>
      <w:r>
        <w:rPr>
          <w:i/>
        </w:rPr>
        <w:t>k</w:t>
      </w:r>
      <w:r>
        <w:rPr>
          <w:rFonts w:hint="eastAsia" w:ascii="宋体" w:hAnsi="宋体"/>
        </w:rPr>
        <w:t>≤</w:t>
      </w:r>
      <w:r>
        <w:rPr>
          <w:i/>
        </w:rPr>
        <w:t>r</w:t>
      </w:r>
    </w:p>
    <w:p>
      <w:pPr>
        <w:tabs>
          <w:tab w:val="left" w:pos="284"/>
          <w:tab w:val="left" w:pos="567"/>
        </w:tabs>
        <w:spacing w:before="156" w:beforeLines="50" w:after="156" w:afterLines="50"/>
        <w:jc w:val="left"/>
      </w:pPr>
      <w:r>
        <w:rPr>
          <w:rFonts w:hint="eastAsia"/>
        </w:rPr>
        <w:t>并且，对于</w:t>
      </w:r>
      <w:r>
        <w:rPr>
          <w:i/>
        </w:rPr>
        <w:t>A</w:t>
      </w:r>
      <w:r>
        <w:t>的每一水平</w:t>
      </w:r>
      <w:r>
        <w:rPr>
          <w:rFonts w:hint="eastAsia"/>
        </w:rPr>
        <w:t>，</w:t>
      </w:r>
      <w:r>
        <w:rPr>
          <w:i/>
        </w:rPr>
        <w:t>b</w:t>
      </w:r>
      <w:r>
        <w:rPr>
          <w:rFonts w:hint="eastAsia"/>
        </w:rPr>
        <w:t>是常数；对于</w:t>
      </w:r>
      <w:r>
        <w:rPr>
          <w:i/>
        </w:rPr>
        <w:t>A</w:t>
      </w:r>
      <w:r>
        <w:rPr>
          <w:rFonts w:hint="eastAsia"/>
        </w:rPr>
        <w:t>和</w:t>
      </w:r>
      <w:r>
        <w:rPr>
          <w:i/>
        </w:rPr>
        <w:t>B</w:t>
      </w:r>
      <w:r>
        <w:t>的每一水平</w:t>
      </w:r>
      <w:r>
        <w:rPr>
          <w:rFonts w:hint="eastAsia"/>
        </w:rPr>
        <w:t>，</w:t>
      </w:r>
      <w:r>
        <w:rPr>
          <w:i/>
        </w:rPr>
        <w:t>r</w:t>
      </w:r>
      <w:r>
        <w:rPr>
          <w:rFonts w:hint="eastAsia"/>
        </w:rPr>
        <w:t>是常数。这是具有</w:t>
      </w:r>
      <w:r>
        <w:rPr>
          <w:i/>
        </w:rPr>
        <w:t>abr</w:t>
      </w:r>
      <w:r>
        <w:rPr>
          <w:rFonts w:hint="eastAsia"/>
        </w:rPr>
        <w:t>要素的一个完整的三因素实验。对于没有实施全因素分析的情况，宜遵循</w:t>
      </w:r>
      <w:r>
        <w:t>10.2.2</w:t>
      </w:r>
      <w:r>
        <w:rPr>
          <w:rFonts w:hint="eastAsia"/>
        </w:rPr>
        <w:t>中概述的技术估计平方和。</w:t>
      </w:r>
    </w:p>
    <w:p>
      <w:pPr>
        <w:pStyle w:val="103"/>
        <w:spacing w:before="156" w:after="156"/>
        <w:outlineLvl w:val="9"/>
        <w:rPr>
          <w:rFonts w:ascii="宋体" w:hAnsi="宋体" w:eastAsia="宋体"/>
        </w:rPr>
      </w:pPr>
      <w:bookmarkStart w:id="285" w:name="_Toc124173223"/>
      <w:bookmarkStart w:id="286" w:name="_Toc117245097"/>
      <w:r>
        <w:rPr>
          <w:rFonts w:hint="eastAsia" w:ascii="宋体" w:hAnsi="宋体" w:eastAsia="宋体"/>
        </w:rPr>
        <w:t>术语(term</w:t>
      </w:r>
      <w:r>
        <w:rPr>
          <w:rFonts w:ascii="宋体" w:hAnsi="宋体" w:eastAsia="宋体"/>
        </w:rPr>
        <w:t>s</w:t>
      </w:r>
      <w:r>
        <w:rPr>
          <w:rFonts w:hint="eastAsia" w:ascii="宋体" w:hAnsi="宋体" w:eastAsia="宋体"/>
        </w:rPr>
        <w:t>)如下界定：</w:t>
      </w:r>
      <w:bookmarkEnd w:id="285"/>
      <w:bookmarkEnd w:id="286"/>
    </w:p>
    <w:p>
      <w:pPr>
        <w:tabs>
          <w:tab w:val="left" w:pos="284"/>
          <w:tab w:val="left" w:pos="567"/>
        </w:tabs>
        <w:spacing w:before="156" w:beforeLines="50" w:after="156" w:afterLines="50"/>
        <w:ind w:left="420" w:leftChars="200"/>
        <w:jc w:val="left"/>
      </w:pPr>
      <m:oMath>
        <m:r>
          <m:rPr/>
          <w:rPr>
            <w:rFonts w:ascii="Cambria Math" w:hAnsi="Cambria Math"/>
          </w:rPr>
          <m:t>T</m:t>
        </m:r>
        <m:r>
          <m:rPr>
            <m:sty m:val="p"/>
          </m:rPr>
          <w:rPr>
            <w:rFonts w:ascii="Cambria Math" w:hAnsi="Cambria Math"/>
          </w:rPr>
          <m:t>=</m:t>
        </m:r>
        <m:nary>
          <m:naryPr>
            <m:chr m:val="∑"/>
            <m:limLoc m:val="undOvr"/>
            <m:ctrlPr>
              <w:rPr>
                <w:rFonts w:ascii="Cambria Math" w:hAnsi="Cambria Math"/>
                <w:szCs w:val="22"/>
              </w:rPr>
            </m:ctrlPr>
          </m:naryPr>
          <m:sub>
            <m:r>
              <m:rPr/>
              <w:rPr>
                <w:rFonts w:ascii="Cambria Math" w:hAnsi="Cambria Math"/>
              </w:rPr>
              <m:t>i=1</m:t>
            </m:r>
            <m:ctrlPr>
              <w:rPr>
                <w:rFonts w:ascii="Cambria Math" w:hAnsi="Cambria Math"/>
                <w:szCs w:val="22"/>
              </w:rPr>
            </m:ctrlPr>
          </m:sub>
          <m:sup>
            <m:r>
              <m:rPr/>
              <w:rPr>
                <w:rFonts w:ascii="Cambria Math" w:hAnsi="Cambria Math"/>
              </w:rPr>
              <m:t>a</m:t>
            </m:r>
            <m:ctrlPr>
              <w:rPr>
                <w:rFonts w:ascii="Cambria Math" w:hAnsi="Cambria Math"/>
                <w:szCs w:val="22"/>
              </w:rPr>
            </m:ctrlPr>
          </m:sup>
          <m:e>
            <m:nary>
              <m:naryPr>
                <m:chr m:val="∑"/>
                <m:limLoc m:val="undOvr"/>
                <m:ctrlPr>
                  <w:rPr>
                    <w:rFonts w:ascii="Cambria Math" w:hAnsi="Cambria Math"/>
                    <w:i/>
                    <w:szCs w:val="22"/>
                  </w:rPr>
                </m:ctrlPr>
              </m:naryPr>
              <m:sub>
                <m:r>
                  <m:rPr/>
                  <w:rPr>
                    <w:rFonts w:ascii="Cambria Math" w:hAnsi="Cambria Math"/>
                  </w:rPr>
                  <m:t>j=1</m:t>
                </m:r>
                <m:ctrlPr>
                  <w:rPr>
                    <w:rFonts w:ascii="Cambria Math" w:hAnsi="Cambria Math"/>
                    <w:i/>
                    <w:szCs w:val="22"/>
                  </w:rPr>
                </m:ctrlPr>
              </m:sub>
              <m:sup>
                <m:r>
                  <m:rPr/>
                  <w:rPr>
                    <w:rFonts w:ascii="Cambria Math" w:hAnsi="Cambria Math"/>
                  </w:rPr>
                  <m:t>b</m:t>
                </m:r>
                <m:ctrlPr>
                  <w:rPr>
                    <w:rFonts w:ascii="Cambria Math" w:hAnsi="Cambria Math"/>
                    <w:i/>
                    <w:szCs w:val="22"/>
                  </w:rPr>
                </m:ctrlPr>
              </m:sup>
              <m:e>
                <m:nary>
                  <m:naryPr>
                    <m:chr m:val="∑"/>
                    <m:limLoc m:val="undOvr"/>
                    <m:ctrlPr>
                      <w:rPr>
                        <w:rFonts w:ascii="Cambria Math" w:hAnsi="Cambria Math"/>
                        <w:i/>
                        <w:szCs w:val="22"/>
                      </w:rPr>
                    </m:ctrlPr>
                  </m:naryPr>
                  <m:sub>
                    <m:r>
                      <m:rPr/>
                      <w:rPr>
                        <w:rFonts w:ascii="Cambria Math" w:hAnsi="Cambria Math"/>
                      </w:rPr>
                      <m:t>k=1</m:t>
                    </m:r>
                    <m:ctrlPr>
                      <w:rPr>
                        <w:rFonts w:ascii="Cambria Math" w:hAnsi="Cambria Math"/>
                        <w:i/>
                        <w:szCs w:val="22"/>
                      </w:rPr>
                    </m:ctrlPr>
                  </m:sub>
                  <m:sup>
                    <m:r>
                      <m:rPr/>
                      <w:rPr>
                        <w:rFonts w:ascii="Cambria Math" w:hAnsi="Cambria Math"/>
                      </w:rPr>
                      <m:t>r</m:t>
                    </m:r>
                    <m:ctrlPr>
                      <w:rPr>
                        <w:rFonts w:ascii="Cambria Math" w:hAnsi="Cambria Math"/>
                        <w:i/>
                        <w:szCs w:val="22"/>
                      </w:rPr>
                    </m:ctrlPr>
                  </m:sup>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ijk</m:t>
                        </m:r>
                        <m:ctrlPr>
                          <w:rPr>
                            <w:rFonts w:ascii="Cambria Math" w:hAnsi="Cambria Math"/>
                            <w:i/>
                            <w:szCs w:val="22"/>
                          </w:rPr>
                        </m:ctrlPr>
                      </m:sub>
                    </m:sSub>
                    <m:ctrlPr>
                      <w:rPr>
                        <w:rFonts w:ascii="Cambria Math" w:hAnsi="Cambria Math"/>
                        <w:i/>
                        <w:szCs w:val="22"/>
                      </w:rPr>
                    </m:ctrlPr>
                  </m:e>
                </m:nary>
                <m:ctrlPr>
                  <w:rPr>
                    <w:rFonts w:ascii="Cambria Math" w:hAnsi="Cambria Math"/>
                    <w:i/>
                    <w:szCs w:val="22"/>
                  </w:rPr>
                </m:ctrlPr>
              </m:e>
            </m:nary>
            <m:ctrlPr>
              <w:rPr>
                <w:rFonts w:ascii="Cambria Math" w:hAnsi="Cambria Math"/>
                <w:szCs w:val="22"/>
              </w:rPr>
            </m:ctrlPr>
          </m:e>
        </m:nary>
      </m:oMath>
      <w:r>
        <w:t xml:space="preserve"> (</w:t>
      </w:r>
      <w:r>
        <w:rPr>
          <w:rFonts w:hint="eastAsia"/>
        </w:rPr>
        <w:t>即，</w:t>
      </w:r>
      <w:r>
        <w:rPr>
          <w:i/>
        </w:rPr>
        <w:t>T</w:t>
      </w:r>
      <w:r>
        <w:rPr>
          <w:rFonts w:hint="eastAsia"/>
        </w:rPr>
        <w:t>是所有观测值的总和</w:t>
      </w:r>
      <w:r>
        <w:t xml:space="preserve">)        </w:t>
      </w:r>
      <w:r>
        <w:rPr>
          <w:rFonts w:hint="eastAsia"/>
        </w:rPr>
        <w:t xml:space="preserve">      </w:t>
      </w:r>
      <w:r>
        <w:t xml:space="preserve">             </w:t>
      </w:r>
      <w:r>
        <w:rPr>
          <w:rFonts w:hint="eastAsia"/>
        </w:rPr>
        <w:t>（</w:t>
      </w:r>
      <w:r>
        <w:t>G.1</w:t>
      </w:r>
      <w:r>
        <w:rPr>
          <w:rFonts w:hint="eastAsia"/>
        </w:rPr>
        <w:t>）</w:t>
      </w:r>
    </w:p>
    <w:p>
      <w:pPr>
        <w:tabs>
          <w:tab w:val="left" w:pos="284"/>
          <w:tab w:val="left" w:pos="567"/>
        </w:tabs>
        <w:spacing w:before="156" w:beforeLines="50" w:after="156" w:afterLines="50"/>
        <w:ind w:left="420" w:leftChars="200"/>
        <w:jc w:val="left"/>
      </w:pPr>
      <m:oMath>
        <m:r>
          <m:rPr>
            <m:sty m:val="p"/>
          </m:rPr>
          <w:rPr>
            <w:rFonts w:ascii="Cambria Math" w:hAnsi="Cambria Math"/>
          </w:rPr>
          <m:t>CF</m:t>
        </m:r>
        <m:r>
          <m:rPr/>
          <w:rPr>
            <w:rFonts w:ascii="Cambria Math" w:hAnsi="Cambria Math"/>
          </w:rPr>
          <m:t>=</m:t>
        </m:r>
        <m:sSup>
          <m:sSupPr>
            <m:ctrlPr>
              <w:rPr>
                <w:rFonts w:ascii="Cambria Math" w:hAnsi="Cambria Math"/>
                <w:i/>
                <w:szCs w:val="22"/>
              </w:rPr>
            </m:ctrlPr>
          </m:sSupPr>
          <m:e>
            <m:r>
              <m:rPr/>
              <w:rPr>
                <w:rFonts w:ascii="Cambria Math" w:hAnsi="Cambria Math"/>
              </w:rPr>
              <m:t>T</m:t>
            </m:r>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/abr</m:t>
        </m:r>
      </m:oMath>
      <w:r>
        <w:t xml:space="preserve">                                         </w:t>
      </w:r>
      <w:r>
        <w:rPr>
          <w:rFonts w:hint="eastAsia"/>
        </w:rPr>
        <w:t xml:space="preserve">  </w:t>
      </w:r>
      <w:r>
        <w:t xml:space="preserve">  </w:t>
      </w:r>
      <w:r>
        <w:rPr>
          <w:rFonts w:hint="eastAsia"/>
        </w:rPr>
        <w:t xml:space="preserve">    </w:t>
      </w:r>
      <w:r>
        <w:t xml:space="preserve">             </w:t>
      </w:r>
      <w:r>
        <w:rPr>
          <w:rFonts w:hint="eastAsia"/>
        </w:rPr>
        <w:t>（</w:t>
      </w:r>
      <w:r>
        <w:t>G.2</w:t>
      </w:r>
      <w:r>
        <w:rPr>
          <w:rFonts w:hint="eastAsia"/>
        </w:rPr>
        <w:t>）</w:t>
      </w:r>
    </w:p>
    <w:p>
      <w:pPr>
        <w:tabs>
          <w:tab w:val="left" w:pos="284"/>
          <w:tab w:val="left" w:pos="567"/>
        </w:tabs>
        <w:spacing w:before="156" w:beforeLines="50" w:after="156" w:afterLines="50"/>
        <w:ind w:left="420" w:leftChars="200"/>
        <w:jc w:val="left"/>
      </w:pPr>
      <m:oMath>
        <m:sSub>
          <m:sSubPr>
            <m:ctrlPr>
              <w:rPr>
                <w:rFonts w:ascii="Cambria Math" w:hAnsi="Cambria Math"/>
                <w:szCs w:val="22"/>
              </w:rPr>
            </m:ctrlPr>
          </m:sSubPr>
          <m:e>
            <m:r>
              <m:rPr/>
              <w:rPr>
                <w:rFonts w:ascii="Cambria Math" w:hAnsi="Cambria Math"/>
              </w:rPr>
              <m:t>X</m:t>
            </m:r>
            <m:ctrlPr>
              <w:rPr>
                <w:rFonts w:ascii="Cambria Math" w:hAnsi="Cambria Math"/>
                <w:szCs w:val="22"/>
              </w:rPr>
            </m:ctrlPr>
          </m:e>
          <m:sub>
            <m:r>
              <m:rPr/>
              <w:rPr>
                <w:rFonts w:ascii="Cambria Math" w:hAnsi="Cambria Math"/>
              </w:rPr>
              <m:t>ij</m:t>
            </m:r>
            <m:ctrlPr>
              <w:rPr>
                <w:rFonts w:ascii="Cambria Math" w:hAnsi="Cambria Math"/>
                <w:szCs w:val="22"/>
              </w:rPr>
            </m:ctrlPr>
          </m:sub>
        </m:sSub>
        <m:r>
          <m:rPr/>
          <w:rPr>
            <w:rFonts w:ascii="Cambria Math" w:hAnsi="Cambria Math"/>
          </w:rPr>
          <m:t xml:space="preserve">= </m:t>
        </m:r>
        <m:nary>
          <m:naryPr>
            <m:chr m:val="∑"/>
            <m:limLoc m:val="undOvr"/>
            <m:ctrlPr>
              <w:rPr>
                <w:rFonts w:ascii="Cambria Math" w:hAnsi="Cambria Math"/>
                <w:i/>
                <w:szCs w:val="22"/>
              </w:rPr>
            </m:ctrlPr>
          </m:naryPr>
          <m:sub>
            <m:r>
              <m:rPr/>
              <w:rPr>
                <w:rFonts w:ascii="Cambria Math" w:hAnsi="Cambria Math"/>
              </w:rPr>
              <m:t>k=1</m:t>
            </m:r>
            <m:ctrlPr>
              <w:rPr>
                <w:rFonts w:ascii="Cambria Math" w:hAnsi="Cambria Math"/>
                <w:i/>
                <w:szCs w:val="22"/>
              </w:rPr>
            </m:ctrlPr>
          </m:sub>
          <m:sup>
            <m:r>
              <m:rPr/>
              <w:rPr>
                <w:rFonts w:ascii="Cambria Math" w:hAnsi="Cambria Math"/>
              </w:rPr>
              <m:t>r</m:t>
            </m:r>
            <m:ctrlPr>
              <w:rPr>
                <w:rFonts w:ascii="Cambria Math" w:hAnsi="Cambria Math"/>
                <w:i/>
                <w:szCs w:val="22"/>
              </w:rPr>
            </m:ctrlPr>
          </m:sup>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ijk</m:t>
                </m:r>
                <m:ctrlPr>
                  <w:rPr>
                    <w:rFonts w:ascii="Cambria Math" w:hAnsi="Cambria Math"/>
                    <w:i/>
                    <w:szCs w:val="22"/>
                  </w:rPr>
                </m:ctrlPr>
              </m:sub>
            </m:sSub>
            <m:ctrlPr>
              <w:rPr>
                <w:rFonts w:ascii="Cambria Math" w:hAnsi="Cambria Math"/>
                <w:i/>
                <w:szCs w:val="22"/>
              </w:rPr>
            </m:ctrlPr>
          </m:e>
        </m:nary>
      </m:oMath>
      <w:r>
        <w:t xml:space="preserve">                                      </w:t>
      </w:r>
      <w:r>
        <w:rPr>
          <w:rFonts w:hint="eastAsia"/>
        </w:rPr>
        <w:t xml:space="preserve">  </w:t>
      </w:r>
      <w:r>
        <w:t xml:space="preserve">   </w:t>
      </w:r>
      <w:r>
        <w:rPr>
          <w:rFonts w:hint="eastAsia"/>
        </w:rPr>
        <w:t xml:space="preserve">    </w:t>
      </w:r>
      <w:r>
        <w:t xml:space="preserve">             </w:t>
      </w:r>
      <w:r>
        <w:rPr>
          <w:rFonts w:hint="eastAsia"/>
        </w:rPr>
        <w:t>（</w:t>
      </w:r>
      <w:r>
        <w:t>G.3</w:t>
      </w:r>
      <w:r>
        <w:rPr>
          <w:rFonts w:hint="eastAsia"/>
        </w:rPr>
        <w:t>）</w:t>
      </w:r>
    </w:p>
    <w:p>
      <w:pPr>
        <w:tabs>
          <w:tab w:val="left" w:pos="284"/>
          <w:tab w:val="left" w:pos="567"/>
        </w:tabs>
        <w:spacing w:before="156" w:beforeLines="50" w:after="156" w:afterLines="50"/>
        <w:ind w:left="420" w:leftChars="200"/>
        <w:jc w:val="left"/>
      </w:pPr>
      <m:oMath>
        <m:sSup>
          <m:sSupPr>
            <m:ctrlPr>
              <w:rPr>
                <w:rFonts w:ascii="Cambria Math" w:hAnsi="Cambria Math"/>
                <w:szCs w:val="22"/>
              </w:rPr>
            </m:ctrlPr>
          </m:sSupPr>
          <m:e>
            <m:r>
              <m:rPr/>
              <w:rPr>
                <w:rFonts w:ascii="Cambria Math" w:hAnsi="Cambria Math"/>
              </w:rPr>
              <m:t>A</m:t>
            </m:r>
            <m:ctrlPr>
              <w:rPr>
                <w:rFonts w:ascii="Cambria Math" w:hAnsi="Cambria Math"/>
                <w:szCs w:val="22"/>
              </w:rPr>
            </m:ctrlPr>
          </m:e>
          <m:sup>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i</m:t>
                </m:r>
                <m:ctrlPr>
                  <w:rPr>
                    <w:rFonts w:ascii="Cambria Math" w:hAnsi="Cambria Math"/>
                    <w:i/>
                    <w:szCs w:val="22"/>
                  </w:rPr>
                </m:ctrlPr>
              </m:sub>
            </m:sSub>
            <m:ctrlPr>
              <w:rPr>
                <w:rFonts w:ascii="Cambria Math" w:hAnsi="Cambria Math"/>
                <w:szCs w:val="22"/>
              </w:rPr>
            </m:ctrlPr>
          </m:sup>
        </m:sSup>
        <m:r>
          <m:rPr/>
          <w:rPr>
            <w:rFonts w:ascii="Cambria Math" w:hAnsi="Cambria Math"/>
          </w:rPr>
          <m:t>=</m:t>
        </m:r>
        <m:nary>
          <m:naryPr>
            <m:chr m:val="∑"/>
            <m:limLoc m:val="undOvr"/>
            <m:ctrlPr>
              <w:rPr>
                <w:rFonts w:ascii="Cambria Math" w:hAnsi="Cambria Math"/>
                <w:i/>
                <w:szCs w:val="22"/>
              </w:rPr>
            </m:ctrlPr>
          </m:naryPr>
          <m:sub>
            <m:r>
              <m:rPr/>
              <w:rPr>
                <w:rFonts w:ascii="Cambria Math" w:hAnsi="Cambria Math"/>
              </w:rPr>
              <m:t>j=1</m:t>
            </m:r>
            <m:ctrlPr>
              <w:rPr>
                <w:rFonts w:ascii="Cambria Math" w:hAnsi="Cambria Math"/>
                <w:i/>
                <w:szCs w:val="22"/>
              </w:rPr>
            </m:ctrlPr>
          </m:sub>
          <m:sup>
            <m:r>
              <m:rPr/>
              <w:rPr>
                <w:rFonts w:ascii="Cambria Math" w:hAnsi="Cambria Math"/>
              </w:rPr>
              <m:t>b</m:t>
            </m:r>
            <m:ctrlPr>
              <w:rPr>
                <w:rFonts w:ascii="Cambria Math" w:hAnsi="Cambria Math"/>
                <w:i/>
                <w:szCs w:val="22"/>
              </w:rPr>
            </m:ctrlPr>
          </m:sup>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ij</m:t>
                </m:r>
                <m:ctrlPr>
                  <w:rPr>
                    <w:rFonts w:ascii="Cambria Math" w:hAnsi="Cambria Math"/>
                    <w:i/>
                    <w:szCs w:val="22"/>
                  </w:rPr>
                </m:ctrlPr>
              </m:sub>
            </m:sSub>
            <m:ctrlPr>
              <w:rPr>
                <w:rFonts w:ascii="Cambria Math" w:hAnsi="Cambria Math"/>
                <w:i/>
                <w:szCs w:val="22"/>
              </w:rPr>
            </m:ctrlPr>
          </m:e>
        </m:nary>
      </m:oMath>
      <w:r>
        <w:t xml:space="preserve">                                     </w:t>
      </w:r>
      <w:r>
        <w:rPr>
          <w:rFonts w:hint="eastAsia"/>
        </w:rPr>
        <w:t xml:space="preserve">  </w:t>
      </w:r>
      <w:r>
        <w:t xml:space="preserve">     </w:t>
      </w:r>
      <w:r>
        <w:rPr>
          <w:rFonts w:hint="eastAsia"/>
        </w:rPr>
        <w:t xml:space="preserve">    </w:t>
      </w:r>
      <w:r>
        <w:t xml:space="preserve">             </w:t>
      </w:r>
      <w:r>
        <w:rPr>
          <w:rFonts w:hint="eastAsia"/>
        </w:rPr>
        <w:t>（</w:t>
      </w:r>
      <w:r>
        <w:t>G.4</w:t>
      </w:r>
      <w:r>
        <w:rPr>
          <w:rFonts w:hint="eastAsia"/>
        </w:rPr>
        <w:t>）</w:t>
      </w:r>
    </w:p>
    <w:p>
      <w:pPr>
        <w:tabs>
          <w:tab w:val="left" w:pos="284"/>
          <w:tab w:val="left" w:pos="567"/>
        </w:tabs>
        <w:spacing w:before="156" w:beforeLines="50" w:after="156" w:afterLines="50"/>
        <w:ind w:left="420" w:leftChars="200"/>
        <w:jc w:val="left"/>
      </w:pPr>
      <m:oMath>
        <m:sSup>
          <m:sSupPr>
            <m:ctrlPr>
              <w:rPr>
                <w:rFonts w:ascii="Cambria Math" w:hAnsi="Cambria Math"/>
                <w:szCs w:val="22"/>
              </w:rPr>
            </m:ctrlPr>
          </m:sSupPr>
          <m:e>
            <m:r>
              <m:rPr/>
              <w:rPr>
                <w:rFonts w:ascii="Cambria Math" w:hAnsi="Cambria Math"/>
              </w:rPr>
              <m:t>B</m:t>
            </m:r>
            <m:ctrlPr>
              <w:rPr>
                <w:rFonts w:ascii="Cambria Math" w:hAnsi="Cambria Math"/>
                <w:szCs w:val="22"/>
              </w:rPr>
            </m:ctrlPr>
          </m:e>
          <m:sup>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j</m:t>
                </m:r>
                <m:ctrlPr>
                  <w:rPr>
                    <w:rFonts w:ascii="Cambria Math" w:hAnsi="Cambria Math"/>
                    <w:i/>
                    <w:szCs w:val="22"/>
                  </w:rPr>
                </m:ctrlPr>
              </m:sub>
            </m:sSub>
            <m:ctrlPr>
              <w:rPr>
                <w:rFonts w:ascii="Cambria Math" w:hAnsi="Cambria Math"/>
                <w:szCs w:val="22"/>
              </w:rPr>
            </m:ctrlPr>
          </m:sup>
        </m:sSup>
        <m:r>
          <m:rPr/>
          <w:rPr>
            <w:rFonts w:ascii="Cambria Math" w:hAnsi="Cambria Math"/>
          </w:rPr>
          <m:t>=</m:t>
        </m:r>
        <m:nary>
          <m:naryPr>
            <m:chr m:val="∑"/>
            <m:limLoc m:val="undOvr"/>
            <m:ctrlPr>
              <w:rPr>
                <w:rFonts w:ascii="Cambria Math" w:hAnsi="Cambria Math"/>
                <w:i/>
                <w:szCs w:val="22"/>
              </w:rPr>
            </m:ctrlPr>
          </m:naryPr>
          <m:sub>
            <m:r>
              <m:rPr/>
              <w:rPr>
                <w:rFonts w:ascii="Cambria Math" w:hAnsi="Cambria Math"/>
              </w:rPr>
              <m:t>i=1</m:t>
            </m:r>
            <m:ctrlPr>
              <w:rPr>
                <w:rFonts w:ascii="Cambria Math" w:hAnsi="Cambria Math"/>
                <w:i/>
                <w:szCs w:val="22"/>
              </w:rPr>
            </m:ctrlPr>
          </m:sub>
          <m:sup>
            <m:r>
              <m:rPr/>
              <w:rPr>
                <w:rFonts w:ascii="Cambria Math" w:hAnsi="Cambria Math"/>
              </w:rPr>
              <m:t>a</m:t>
            </m:r>
            <m:ctrlPr>
              <w:rPr>
                <w:rFonts w:ascii="Cambria Math" w:hAnsi="Cambria Math"/>
                <w:i/>
                <w:szCs w:val="22"/>
              </w:rPr>
            </m:ctrlPr>
          </m:sup>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ij</m:t>
                </m:r>
                <m:ctrlPr>
                  <w:rPr>
                    <w:rFonts w:ascii="Cambria Math" w:hAnsi="Cambria Math"/>
                    <w:i/>
                    <w:szCs w:val="22"/>
                  </w:rPr>
                </m:ctrlPr>
              </m:sub>
            </m:sSub>
            <m:ctrlPr>
              <w:rPr>
                <w:rFonts w:ascii="Cambria Math" w:hAnsi="Cambria Math"/>
                <w:i/>
                <w:szCs w:val="22"/>
              </w:rPr>
            </m:ctrlPr>
          </m:e>
        </m:nary>
      </m:oMath>
      <w:r>
        <w:t xml:space="preserve">                                    </w:t>
      </w:r>
      <w:r>
        <w:rPr>
          <w:rFonts w:hint="eastAsia"/>
        </w:rPr>
        <w:t xml:space="preserve">  </w:t>
      </w:r>
      <w:r>
        <w:t xml:space="preserve">      </w:t>
      </w:r>
      <w:r>
        <w:rPr>
          <w:rFonts w:hint="eastAsia"/>
        </w:rPr>
        <w:t xml:space="preserve">    </w:t>
      </w:r>
      <w:r>
        <w:t xml:space="preserve">             </w:t>
      </w:r>
      <w:r>
        <w:rPr>
          <w:rFonts w:hint="eastAsia"/>
        </w:rPr>
        <w:t>（</w:t>
      </w:r>
      <w:r>
        <w:t>G.5</w:t>
      </w:r>
      <w:r>
        <w:rPr>
          <w:rFonts w:hint="eastAsia"/>
        </w:rPr>
        <w:t>）</w:t>
      </w:r>
    </w:p>
    <w:p>
      <w:pPr>
        <w:tabs>
          <w:tab w:val="left" w:pos="284"/>
          <w:tab w:val="left" w:pos="567"/>
        </w:tabs>
        <w:spacing w:before="156" w:beforeLines="50" w:after="156" w:afterLines="50"/>
        <w:ind w:left="420" w:leftChars="200"/>
        <w:jc w:val="left"/>
      </w:pPr>
      <m:oMath>
        <m:sSup>
          <m:sSupPr>
            <m:ctrlPr>
              <w:rPr>
                <w:rFonts w:ascii="Cambria Math" w:hAnsi="Cambria Math"/>
                <w:szCs w:val="22"/>
              </w:rPr>
            </m:ctrlPr>
          </m:sSupPr>
          <m:e>
            <m:r>
              <m:rPr/>
              <w:rPr>
                <w:rFonts w:ascii="Cambria Math" w:hAnsi="Cambria Math"/>
              </w:rPr>
              <m:t>AB</m:t>
            </m:r>
            <m:ctrlPr>
              <w:rPr>
                <w:rFonts w:ascii="Cambria Math" w:hAnsi="Cambria Math"/>
                <w:szCs w:val="22"/>
              </w:rPr>
            </m:ctrlPr>
          </m:e>
          <m:sup>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szCs w:val="22"/>
              </w:rPr>
            </m:ctrlPr>
          </m:sup>
        </m:sSup>
        <m:r>
          <m:rPr/>
          <w:rPr>
            <w:rFonts w:ascii="Cambria Math" w:hAnsi="Cambria Math"/>
          </w:rPr>
          <m:t>=</m:t>
        </m:r>
        <m:nary>
          <m:naryPr>
            <m:chr m:val="∑"/>
            <m:limLoc m:val="undOvr"/>
            <m:ctrlPr>
              <w:rPr>
                <w:rFonts w:ascii="Cambria Math" w:hAnsi="Cambria Math"/>
                <w:i/>
                <w:szCs w:val="22"/>
              </w:rPr>
            </m:ctrlPr>
          </m:naryPr>
          <m:sub>
            <m:r>
              <m:rPr/>
              <w:rPr>
                <w:rFonts w:ascii="Cambria Math" w:hAnsi="Cambria Math"/>
              </w:rPr>
              <m:t>i=1</m:t>
            </m:r>
            <m:ctrlPr>
              <w:rPr>
                <w:rFonts w:ascii="Cambria Math" w:hAnsi="Cambria Math"/>
                <w:i/>
                <w:szCs w:val="22"/>
              </w:rPr>
            </m:ctrlPr>
          </m:sub>
          <m:sup>
            <m:r>
              <m:rPr/>
              <w:rPr>
                <w:rFonts w:ascii="Cambria Math" w:hAnsi="Cambria Math"/>
              </w:rPr>
              <m:t>a</m:t>
            </m:r>
            <m:ctrlPr>
              <w:rPr>
                <w:rFonts w:ascii="Cambria Math" w:hAnsi="Cambria Math"/>
                <w:i/>
                <w:szCs w:val="22"/>
              </w:rPr>
            </m:ctrlPr>
          </m:sup>
          <m:e>
            <m:nary>
              <m:naryPr>
                <m:chr m:val="∑"/>
                <m:limLoc m:val="undOvr"/>
                <m:ctrlPr>
                  <w:rPr>
                    <w:rFonts w:ascii="Cambria Math" w:hAnsi="Cambria Math"/>
                    <w:i/>
                    <w:szCs w:val="22"/>
                  </w:rPr>
                </m:ctrlPr>
              </m:naryPr>
              <m:sub>
                <m:r>
                  <m:rPr/>
                  <w:rPr>
                    <w:rFonts w:ascii="Cambria Math" w:hAnsi="Cambria Math"/>
                  </w:rPr>
                  <m:t>j=1</m:t>
                </m:r>
                <m:ctrlPr>
                  <w:rPr>
                    <w:rFonts w:ascii="Cambria Math" w:hAnsi="Cambria Math"/>
                    <w:i/>
                    <w:szCs w:val="22"/>
                  </w:rPr>
                </m:ctrlPr>
              </m:sub>
              <m:sup>
                <m:r>
                  <m:rPr/>
                  <w:rPr>
                    <w:rFonts w:ascii="Cambria Math" w:hAnsi="Cambria Math"/>
                  </w:rPr>
                  <m:t>b</m:t>
                </m:r>
                <m:ctrlPr>
                  <w:rPr>
                    <w:rFonts w:ascii="Cambria Math" w:hAnsi="Cambria Math"/>
                    <w:i/>
                    <w:szCs w:val="22"/>
                  </w:rPr>
                </m:ctrlPr>
              </m:sup>
              <m:e>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ij</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nary>
            <m:ctrlPr>
              <w:rPr>
                <w:rFonts w:ascii="Cambria Math" w:hAnsi="Cambria Math"/>
                <w:i/>
                <w:szCs w:val="22"/>
              </w:rPr>
            </m:ctrlPr>
          </m:e>
        </m:nary>
      </m:oMath>
      <w:r>
        <w:t xml:space="preserve">                             </w:t>
      </w:r>
      <w:r>
        <w:rPr>
          <w:rFonts w:hint="eastAsia"/>
        </w:rPr>
        <w:t xml:space="preserve">  </w:t>
      </w:r>
      <w:r>
        <w:t xml:space="preserve">      </w:t>
      </w:r>
      <w:r>
        <w:rPr>
          <w:rFonts w:hint="eastAsia"/>
        </w:rPr>
        <w:t xml:space="preserve">    </w:t>
      </w:r>
      <w:r>
        <w:t xml:space="preserve">             </w:t>
      </w:r>
      <w:r>
        <w:rPr>
          <w:rFonts w:hint="eastAsia"/>
        </w:rPr>
        <w:t>（</w:t>
      </w:r>
      <w:r>
        <w:t>G.6</w:t>
      </w:r>
      <w:r>
        <w:rPr>
          <w:rFonts w:hint="eastAsia"/>
        </w:rPr>
        <w:t>）</w:t>
      </w:r>
    </w:p>
    <w:p>
      <w:pPr>
        <w:tabs>
          <w:tab w:val="left" w:pos="284"/>
          <w:tab w:val="left" w:pos="567"/>
        </w:tabs>
        <w:spacing w:before="156" w:beforeLines="50" w:after="156" w:afterLines="50"/>
        <w:ind w:left="420" w:leftChars="200"/>
        <w:jc w:val="left"/>
      </w:pPr>
      <w:r>
        <w:rPr>
          <w:rFonts w:hint="eastAsia"/>
        </w:rPr>
        <w:t>于是，能够确定对应于各种方差来源的平方和。</w:t>
      </w:r>
    </w:p>
    <w:p>
      <w:pPr>
        <w:tabs>
          <w:tab w:val="left" w:pos="284"/>
          <w:tab w:val="left" w:pos="567"/>
        </w:tabs>
        <w:spacing w:before="156" w:beforeLines="50" w:after="156" w:afterLines="50"/>
        <w:ind w:left="420" w:leftChars="200"/>
        <w:jc w:val="left"/>
      </w:pPr>
      <w:r>
        <w:rPr>
          <w:rFonts w:hint="eastAsia"/>
        </w:rPr>
        <w:t>对</w:t>
      </w:r>
      <w:r>
        <w:t>于</w:t>
      </w:r>
      <w:r>
        <w:rPr>
          <w:rFonts w:hint="eastAsia"/>
        </w:rPr>
        <w:t>因素</w:t>
      </w:r>
      <w:r>
        <w:t>A</w:t>
      </w:r>
      <w:r>
        <w:rPr>
          <w:rFonts w:hint="eastAsia"/>
        </w:rPr>
        <w:t>单独的平方和</w:t>
      </w:r>
      <w:r>
        <w:rPr>
          <w:i/>
        </w:rPr>
        <w:t>S</w:t>
      </w:r>
      <w:r>
        <w:rPr>
          <w:i/>
          <w:vertAlign w:val="subscript"/>
        </w:rPr>
        <w:t>a</w:t>
      </w:r>
      <w:r>
        <w:rPr>
          <w:rFonts w:hint="eastAsia"/>
        </w:rPr>
        <w:t>由下式给出：</w:t>
      </w:r>
    </w:p>
    <w:p>
      <w:pPr>
        <w:tabs>
          <w:tab w:val="left" w:pos="284"/>
          <w:tab w:val="left" w:pos="567"/>
        </w:tabs>
        <w:spacing w:before="156" w:beforeLines="50" w:after="156" w:afterLines="50"/>
        <w:ind w:left="420" w:leftChars="200"/>
        <w:jc w:val="left"/>
      </w:pPr>
      <m:oMath>
        <m:sSub>
          <m:sSubPr>
            <m:ctrlPr>
              <w:rPr>
                <w:rFonts w:ascii="Cambria Math" w:hAnsi="Cambria Math"/>
                <w:szCs w:val="22"/>
              </w:rPr>
            </m:ctrlPr>
          </m:sSubPr>
          <m:e>
            <m:r>
              <m:rPr/>
              <w:rPr>
                <w:rFonts w:ascii="Cambria Math" w:hAnsi="Cambria Math"/>
              </w:rPr>
              <m:t>S</m:t>
            </m:r>
            <m:ctrlPr>
              <w:rPr>
                <w:rFonts w:ascii="Cambria Math" w:hAnsi="Cambria Math"/>
                <w:szCs w:val="22"/>
              </w:rPr>
            </m:ctrlPr>
          </m:e>
          <m:sub>
            <m:r>
              <m:rPr/>
              <w:rPr>
                <w:rFonts w:ascii="Cambria Math" w:hAnsi="Cambria Math"/>
              </w:rPr>
              <m:t>a</m:t>
            </m:r>
            <m:ctrlPr>
              <w:rPr>
                <w:rFonts w:ascii="Cambria Math" w:hAnsi="Cambria Math"/>
                <w:szCs w:val="22"/>
              </w:rPr>
            </m:ctrlPr>
          </m:sub>
        </m:sSub>
        <m:r>
          <m:rPr/>
          <w:rPr>
            <w:rFonts w:ascii="Cambria Math" w:hAnsi="Cambria Math"/>
          </w:rPr>
          <m:t>=</m:t>
        </m:r>
        <m:f>
          <m:fPr>
            <m:ctrlPr>
              <w:rPr>
                <w:rFonts w:ascii="Cambria Math" w:hAnsi="Cambria Math"/>
                <w:i/>
                <w:szCs w:val="22"/>
              </w:rPr>
            </m:ctrlPr>
          </m:fPr>
          <m:num>
            <m:nary>
              <m:naryPr>
                <m:chr m:val="∑"/>
                <m:limLoc m:val="undOvr"/>
                <m:ctrlPr>
                  <w:rPr>
                    <w:rFonts w:ascii="Cambria Math" w:hAnsi="Cambria Math"/>
                    <w:i/>
                    <w:szCs w:val="22"/>
                  </w:rPr>
                </m:ctrlPr>
              </m:naryPr>
              <m:sub>
                <m:r>
                  <m:rPr/>
                  <w:rPr>
                    <w:rFonts w:ascii="Cambria Math" w:hAnsi="Cambria Math"/>
                  </w:rPr>
                  <m:t>i=1</m:t>
                </m:r>
                <m:ctrlPr>
                  <w:rPr>
                    <w:rFonts w:ascii="Cambria Math" w:hAnsi="Cambria Math"/>
                    <w:i/>
                    <w:szCs w:val="22"/>
                  </w:rPr>
                </m:ctrlPr>
              </m:sub>
              <m:sup>
                <m:r>
                  <m:rPr/>
                  <w:rPr>
                    <w:rFonts w:ascii="Cambria Math" w:hAnsi="Cambria Math"/>
                  </w:rPr>
                  <m:t>a</m:t>
                </m:r>
                <m:ctrlPr>
                  <w:rPr>
                    <w:rFonts w:ascii="Cambria Math" w:hAnsi="Cambria Math"/>
                    <w:i/>
                    <w:szCs w:val="22"/>
                  </w:rPr>
                </m:ctrlPr>
              </m:sup>
              <m:e>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AX</m:t>
                        </m:r>
                        <m:ctrlPr>
                          <w:rPr>
                            <w:rFonts w:ascii="Cambria Math" w:hAnsi="Cambria Math"/>
                            <w:i/>
                            <w:szCs w:val="22"/>
                          </w:rPr>
                        </m:ctrlPr>
                      </m:e>
                      <m:sub>
                        <m:r>
                          <m:rPr/>
                          <w:rPr>
                            <w:rFonts w:ascii="Cambria Math" w:hAnsi="Cambria Math"/>
                          </w:rPr>
                          <m:t>i</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nary>
            <m:ctrlPr>
              <w:rPr>
                <w:rFonts w:ascii="Cambria Math" w:hAnsi="Cambria Math"/>
                <w:i/>
                <w:szCs w:val="22"/>
              </w:rPr>
            </m:ctrlPr>
          </m:num>
          <m:den>
            <m:r>
              <m:rPr/>
              <w:rPr>
                <w:rFonts w:ascii="Cambria Math" w:hAnsi="Cambria Math"/>
              </w:rPr>
              <m:t>br</m:t>
            </m:r>
            <m:ctrlPr>
              <w:rPr>
                <w:rFonts w:ascii="Cambria Math" w:hAnsi="Cambria Math"/>
                <w:i/>
                <w:szCs w:val="22"/>
              </w:rPr>
            </m:ctrlPr>
          </m:den>
        </m:f>
        <m:r>
          <m:rPr/>
          <w:rPr>
            <w:rFonts w:ascii="Cambria Math" w:hAnsi="Cambria Math"/>
          </w:rPr>
          <m:t>−</m:t>
        </m:r>
        <m:r>
          <m:rPr>
            <m:sty m:val="p"/>
          </m:rPr>
          <w:rPr>
            <w:rFonts w:ascii="Cambria Math" w:hAnsi="Cambria Math"/>
          </w:rPr>
          <m:t>CF</m:t>
        </m:r>
      </m:oMath>
      <w:r>
        <w:t xml:space="preserve">                     </w:t>
      </w:r>
      <w:r>
        <w:rPr>
          <w:rFonts w:hint="eastAsia"/>
        </w:rPr>
        <w:t xml:space="preserve">     </w:t>
      </w:r>
      <w:r>
        <w:t xml:space="preserve">      </w:t>
      </w:r>
      <w:r>
        <w:rPr>
          <w:rFonts w:hint="eastAsia"/>
        </w:rPr>
        <w:t xml:space="preserve">  </w:t>
      </w:r>
      <w:r>
        <w:t xml:space="preserve">                        </w:t>
      </w:r>
      <w:r>
        <w:rPr>
          <w:rFonts w:hint="eastAsia"/>
        </w:rPr>
        <w:t>（</w:t>
      </w:r>
      <w:r>
        <w:t>G.7</w:t>
      </w:r>
      <w:r>
        <w:rPr>
          <w:rFonts w:hint="eastAsia"/>
        </w:rPr>
        <w:t>）</w:t>
      </w:r>
    </w:p>
    <w:p>
      <w:pPr>
        <w:tabs>
          <w:tab w:val="left" w:pos="284"/>
          <w:tab w:val="left" w:pos="567"/>
        </w:tabs>
        <w:spacing w:before="156" w:beforeLines="50" w:after="156" w:afterLines="50"/>
        <w:ind w:left="420" w:leftChars="200"/>
        <w:jc w:val="left"/>
      </w:pPr>
      <w:r>
        <w:rPr>
          <w:rFonts w:hint="eastAsia"/>
        </w:rPr>
        <w:t>自由度</w:t>
      </w:r>
      <w:r>
        <w:t>DF</w:t>
      </w:r>
      <w:r>
        <w:rPr>
          <w:i/>
          <w:vertAlign w:val="subscript"/>
        </w:rPr>
        <w:t>a</w:t>
      </w:r>
      <w:r>
        <w:t xml:space="preserve"> </w:t>
      </w:r>
      <w:r>
        <w:rPr>
          <w:rFonts w:hint="eastAsia"/>
        </w:rPr>
        <w:t>由下式给出：</w:t>
      </w:r>
    </w:p>
    <w:p>
      <w:pPr>
        <w:tabs>
          <w:tab w:val="left" w:pos="284"/>
          <w:tab w:val="left" w:pos="567"/>
        </w:tabs>
        <w:spacing w:before="156" w:beforeLines="50" w:after="156" w:afterLines="50"/>
        <w:ind w:left="420" w:leftChars="200"/>
        <w:jc w:val="left"/>
      </w:pPr>
      <w:r>
        <w:t>DF</w:t>
      </w:r>
      <w:r>
        <w:rPr>
          <w:i/>
          <w:vertAlign w:val="subscript"/>
        </w:rPr>
        <w:t>a</w:t>
      </w:r>
      <w:r>
        <w:t xml:space="preserve"> = </w:t>
      </w:r>
      <w:r>
        <w:rPr>
          <w:i/>
        </w:rPr>
        <w:t>a</w:t>
      </w:r>
      <w:r>
        <w:t xml:space="preserve">-1                                  </w:t>
      </w:r>
      <w:r>
        <w:rPr>
          <w:rFonts w:hint="eastAsia"/>
        </w:rPr>
        <w:t xml:space="preserve">     </w:t>
      </w:r>
      <w:r>
        <w:t xml:space="preserve">                          </w:t>
      </w:r>
      <w:r>
        <w:rPr>
          <w:rFonts w:hint="eastAsia"/>
        </w:rPr>
        <w:t>（</w:t>
      </w:r>
      <w:r>
        <w:t>G.8</w:t>
      </w:r>
      <w:r>
        <w:rPr>
          <w:rFonts w:hint="eastAsia"/>
        </w:rPr>
        <w:t>）</w:t>
      </w:r>
    </w:p>
    <w:p>
      <w:pPr>
        <w:tabs>
          <w:tab w:val="left" w:pos="284"/>
          <w:tab w:val="left" w:pos="567"/>
        </w:tabs>
        <w:spacing w:before="156" w:beforeLines="50" w:after="156" w:afterLines="50"/>
        <w:ind w:left="420" w:leftChars="200"/>
        <w:jc w:val="left"/>
      </w:pPr>
      <w:r>
        <w:rPr>
          <w:rFonts w:hint="eastAsia"/>
        </w:rPr>
        <w:t>因素</w:t>
      </w:r>
      <w:r>
        <w:t>B</w:t>
      </w:r>
      <w:r>
        <w:rPr>
          <w:rFonts w:hint="eastAsia"/>
        </w:rPr>
        <w:t>单独的平方和</w:t>
      </w:r>
      <w:r>
        <w:rPr>
          <w:i/>
        </w:rPr>
        <w:t>S</w:t>
      </w:r>
      <w:r>
        <w:rPr>
          <w:i/>
          <w:vertAlign w:val="subscript"/>
        </w:rPr>
        <w:t>b</w:t>
      </w:r>
      <w:r>
        <w:rPr>
          <w:rFonts w:hint="eastAsia"/>
        </w:rPr>
        <w:t>由下式给出：</w:t>
      </w:r>
    </w:p>
    <w:p>
      <w:pPr>
        <w:tabs>
          <w:tab w:val="left" w:pos="284"/>
          <w:tab w:val="left" w:pos="567"/>
        </w:tabs>
        <w:spacing w:before="156" w:beforeLines="50" w:after="156" w:afterLines="50"/>
        <w:ind w:left="420" w:leftChars="200"/>
        <w:jc w:val="left"/>
      </w:pPr>
      <m:oMath>
        <m:sSub>
          <m:sSubPr>
            <m:ctrlPr>
              <w:rPr>
                <w:rFonts w:ascii="Cambria Math" w:hAnsi="Cambria Math"/>
                <w:szCs w:val="22"/>
              </w:rPr>
            </m:ctrlPr>
          </m:sSubPr>
          <m:e>
            <m:r>
              <m:rPr/>
              <w:rPr>
                <w:rFonts w:ascii="Cambria Math" w:hAnsi="Cambria Math"/>
              </w:rPr>
              <m:t>S</m:t>
            </m:r>
            <m:ctrlPr>
              <w:rPr>
                <w:rFonts w:ascii="Cambria Math" w:hAnsi="Cambria Math"/>
                <w:szCs w:val="22"/>
              </w:rPr>
            </m:ctrlPr>
          </m:e>
          <m:sub>
            <m:r>
              <m:rPr/>
              <w:rPr>
                <w:rFonts w:ascii="Cambria Math" w:hAnsi="Cambria Math"/>
              </w:rPr>
              <m:t>b</m:t>
            </m:r>
            <m:ctrlPr>
              <w:rPr>
                <w:rFonts w:ascii="Cambria Math" w:hAnsi="Cambria Math"/>
                <w:szCs w:val="22"/>
              </w:rPr>
            </m:ctrlPr>
          </m:sub>
        </m:sSub>
        <m:r>
          <m:rPr/>
          <w:rPr>
            <w:rFonts w:ascii="Cambria Math" w:hAnsi="Cambria Math"/>
          </w:rPr>
          <m:t>=</m:t>
        </m:r>
        <m:f>
          <m:fPr>
            <m:ctrlPr>
              <w:rPr>
                <w:rFonts w:ascii="Cambria Math" w:hAnsi="Cambria Math"/>
                <w:i/>
                <w:szCs w:val="22"/>
              </w:rPr>
            </m:ctrlPr>
          </m:fPr>
          <m:num>
            <m:nary>
              <m:naryPr>
                <m:chr m:val="∑"/>
                <m:limLoc m:val="undOvr"/>
                <m:ctrlPr>
                  <w:rPr>
                    <w:rFonts w:ascii="Cambria Math" w:hAnsi="Cambria Math"/>
                    <w:i/>
                    <w:szCs w:val="22"/>
                  </w:rPr>
                </m:ctrlPr>
              </m:naryPr>
              <m:sub>
                <m:r>
                  <m:rPr/>
                  <w:rPr>
                    <w:rFonts w:ascii="Cambria Math" w:hAnsi="Cambria Math"/>
                  </w:rPr>
                  <m:t>j−1</m:t>
                </m:r>
                <m:ctrlPr>
                  <w:rPr>
                    <w:rFonts w:ascii="Cambria Math" w:hAnsi="Cambria Math"/>
                    <w:i/>
                    <w:szCs w:val="22"/>
                  </w:rPr>
                </m:ctrlPr>
              </m:sub>
              <m:sup>
                <m:r>
                  <m:rPr/>
                  <w:rPr>
                    <w:rFonts w:ascii="Cambria Math" w:hAnsi="Cambria Math"/>
                  </w:rPr>
                  <m:t>b</m:t>
                </m:r>
                <m:ctrlPr>
                  <w:rPr>
                    <w:rFonts w:ascii="Cambria Math" w:hAnsi="Cambria Math"/>
                    <w:i/>
                    <w:szCs w:val="22"/>
                  </w:rPr>
                </m:ctrlPr>
              </m:sup>
              <m:e>
                <m:sSup>
                  <m:sSupPr>
                    <m:ctrlPr>
                      <w:rPr>
                        <w:rFonts w:ascii="Cambria Math" w:hAnsi="Cambria Math"/>
                        <w:i/>
                        <w:szCs w:val="22"/>
                      </w:rPr>
                    </m:ctrlPr>
                  </m:sSupPr>
                  <m:e>
                    <m:r>
                      <m:rPr/>
                      <w:rPr>
                        <w:rFonts w:ascii="Cambria Math" w:hAnsi="Cambria Math"/>
                      </w:rPr>
                      <m:t>B</m:t>
                    </m:r>
                    <m:ctrlPr>
                      <w:rPr>
                        <w:rFonts w:ascii="Cambria Math" w:hAnsi="Cambria Math"/>
                        <w:i/>
                        <w:szCs w:val="22"/>
                      </w:rPr>
                    </m:ctrlPr>
                  </m:e>
                  <m:sup>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j</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sup>
                </m:sSup>
                <m:ctrlPr>
                  <w:rPr>
                    <w:rFonts w:ascii="Cambria Math" w:hAnsi="Cambria Math"/>
                    <w:i/>
                    <w:szCs w:val="22"/>
                  </w:rPr>
                </m:ctrlPr>
              </m:e>
            </m:nary>
            <m:ctrlPr>
              <w:rPr>
                <w:rFonts w:ascii="Cambria Math" w:hAnsi="Cambria Math"/>
                <w:i/>
                <w:szCs w:val="22"/>
              </w:rPr>
            </m:ctrlPr>
          </m:num>
          <m:den>
            <m:r>
              <m:rPr/>
              <w:rPr>
                <w:rFonts w:ascii="Cambria Math" w:hAnsi="Cambria Math"/>
              </w:rPr>
              <m:t>ar</m:t>
            </m:r>
            <m:ctrlPr>
              <w:rPr>
                <w:rFonts w:ascii="Cambria Math" w:hAnsi="Cambria Math"/>
                <w:i/>
                <w:szCs w:val="22"/>
              </w:rPr>
            </m:ctrlPr>
          </m:den>
        </m:f>
        <m:r>
          <m:rPr/>
          <w:rPr>
            <w:rFonts w:ascii="Cambria Math" w:hAnsi="Cambria Math"/>
          </w:rPr>
          <m:t>−</m:t>
        </m:r>
        <m:r>
          <m:rPr>
            <m:sty m:val="p"/>
          </m:rPr>
          <w:rPr>
            <w:rFonts w:ascii="Cambria Math" w:hAnsi="Cambria Math"/>
          </w:rPr>
          <m:t>CF</m:t>
        </m:r>
      </m:oMath>
      <w:r>
        <w:t xml:space="preserve">                             </w:t>
      </w:r>
      <w:r>
        <w:rPr>
          <w:rFonts w:hint="eastAsia"/>
        </w:rPr>
        <w:t xml:space="preserve">     </w:t>
      </w:r>
      <w:r>
        <w:t xml:space="preserve">                       </w:t>
      </w:r>
      <w:r>
        <w:rPr>
          <w:rFonts w:hint="eastAsia"/>
        </w:rPr>
        <w:t>（</w:t>
      </w:r>
      <w:r>
        <w:t>G.9</w:t>
      </w:r>
      <w:r>
        <w:rPr>
          <w:rFonts w:hint="eastAsia"/>
        </w:rPr>
        <w:t>）</w:t>
      </w:r>
    </w:p>
    <w:p>
      <w:pPr>
        <w:tabs>
          <w:tab w:val="left" w:pos="284"/>
          <w:tab w:val="left" w:pos="567"/>
        </w:tabs>
        <w:spacing w:before="156" w:beforeLines="50" w:after="156" w:afterLines="50"/>
        <w:ind w:left="420" w:leftChars="200"/>
        <w:jc w:val="left"/>
      </w:pPr>
      <w:r>
        <w:rPr>
          <w:rFonts w:hint="eastAsia"/>
        </w:rPr>
        <w:t>自由度</w:t>
      </w:r>
      <w:r>
        <w:t>DF</w:t>
      </w:r>
      <w:r>
        <w:rPr>
          <w:i/>
          <w:vertAlign w:val="subscript"/>
        </w:rPr>
        <w:t>b</w:t>
      </w:r>
      <w:r>
        <w:t xml:space="preserve"> </w:t>
      </w:r>
      <w:r>
        <w:rPr>
          <w:rFonts w:hint="eastAsia"/>
        </w:rPr>
        <w:t>由下式给出：</w:t>
      </w:r>
    </w:p>
    <w:p>
      <w:pPr>
        <w:tabs>
          <w:tab w:val="left" w:pos="284"/>
          <w:tab w:val="left" w:pos="567"/>
        </w:tabs>
        <w:spacing w:before="156" w:beforeLines="50" w:after="156" w:afterLines="50"/>
        <w:ind w:left="420" w:leftChars="200"/>
        <w:jc w:val="left"/>
      </w:pPr>
      <w:r>
        <w:t>DF</w:t>
      </w:r>
      <w:r>
        <w:rPr>
          <w:i/>
          <w:vertAlign w:val="subscript"/>
        </w:rPr>
        <w:t>b</w:t>
      </w:r>
      <w:r>
        <w:t xml:space="preserve"> = </w:t>
      </w:r>
      <w:r>
        <w:rPr>
          <w:i/>
        </w:rPr>
        <w:t xml:space="preserve">b </w:t>
      </w:r>
      <w:r>
        <w:t xml:space="preserve">- 1                                    </w:t>
      </w:r>
      <w:r>
        <w:rPr>
          <w:rFonts w:hint="eastAsia"/>
        </w:rPr>
        <w:t xml:space="preserve">     </w:t>
      </w:r>
      <w:r>
        <w:t xml:space="preserve">                       </w:t>
      </w:r>
      <w:r>
        <w:rPr>
          <w:rFonts w:hint="eastAsia"/>
        </w:rPr>
        <w:t>（</w:t>
      </w:r>
      <w:r>
        <w:t>G.10</w:t>
      </w:r>
      <w:r>
        <w:rPr>
          <w:rFonts w:hint="eastAsia"/>
        </w:rPr>
        <w:t>）</w:t>
      </w:r>
    </w:p>
    <w:p>
      <w:pPr>
        <w:tabs>
          <w:tab w:val="left" w:pos="284"/>
          <w:tab w:val="left" w:pos="567"/>
        </w:tabs>
        <w:spacing w:before="156" w:beforeLines="50" w:after="156" w:afterLines="50"/>
        <w:ind w:left="420" w:leftChars="200"/>
        <w:jc w:val="left"/>
      </w:pPr>
      <w:r>
        <w:rPr>
          <w:rFonts w:hint="eastAsia"/>
        </w:rPr>
        <w:t>因素</w:t>
      </w:r>
      <w:r>
        <w:t>A</w:t>
      </w:r>
      <w:r>
        <w:rPr>
          <w:rFonts w:hint="eastAsia"/>
        </w:rPr>
        <w:t>和</w:t>
      </w:r>
      <w:r>
        <w:t>B</w:t>
      </w:r>
      <w:r>
        <w:rPr>
          <w:rFonts w:hint="eastAsia"/>
        </w:rPr>
        <w:t>一起的平方和</w:t>
      </w:r>
      <w:r>
        <w:rPr>
          <w:i/>
        </w:rPr>
        <w:t>S</w:t>
      </w:r>
      <w:r>
        <w:rPr>
          <w:i/>
          <w:vertAlign w:val="subscript"/>
        </w:rPr>
        <w:t>ab</w:t>
      </w:r>
      <w:r>
        <w:rPr>
          <w:rFonts w:hint="eastAsia"/>
        </w:rPr>
        <w:t>由下式给出：</w:t>
      </w:r>
    </w:p>
    <w:p>
      <w:pPr>
        <w:tabs>
          <w:tab w:val="left" w:pos="284"/>
          <w:tab w:val="left" w:pos="567"/>
        </w:tabs>
        <w:spacing w:before="156" w:beforeLines="50" w:after="156" w:afterLines="50"/>
        <w:ind w:left="420" w:leftChars="200"/>
        <w:jc w:val="left"/>
      </w:pPr>
      <w:r>
        <w:t xml:space="preserve">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ab</m:t>
            </m:r>
            <m:ctrlPr>
              <w:rPr>
                <w:rFonts w:ascii="Cambria Math" w:hAnsi="Cambria Math"/>
                <w:i/>
                <w:iCs/>
              </w:rPr>
            </m:ctrlPr>
          </m:sub>
        </m:sSub>
        <m:r>
          <m:rPr/>
          <w:rPr>
            <w:rFonts w:ascii="Cambria Math" w:hAnsi="Cambria Math"/>
          </w:rPr>
          <m:t>=</m:t>
        </m:r>
        <m:f>
          <m:fPr>
            <m:ctrlPr>
              <w:rPr>
                <w:rFonts w:ascii="Cambria Math" w:hAnsi="Cambria Math"/>
                <w:i/>
                <w:iCs/>
              </w:rPr>
            </m:ctrlPr>
          </m:fPr>
          <m:num>
            <m:sSub>
              <m:sSubPr>
                <m:ctrlPr>
                  <w:rPr>
                    <w:rFonts w:ascii="Cambria Math" w:hAnsi="Cambria Math"/>
                    <w:i/>
                    <w:iCs/>
                  </w:rPr>
                </m:ctrlPr>
              </m:sSubPr>
              <m:e>
                <m:ctrlPr>
                  <w:rPr>
                    <w:rFonts w:ascii="Cambria Math" w:hAnsi="Cambria Math"/>
                    <w:i/>
                    <w:iCs/>
                  </w:rPr>
                </m:ctrlPr>
              </m:e>
              <m:sub>
                <m:r>
                  <m:rPr/>
                  <w:rPr>
                    <w:rFonts w:ascii="Cambria Math" w:hAnsi="Cambria Math"/>
                  </w:rPr>
                  <m:t>AB</m:t>
                </m:r>
                <m:ctrlPr>
                  <w:rPr>
                    <w:rFonts w:ascii="Cambria Math" w:hAnsi="Cambria Math"/>
                    <w:i/>
                    <w:iCs/>
                  </w:rPr>
                </m:ctrlPr>
              </m:sub>
            </m:sSub>
            <m:sSup>
              <m:sSupPr>
                <m:ctrlPr>
                  <w:rPr>
                    <w:rFonts w:ascii="Cambria Math" w:hAnsi="Cambria Math"/>
                    <w:i/>
                    <w:iCs/>
                  </w:rPr>
                </m:ctrlPr>
              </m:sSupPr>
              <m:e>
                <m:r>
                  <m:rPr/>
                  <w:rPr>
                    <w:rFonts w:ascii="Cambria Math" w:hAnsi="Cambria Math"/>
                  </w:rPr>
                  <m:t>X</m:t>
                </m:r>
                <m:ctrlPr>
                  <w:rPr>
                    <w:rFonts w:ascii="Cambria Math" w:hAnsi="Cambria Math"/>
                    <w:i/>
                    <w:iCs/>
                  </w:rPr>
                </m:ctrlPr>
              </m:e>
              <m:sup>
                <m:r>
                  <m:rPr/>
                  <w:rPr>
                    <w:rFonts w:ascii="Cambria Math" w:hAnsi="Cambria Math"/>
                  </w:rPr>
                  <m:t>2</m:t>
                </m:r>
                <m:ctrlPr>
                  <w:rPr>
                    <w:rFonts w:ascii="Cambria Math" w:hAnsi="Cambria Math"/>
                    <w:i/>
                    <w:iCs/>
                  </w:rPr>
                </m:ctrlPr>
              </m:sup>
            </m:sSup>
            <m:ctrlPr>
              <w:rPr>
                <w:rFonts w:ascii="Cambria Math" w:hAnsi="Cambria Math"/>
                <w:i/>
                <w:iCs/>
              </w:rPr>
            </m:ctrlPr>
          </m:num>
          <m:den>
            <m:r>
              <m:rPr/>
              <w:rPr>
                <w:rFonts w:ascii="Cambria Math" w:hAnsi="Cambria Math"/>
              </w:rPr>
              <m:t>r</m:t>
            </m:r>
            <m:ctrlPr>
              <w:rPr>
                <w:rFonts w:ascii="Cambria Math" w:hAnsi="Cambria Math"/>
                <w:i/>
                <w:iCs/>
              </w:rPr>
            </m:ctrlPr>
          </m:den>
        </m:f>
        <m:r>
          <m:rPr>
            <m:sty m:val="p"/>
          </m:rPr>
          <w:rPr>
            <w:rFonts w:ascii="Cambria Math" w:hAnsi="Cambria Math"/>
          </w:rPr>
          <m:t>−</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b</m:t>
            </m:r>
            <m:ctrlPr>
              <w:rPr>
                <w:rFonts w:ascii="Cambria Math" w:hAnsi="Cambria Math"/>
                <w:i/>
                <w:iCs/>
              </w:rPr>
            </m:ctrlPr>
          </m:sub>
        </m:sSub>
        <m:r>
          <m:rPr/>
          <w:rPr>
            <w:rFonts w:ascii="Cambria Math" w:hAnsi="Cambria Math"/>
          </w:rPr>
          <m:t>−</m:t>
        </m:r>
        <m:r>
          <m:rPr>
            <m:sty m:val="p"/>
          </m:rPr>
          <w:rPr>
            <w:rFonts w:ascii="Cambria Math" w:hAnsi="Cambria Math"/>
          </w:rPr>
          <m:t>CF</m:t>
        </m:r>
      </m:oMath>
      <w:r>
        <w:t xml:space="preserve">                    </w:t>
      </w:r>
      <w:r>
        <w:rPr>
          <w:rFonts w:hint="eastAsia"/>
        </w:rPr>
        <w:t>（</w:t>
      </w:r>
      <w:r>
        <w:t>G.11</w:t>
      </w:r>
      <w:r>
        <w:rPr>
          <w:rFonts w:hint="eastAsia"/>
        </w:rPr>
        <w:t>）</w:t>
      </w:r>
    </w:p>
    <w:p>
      <w:pPr>
        <w:tabs>
          <w:tab w:val="left" w:pos="284"/>
          <w:tab w:val="left" w:pos="567"/>
        </w:tabs>
        <w:spacing w:before="156" w:beforeLines="50" w:after="156" w:afterLines="50"/>
        <w:jc w:val="left"/>
      </w:pPr>
      <w:r>
        <w:rPr>
          <w:rFonts w:hint="eastAsia"/>
        </w:rPr>
        <w:t>式中，</w:t>
      </w:r>
      <w:r>
        <w:rPr>
          <w:i/>
        </w:rPr>
        <w:t>A</w:t>
      </w:r>
      <w:r>
        <w:rPr>
          <w:rFonts w:hint="eastAsia"/>
        </w:rPr>
        <w:t>和</w:t>
      </w:r>
      <w:r>
        <w:rPr>
          <w:i/>
        </w:rPr>
        <w:t>B</w:t>
      </w:r>
      <w:r>
        <w:rPr>
          <w:rFonts w:hint="eastAsia"/>
        </w:rPr>
        <w:t>分别是因素</w:t>
      </w:r>
      <w:r>
        <w:t>A</w:t>
      </w:r>
      <w:r>
        <w:rPr>
          <w:rFonts w:hint="eastAsia"/>
        </w:rPr>
        <w:t>和因素</w:t>
      </w:r>
      <w:r>
        <w:t>B</w:t>
      </w:r>
      <w:r>
        <w:rPr>
          <w:rFonts w:hint="eastAsia"/>
        </w:rPr>
        <w:t>的影响，并且</w:t>
      </w:r>
    </w:p>
    <w:p>
      <w:pPr>
        <w:tabs>
          <w:tab w:val="left" w:pos="284"/>
          <w:tab w:val="left" w:pos="567"/>
        </w:tabs>
        <w:spacing w:before="156" w:beforeLines="50" w:after="156" w:afterLines="50"/>
        <w:ind w:left="420" w:leftChars="200"/>
        <w:jc w:val="left"/>
      </w:pPr>
      <w:r>
        <w:rPr>
          <w:rFonts w:hint="eastAsia"/>
        </w:rPr>
        <w:t>自由度</w:t>
      </w:r>
      <w:r>
        <w:t>DF</w:t>
      </w:r>
      <w:r>
        <w:rPr>
          <w:i/>
          <w:vertAlign w:val="subscript"/>
        </w:rPr>
        <w:t>ab</w:t>
      </w:r>
      <w:r>
        <w:t xml:space="preserve"> </w:t>
      </w:r>
      <w:r>
        <w:rPr>
          <w:rFonts w:hint="eastAsia"/>
        </w:rPr>
        <w:t>由下式给出：</w:t>
      </w:r>
    </w:p>
    <w:p>
      <w:pPr>
        <w:tabs>
          <w:tab w:val="left" w:pos="284"/>
          <w:tab w:val="left" w:pos="567"/>
        </w:tabs>
        <w:spacing w:before="156" w:beforeLines="50" w:after="156" w:afterLines="50"/>
        <w:ind w:left="420" w:leftChars="200"/>
        <w:jc w:val="left"/>
      </w:pPr>
      <w:r>
        <w:t>DF</w:t>
      </w:r>
      <w:r>
        <w:rPr>
          <w:i/>
          <w:vertAlign w:val="subscript"/>
        </w:rPr>
        <w:t>ab</w:t>
      </w:r>
      <w:r>
        <w:t xml:space="preserve"> =(</w:t>
      </w:r>
      <w:r>
        <w:rPr>
          <w:i/>
        </w:rPr>
        <w:t>a</w:t>
      </w:r>
      <w:r>
        <w:t xml:space="preserve"> - 1)( </w:t>
      </w:r>
      <w:r>
        <w:rPr>
          <w:i/>
        </w:rPr>
        <w:t xml:space="preserve">b </w:t>
      </w:r>
      <w:r>
        <w:t xml:space="preserve">– 1)                            </w:t>
      </w:r>
      <w:r>
        <w:rPr>
          <w:rFonts w:hint="eastAsia"/>
        </w:rPr>
        <w:t xml:space="preserve">     </w:t>
      </w:r>
      <w:r>
        <w:t xml:space="preserve">                       </w:t>
      </w:r>
      <w:r>
        <w:rPr>
          <w:rFonts w:hint="eastAsia"/>
        </w:rPr>
        <w:t>（</w:t>
      </w:r>
      <w:r>
        <w:t>G.12</w:t>
      </w:r>
      <w:r>
        <w:rPr>
          <w:rFonts w:hint="eastAsia"/>
        </w:rPr>
        <w:t>）</w:t>
      </w:r>
    </w:p>
    <w:p>
      <w:pPr>
        <w:tabs>
          <w:tab w:val="left" w:pos="284"/>
          <w:tab w:val="left" w:pos="567"/>
        </w:tabs>
        <w:spacing w:before="156" w:beforeLines="50" w:after="156" w:afterLines="50"/>
        <w:ind w:left="420" w:leftChars="200"/>
        <w:jc w:val="left"/>
      </w:pPr>
      <w:r>
        <w:rPr>
          <w:rFonts w:hint="eastAsia"/>
        </w:rPr>
        <w:t>总平方和为：</w:t>
      </w:r>
    </w:p>
    <w:p>
      <w:pPr>
        <w:tabs>
          <w:tab w:val="left" w:pos="284"/>
          <w:tab w:val="left" w:pos="567"/>
        </w:tabs>
        <w:spacing w:before="156" w:beforeLines="50" w:after="156" w:afterLines="50"/>
        <w:ind w:left="420" w:leftChars="200"/>
        <w:jc w:val="left"/>
      </w:pPr>
      <m:oMath>
        <m:sSub>
          <m:sSubPr>
            <m:ctrlPr>
              <w:rPr>
                <w:rFonts w:ascii="Cambria Math" w:hAnsi="Cambria Math"/>
                <w:szCs w:val="22"/>
              </w:rPr>
            </m:ctrlPr>
          </m:sSubPr>
          <m:e>
            <m:r>
              <m:rPr/>
              <w:rPr>
                <w:rFonts w:ascii="Cambria Math" w:hAnsi="Cambria Math"/>
              </w:rPr>
              <m:t>S</m:t>
            </m:r>
            <m:ctrlPr>
              <w:rPr>
                <w:rFonts w:ascii="Cambria Math" w:hAnsi="Cambria Math"/>
                <w:szCs w:val="22"/>
              </w:rPr>
            </m:ctrlPr>
          </m:e>
          <m:sub>
            <m:r>
              <m:rPr/>
              <w:rPr>
                <w:rFonts w:ascii="Cambria Math" w:hAnsi="Cambria Math"/>
              </w:rPr>
              <m:t>t</m:t>
            </m:r>
            <m:ctrlPr>
              <w:rPr>
                <w:rFonts w:ascii="Cambria Math" w:hAnsi="Cambria Math"/>
                <w:szCs w:val="22"/>
              </w:rPr>
            </m:ctrlPr>
          </m:sub>
        </m:sSub>
        <m:r>
          <m:rPr/>
          <w:rPr>
            <w:rFonts w:ascii="Cambria Math" w:hAnsi="Cambria Math"/>
          </w:rPr>
          <m:t>=</m:t>
        </m:r>
        <m:nary>
          <m:naryPr>
            <m:chr m:val="∑"/>
            <m:limLoc m:val="undOvr"/>
            <m:ctrlPr>
              <w:rPr>
                <w:rFonts w:ascii="Cambria Math" w:hAnsi="Cambria Math"/>
                <w:i/>
                <w:szCs w:val="22"/>
              </w:rPr>
            </m:ctrlPr>
          </m:naryPr>
          <m:sub>
            <m:r>
              <m:rPr/>
              <w:rPr>
                <w:rFonts w:ascii="Cambria Math" w:hAnsi="Cambria Math"/>
              </w:rPr>
              <m:t>i=1</m:t>
            </m:r>
            <m:ctrlPr>
              <w:rPr>
                <w:rFonts w:ascii="Cambria Math" w:hAnsi="Cambria Math"/>
                <w:i/>
                <w:szCs w:val="22"/>
              </w:rPr>
            </m:ctrlPr>
          </m:sub>
          <m:sup>
            <m:r>
              <m:rPr/>
              <w:rPr>
                <w:rFonts w:ascii="Cambria Math" w:hAnsi="Cambria Math"/>
              </w:rPr>
              <m:t>a</m:t>
            </m:r>
            <m:ctrlPr>
              <w:rPr>
                <w:rFonts w:ascii="Cambria Math" w:hAnsi="Cambria Math"/>
                <w:i/>
                <w:szCs w:val="22"/>
              </w:rPr>
            </m:ctrlPr>
          </m:sup>
          <m:e>
            <m:nary>
              <m:naryPr>
                <m:chr m:val="∑"/>
                <m:limLoc m:val="undOvr"/>
                <m:ctrlPr>
                  <w:rPr>
                    <w:rFonts w:ascii="Cambria Math" w:hAnsi="Cambria Math"/>
                    <w:i/>
                    <w:szCs w:val="22"/>
                  </w:rPr>
                </m:ctrlPr>
              </m:naryPr>
              <m:sub>
                <m:r>
                  <m:rPr/>
                  <w:rPr>
                    <w:rFonts w:ascii="Cambria Math" w:hAnsi="Cambria Math"/>
                  </w:rPr>
                  <m:t>j−1</m:t>
                </m:r>
                <m:ctrlPr>
                  <w:rPr>
                    <w:rFonts w:ascii="Cambria Math" w:hAnsi="Cambria Math"/>
                    <w:i/>
                    <w:szCs w:val="22"/>
                  </w:rPr>
                </m:ctrlPr>
              </m:sub>
              <m:sup>
                <m:r>
                  <m:rPr/>
                  <w:rPr>
                    <w:rFonts w:ascii="Cambria Math" w:hAnsi="Cambria Math"/>
                  </w:rPr>
                  <m:t>b</m:t>
                </m:r>
                <m:ctrlPr>
                  <w:rPr>
                    <w:rFonts w:ascii="Cambria Math" w:hAnsi="Cambria Math"/>
                    <w:i/>
                    <w:szCs w:val="22"/>
                  </w:rPr>
                </m:ctrlPr>
              </m:sup>
              <m:e>
                <m:nary>
                  <m:naryPr>
                    <m:chr m:val="∑"/>
                    <m:limLoc m:val="undOvr"/>
                    <m:ctrlPr>
                      <w:rPr>
                        <w:rFonts w:ascii="Cambria Math" w:hAnsi="Cambria Math"/>
                        <w:i/>
                        <w:szCs w:val="22"/>
                      </w:rPr>
                    </m:ctrlPr>
                  </m:naryPr>
                  <m:sub>
                    <m:r>
                      <m:rPr/>
                      <w:rPr>
                        <w:rFonts w:ascii="Cambria Math" w:hAnsi="Cambria Math"/>
                      </w:rPr>
                      <m:t>k=1</m:t>
                    </m:r>
                    <m:ctrlPr>
                      <w:rPr>
                        <w:rFonts w:ascii="Cambria Math" w:hAnsi="Cambria Math"/>
                        <w:i/>
                        <w:szCs w:val="22"/>
                      </w:rPr>
                    </m:ctrlPr>
                  </m:sub>
                  <m:sup>
                    <m:r>
                      <m:rPr/>
                      <w:rPr>
                        <w:rFonts w:ascii="Cambria Math" w:hAnsi="Cambria Math"/>
                      </w:rPr>
                      <m:t>r</m:t>
                    </m:r>
                    <m:ctrlPr>
                      <w:rPr>
                        <w:rFonts w:ascii="Cambria Math" w:hAnsi="Cambria Math"/>
                        <w:i/>
                        <w:szCs w:val="22"/>
                      </w:rPr>
                    </m:ctrlPr>
                  </m:sup>
                  <m:e>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x</m:t>
                            </m:r>
                            <m:ctrlPr>
                              <w:rPr>
                                <w:rFonts w:ascii="Cambria Math" w:hAnsi="Cambria Math"/>
                                <w:i/>
                                <w:szCs w:val="22"/>
                              </w:rPr>
                            </m:ctrlPr>
                          </m:e>
                          <m:sub>
                            <m:r>
                              <m:rPr/>
                              <w:rPr>
                                <w:rFonts w:ascii="Cambria Math" w:hAnsi="Cambria Math"/>
                              </w:rPr>
                              <m:t>ijk</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m:t>
                    </m:r>
                    <m:r>
                      <m:rPr>
                        <m:sty m:val="p"/>
                      </m:rPr>
                      <w:rPr>
                        <w:rFonts w:ascii="Cambria Math" w:hAnsi="Cambria Math"/>
                      </w:rPr>
                      <m:t>CF</m:t>
                    </m:r>
                    <m:ctrlPr>
                      <w:rPr>
                        <w:rFonts w:ascii="Cambria Math" w:hAnsi="Cambria Math"/>
                        <w:i/>
                        <w:szCs w:val="22"/>
                      </w:rPr>
                    </m:ctrlPr>
                  </m:e>
                </m:nary>
                <m:ctrlPr>
                  <w:rPr>
                    <w:rFonts w:ascii="Cambria Math" w:hAnsi="Cambria Math"/>
                    <w:i/>
                    <w:szCs w:val="22"/>
                  </w:rPr>
                </m:ctrlPr>
              </m:e>
            </m:nary>
            <m:ctrlPr>
              <w:rPr>
                <w:rFonts w:ascii="Cambria Math" w:hAnsi="Cambria Math"/>
                <w:i/>
                <w:szCs w:val="22"/>
              </w:rPr>
            </m:ctrlPr>
          </m:e>
        </m:nary>
      </m:oMath>
      <w:r>
        <w:t xml:space="preserve">                  </w:t>
      </w:r>
      <w:r>
        <w:rPr>
          <w:rFonts w:hint="eastAsia"/>
        </w:rPr>
        <w:t xml:space="preserve">     </w:t>
      </w:r>
      <w:r>
        <w:t xml:space="preserve">                       </w:t>
      </w:r>
      <w:r>
        <w:rPr>
          <w:rFonts w:hint="eastAsia"/>
        </w:rPr>
        <w:t>（</w:t>
      </w:r>
      <w:r>
        <w:t>G.13</w:t>
      </w:r>
      <w:r>
        <w:rPr>
          <w:rFonts w:hint="eastAsia"/>
        </w:rPr>
        <w:t>）</w:t>
      </w:r>
    </w:p>
    <w:p>
      <w:pPr>
        <w:tabs>
          <w:tab w:val="left" w:pos="284"/>
          <w:tab w:val="left" w:pos="567"/>
        </w:tabs>
        <w:spacing w:before="156" w:beforeLines="50" w:after="156" w:afterLines="50"/>
        <w:ind w:left="420" w:leftChars="200"/>
        <w:jc w:val="left"/>
      </w:pPr>
      <w:r>
        <w:rPr>
          <w:rFonts w:hint="eastAsia"/>
        </w:rPr>
        <w:t>自由度</w:t>
      </w:r>
      <w:r>
        <w:t>DF</w:t>
      </w:r>
      <w:r>
        <w:rPr>
          <w:vertAlign w:val="subscript"/>
        </w:rPr>
        <w:t>t</w:t>
      </w:r>
      <w:r>
        <w:rPr>
          <w:rFonts w:hint="eastAsia"/>
        </w:rPr>
        <w:t>由下式给出：</w:t>
      </w:r>
    </w:p>
    <w:p>
      <w:pPr>
        <w:tabs>
          <w:tab w:val="left" w:pos="284"/>
          <w:tab w:val="left" w:pos="567"/>
        </w:tabs>
        <w:spacing w:before="156" w:beforeLines="50" w:after="156" w:afterLines="50"/>
        <w:ind w:left="420" w:leftChars="200"/>
        <w:jc w:val="left"/>
      </w:pPr>
      <w:r>
        <w:t>DF</w:t>
      </w:r>
      <w:r>
        <w:rPr>
          <w:vertAlign w:val="subscript"/>
        </w:rPr>
        <w:t>t</w:t>
      </w:r>
      <w:r>
        <w:t xml:space="preserve"> = </w:t>
      </w:r>
      <w:r>
        <w:rPr>
          <w:i/>
        </w:rPr>
        <w:t>abr</w:t>
      </w:r>
      <w:r>
        <w:t xml:space="preserve"> -1                                   </w:t>
      </w:r>
      <w:r>
        <w:rPr>
          <w:rFonts w:hint="eastAsia"/>
        </w:rPr>
        <w:t xml:space="preserve">     </w:t>
      </w:r>
      <w:r>
        <w:t xml:space="preserve">                       </w:t>
      </w:r>
      <w:r>
        <w:rPr>
          <w:rFonts w:hint="eastAsia"/>
        </w:rPr>
        <w:t>（</w:t>
      </w:r>
      <w:r>
        <w:t>G.14</w:t>
      </w:r>
      <w:r>
        <w:rPr>
          <w:rFonts w:hint="eastAsia"/>
        </w:rPr>
        <w:t>）</w:t>
      </w:r>
    </w:p>
    <w:p>
      <w:pPr>
        <w:tabs>
          <w:tab w:val="left" w:pos="284"/>
          <w:tab w:val="left" w:pos="567"/>
        </w:tabs>
        <w:spacing w:before="156" w:beforeLines="50" w:after="156" w:afterLines="50"/>
        <w:ind w:left="420" w:leftChars="200"/>
        <w:jc w:val="left"/>
      </w:pPr>
      <w:r>
        <w:rPr>
          <w:rFonts w:hint="eastAsia"/>
        </w:rPr>
        <w:t>由此，用减除法能导出残差平方和及残差自由度数，如下：</w:t>
      </w:r>
    </w:p>
    <w:p>
      <w:pPr>
        <w:tabs>
          <w:tab w:val="left" w:pos="284"/>
          <w:tab w:val="left" w:pos="567"/>
        </w:tabs>
        <w:spacing w:before="156" w:beforeLines="50" w:after="156" w:afterLines="50"/>
        <w:ind w:left="420" w:leftChars="200"/>
        <w:jc w:val="left"/>
      </w:pPr>
      <w:r>
        <w:rPr>
          <w:rFonts w:hint="eastAsia"/>
        </w:rPr>
        <w:t>残差平方和</w:t>
      </w:r>
      <w:r>
        <w:rPr>
          <w:i/>
        </w:rPr>
        <w:t>S</w:t>
      </w:r>
      <w:r>
        <w:rPr>
          <w:i/>
          <w:vertAlign w:val="subscript"/>
        </w:rPr>
        <w:t>r</w:t>
      </w:r>
      <w:r>
        <w:rPr>
          <w:rFonts w:hint="eastAsia"/>
        </w:rPr>
        <w:t>：</w:t>
      </w:r>
    </w:p>
    <w:p>
      <w:pPr>
        <w:tabs>
          <w:tab w:val="left" w:pos="284"/>
          <w:tab w:val="left" w:pos="567"/>
        </w:tabs>
        <w:spacing w:before="156" w:beforeLines="50" w:after="156" w:afterLines="50"/>
        <w:ind w:left="420" w:leftChars="200"/>
        <w:jc w:val="left"/>
      </w:pPr>
      <w:r>
        <w:rPr>
          <w:i/>
        </w:rPr>
        <w:t>S</w:t>
      </w:r>
      <w:r>
        <w:rPr>
          <w:i/>
          <w:vertAlign w:val="subscript"/>
        </w:rPr>
        <w:t>r</w:t>
      </w:r>
      <w:r>
        <w:rPr>
          <w:i/>
        </w:rPr>
        <w:t xml:space="preserve"> = S</w:t>
      </w:r>
      <w:r>
        <w:rPr>
          <w:i/>
          <w:vertAlign w:val="subscript"/>
        </w:rPr>
        <w:t>t</w:t>
      </w:r>
      <w:r>
        <w:rPr>
          <w:i/>
        </w:rPr>
        <w:t xml:space="preserve"> </w:t>
      </w:r>
      <w:r>
        <w:t>–</w:t>
      </w:r>
      <w:r>
        <w:rPr>
          <w:i/>
        </w:rPr>
        <w:t xml:space="preserve"> S</w:t>
      </w:r>
      <w:r>
        <w:rPr>
          <w:i/>
          <w:vertAlign w:val="subscript"/>
        </w:rPr>
        <w:t>ab</w:t>
      </w:r>
      <w:r>
        <w:t xml:space="preserve"> –</w:t>
      </w:r>
      <w:r>
        <w:rPr>
          <w:i/>
        </w:rPr>
        <w:t xml:space="preserve"> S</w:t>
      </w:r>
      <w:r>
        <w:rPr>
          <w:i/>
          <w:vertAlign w:val="subscript"/>
        </w:rPr>
        <w:t>a</w:t>
      </w:r>
      <w:r>
        <w:rPr>
          <w:i/>
        </w:rPr>
        <w:t xml:space="preserve"> </w:t>
      </w:r>
      <w:r>
        <w:t>-</w:t>
      </w:r>
      <w:r>
        <w:rPr>
          <w:i/>
        </w:rPr>
        <w:t xml:space="preserve"> S</w:t>
      </w:r>
      <w:r>
        <w:rPr>
          <w:i/>
          <w:vertAlign w:val="subscript"/>
        </w:rPr>
        <w:t>b</w:t>
      </w:r>
      <w:r>
        <w:t xml:space="preserve">                               </w:t>
      </w:r>
      <w:r>
        <w:rPr>
          <w:rFonts w:hint="eastAsia"/>
        </w:rPr>
        <w:t xml:space="preserve">     </w:t>
      </w:r>
      <w:r>
        <w:t xml:space="preserve">                    </w:t>
      </w:r>
      <w:r>
        <w:rPr>
          <w:rFonts w:hint="eastAsia"/>
        </w:rPr>
        <w:t>（</w:t>
      </w:r>
      <w:r>
        <w:t>G.15</w:t>
      </w:r>
      <w:r>
        <w:rPr>
          <w:rFonts w:hint="eastAsia"/>
        </w:rPr>
        <w:t>）</w:t>
      </w:r>
    </w:p>
    <w:p>
      <w:pPr>
        <w:tabs>
          <w:tab w:val="left" w:pos="284"/>
          <w:tab w:val="left" w:pos="567"/>
        </w:tabs>
        <w:spacing w:before="156" w:beforeLines="50" w:after="156" w:afterLines="50"/>
        <w:ind w:left="420" w:leftChars="200"/>
        <w:jc w:val="left"/>
      </w:pPr>
      <w:r>
        <w:rPr>
          <w:rFonts w:hint="eastAsia"/>
        </w:rPr>
        <w:t>残差自由度数</w:t>
      </w:r>
      <w:r>
        <w:t>DF</w:t>
      </w:r>
      <w:r>
        <w:rPr>
          <w:i/>
          <w:vertAlign w:val="subscript"/>
        </w:rPr>
        <w:t>r</w:t>
      </w:r>
      <w:r>
        <w:t xml:space="preserve"> </w:t>
      </w:r>
      <w:r>
        <w:rPr>
          <w:rFonts w:hint="eastAsia"/>
        </w:rPr>
        <w:t>：</w:t>
      </w:r>
    </w:p>
    <w:p>
      <w:pPr>
        <w:tabs>
          <w:tab w:val="left" w:pos="284"/>
          <w:tab w:val="left" w:pos="567"/>
        </w:tabs>
        <w:spacing w:before="156" w:beforeLines="50" w:after="156" w:afterLines="50"/>
        <w:ind w:left="420" w:leftChars="200"/>
        <w:jc w:val="left"/>
      </w:pPr>
      <w:r>
        <w:t>DF</w:t>
      </w:r>
      <w:r>
        <w:rPr>
          <w:i/>
          <w:vertAlign w:val="subscript"/>
        </w:rPr>
        <w:t>r</w:t>
      </w:r>
      <w:r>
        <w:t xml:space="preserve"> = DF</w:t>
      </w:r>
      <w:r>
        <w:rPr>
          <w:i/>
          <w:vertAlign w:val="subscript"/>
        </w:rPr>
        <w:t>t</w:t>
      </w:r>
      <w:r>
        <w:t xml:space="preserve"> – DF</w:t>
      </w:r>
      <w:r>
        <w:rPr>
          <w:i/>
          <w:vertAlign w:val="subscript"/>
        </w:rPr>
        <w:t>ab</w:t>
      </w:r>
      <w:r>
        <w:t xml:space="preserve"> – DF</w:t>
      </w:r>
      <w:r>
        <w:rPr>
          <w:i/>
          <w:vertAlign w:val="subscript"/>
        </w:rPr>
        <w:t>a</w:t>
      </w:r>
      <w:r>
        <w:t xml:space="preserve"> - DF</w:t>
      </w:r>
      <w:r>
        <w:rPr>
          <w:i/>
          <w:vertAlign w:val="subscript"/>
        </w:rPr>
        <w:t>b</w:t>
      </w:r>
      <w:r>
        <w:t xml:space="preserve">                       </w:t>
      </w:r>
      <w:r>
        <w:rPr>
          <w:rFonts w:hint="eastAsia"/>
        </w:rPr>
        <w:t xml:space="preserve">     </w:t>
      </w:r>
      <w:r>
        <w:t xml:space="preserve">                    </w:t>
      </w:r>
      <w:r>
        <w:rPr>
          <w:rFonts w:hint="eastAsia"/>
        </w:rPr>
        <w:t>（</w:t>
      </w:r>
      <w:r>
        <w:t>G.16</w:t>
      </w:r>
      <w:r>
        <w:rPr>
          <w:rFonts w:hint="eastAsia"/>
        </w:rPr>
        <w:t>）</w:t>
      </w:r>
    </w:p>
    <w:p>
      <w:pPr>
        <w:tabs>
          <w:tab w:val="left" w:pos="284"/>
          <w:tab w:val="left" w:pos="567"/>
        </w:tabs>
        <w:spacing w:before="156" w:beforeLines="50" w:after="156" w:afterLines="50"/>
        <w:ind w:left="420" w:leftChars="200"/>
        <w:jc w:val="left"/>
      </w:pPr>
      <w:r>
        <w:rPr>
          <w:rFonts w:hint="eastAsia"/>
        </w:rPr>
        <w:t>如前，每个因素的均方用对应的平方和除以自由度来计算。</w:t>
      </w:r>
    </w:p>
    <w:p>
      <w:pPr>
        <w:pStyle w:val="103"/>
        <w:spacing w:before="156" w:after="156"/>
        <w:outlineLvl w:val="9"/>
        <w:rPr>
          <w:rFonts w:ascii="宋体" w:hAnsi="宋体" w:eastAsia="宋体"/>
        </w:rPr>
      </w:pPr>
      <w:bookmarkStart w:id="287" w:name="_Toc124173224"/>
      <w:bookmarkStart w:id="288" w:name="_Toc117245098"/>
      <w:r>
        <w:rPr>
          <w:rFonts w:hint="eastAsia" w:ascii="宋体" w:hAnsi="宋体" w:eastAsia="宋体"/>
        </w:rPr>
        <w:t>原则上，本过程能够扩展到任何因素数，虽然实践中经常发现，超过三个或四个因素，因素间高水平相互作用导致解开它们之间的缠结将很复杂。最好以简单的实验步骤（见第17章）开始。如在第10章中所指出的，一些个人电脑用的电子表格程序有内置的统计程序，包括方差分析(ANOVA)，这可以大大减轻计算的数学负担，尽管这些可能只能解决一个或两个因素的问题。</w:t>
      </w:r>
      <w:bookmarkEnd w:id="287"/>
      <w:bookmarkEnd w:id="288"/>
    </w:p>
    <w:p>
      <w:pPr>
        <w:pStyle w:val="102"/>
        <w:spacing w:before="312" w:after="312"/>
      </w:pPr>
      <w:bookmarkStart w:id="289" w:name="_Toc124173990"/>
      <w:r>
        <w:rPr>
          <w:rFonts w:hint="eastAsia"/>
        </w:rPr>
        <w:t>处理相互作用的三因素分析</w:t>
      </w:r>
      <w:bookmarkEnd w:id="289"/>
    </w:p>
    <w:p>
      <w:pPr>
        <w:pStyle w:val="103"/>
        <w:spacing w:before="156" w:after="156"/>
        <w:outlineLvl w:val="9"/>
        <w:rPr>
          <w:rFonts w:ascii="宋体" w:hAnsi="宋体" w:eastAsia="宋体"/>
        </w:rPr>
      </w:pPr>
      <w:bookmarkStart w:id="290" w:name="_Toc117245100"/>
      <w:r>
        <w:rPr>
          <w:rFonts w:hint="eastAsia" w:ascii="宋体" w:hAnsi="宋体" w:eastAsia="宋体"/>
        </w:rPr>
        <w:t>考虑三因素的方差分析；如10.2.4所示，分析中得到的参数可归纳于表G.1。</w:t>
      </w:r>
      <w:bookmarkEnd w:id="290"/>
    </w:p>
    <w:p>
      <w:pPr>
        <w:tabs>
          <w:tab w:val="left" w:pos="284"/>
          <w:tab w:val="left" w:pos="567"/>
        </w:tabs>
        <w:spacing w:before="156" w:beforeLines="50" w:after="156" w:afterLines="50"/>
        <w:ind w:left="420" w:leftChars="200"/>
        <w:jc w:val="left"/>
      </w:pPr>
      <w:r>
        <w:rPr>
          <w:rFonts w:hint="eastAsia"/>
        </w:rPr>
        <w:t>在单因素情况下，残差对应于因素内的变异源。</w:t>
      </w:r>
    </w:p>
    <w:p>
      <w:pPr>
        <w:pStyle w:val="103"/>
        <w:spacing w:before="156" w:after="156"/>
        <w:outlineLvl w:val="9"/>
        <w:rPr>
          <w:rFonts w:ascii="宋体" w:hAnsi="宋体" w:eastAsia="宋体"/>
        </w:rPr>
      </w:pPr>
      <w:r>
        <w:rPr>
          <w:rFonts w:hint="eastAsia"/>
        </w:rPr>
        <w:t xml:space="preserve"> </w:t>
      </w:r>
      <w:bookmarkStart w:id="291" w:name="_Toc117245101"/>
      <w:r>
        <w:rPr>
          <w:rFonts w:hint="eastAsia" w:ascii="宋体" w:hAnsi="宋体" w:eastAsia="宋体"/>
        </w:rPr>
        <w:t>由于现在有七个用于与残差方差比较的均方，所以有七个</w:t>
      </w:r>
      <w:r>
        <w:rPr>
          <w:rFonts w:hint="eastAsia" w:ascii="宋体" w:hAnsi="宋体" w:eastAsia="宋体"/>
          <w:i/>
        </w:rPr>
        <w:t>F</w:t>
      </w:r>
      <w:r>
        <w:rPr>
          <w:rFonts w:hint="eastAsia" w:ascii="宋体" w:hAnsi="宋体" w:eastAsia="宋体"/>
        </w:rPr>
        <w:t>检验要执行。最高阶的相互作用应该总是首先针对残差进行检验。因此，在这种情况下，检验针对的是：</w:t>
      </w:r>
      <w:bookmarkEnd w:id="291"/>
    </w:p>
    <w:p>
      <w:pPr>
        <w:tabs>
          <w:tab w:val="left" w:pos="284"/>
          <w:tab w:val="left" w:pos="567"/>
        </w:tabs>
        <w:spacing w:before="156" w:beforeLines="50" w:after="156" w:afterLines="50"/>
        <w:ind w:left="420" w:leftChars="200"/>
        <w:jc w:val="left"/>
      </w:pPr>
      <m:oMath>
        <m:f>
          <m:fPr>
            <m:ctrlPr>
              <w:rPr>
                <w:rFonts w:ascii="Cambria Math" w:hAnsi="Cambria Math"/>
                <w:szCs w:val="22"/>
              </w:rPr>
            </m:ctrlPr>
          </m:fPr>
          <m:num>
            <m:sSub>
              <m:sSubPr>
                <m:ctrlPr>
                  <w:rPr>
                    <w:rFonts w:ascii="Cambria Math" w:hAnsi="Cambria Math"/>
                    <w:i/>
                    <w:szCs w:val="22"/>
                  </w:rPr>
                </m:ctrlPr>
              </m:sSubPr>
              <m:e>
                <m:r>
                  <m:rPr/>
                  <w:rPr>
                    <w:rFonts w:ascii="Cambria Math" w:hAnsi="Cambria Math"/>
                  </w:rPr>
                  <m:t>M</m:t>
                </m:r>
                <m:ctrlPr>
                  <w:rPr>
                    <w:rFonts w:ascii="Cambria Math" w:hAnsi="Cambria Math"/>
                    <w:i/>
                    <w:szCs w:val="22"/>
                  </w:rPr>
                </m:ctrlPr>
              </m:e>
              <m:sub>
                <m:r>
                  <m:rPr/>
                  <w:rPr>
                    <w:rFonts w:ascii="Cambria Math" w:hAnsi="Cambria Math"/>
                  </w:rPr>
                  <m:t>abc</m:t>
                </m:r>
                <m:ctrlPr>
                  <w:rPr>
                    <w:rFonts w:ascii="Cambria Math" w:hAnsi="Cambria Math"/>
                    <w:i/>
                    <w:szCs w:val="22"/>
                  </w:rPr>
                </m:ctrlPr>
              </m:sub>
            </m:sSub>
            <m:ctrlPr>
              <w:rPr>
                <w:rFonts w:ascii="Cambria Math" w:hAnsi="Cambria Math"/>
                <w:szCs w:val="22"/>
              </w:rPr>
            </m:ctrlPr>
          </m:num>
          <m:den>
            <m:sSub>
              <m:sSubPr>
                <m:ctrlPr>
                  <w:rPr>
                    <w:rFonts w:ascii="Cambria Math" w:hAnsi="Cambria Math"/>
                    <w:i/>
                    <w:szCs w:val="22"/>
                  </w:rPr>
                </m:ctrlPr>
              </m:sSubPr>
              <m:e>
                <m:r>
                  <m:rPr/>
                  <w:rPr>
                    <w:rFonts w:ascii="Cambria Math" w:hAnsi="Cambria Math"/>
                  </w:rPr>
                  <m:t>M</m:t>
                </m:r>
                <m:ctrlPr>
                  <w:rPr>
                    <w:rFonts w:ascii="Cambria Math" w:hAnsi="Cambria Math"/>
                    <w:i/>
                    <w:szCs w:val="22"/>
                  </w:rPr>
                </m:ctrlPr>
              </m:e>
              <m:sub>
                <m:r>
                  <m:rPr/>
                  <w:rPr>
                    <w:rFonts w:ascii="Cambria Math" w:hAnsi="Cambria Math"/>
                  </w:rPr>
                  <m:t>r</m:t>
                </m:r>
                <m:ctrlPr>
                  <w:rPr>
                    <w:rFonts w:ascii="Cambria Math" w:hAnsi="Cambria Math"/>
                    <w:i/>
                    <w:szCs w:val="22"/>
                  </w:rPr>
                </m:ctrlPr>
              </m:sub>
            </m:sSub>
            <m:ctrlPr>
              <w:rPr>
                <w:rFonts w:ascii="Cambria Math" w:hAnsi="Cambria Math"/>
                <w:szCs w:val="22"/>
              </w:rPr>
            </m:ctrlPr>
          </m:den>
        </m:f>
        <m:r>
          <m:rPr/>
          <w:rPr>
            <w:rFonts w:ascii="Cambria Math" w:hAnsi="Cambria Math"/>
          </w:rPr>
          <m:t>&gt;F</m:t>
        </m:r>
        <m:d>
          <m:dPr>
            <m:ctrlPr>
              <w:rPr>
                <w:rFonts w:ascii="Cambria Math" w:hAnsi="Cambria Math"/>
                <w:i/>
                <w:szCs w:val="22"/>
              </w:rPr>
            </m:ctrlPr>
          </m:dPr>
          <m:e>
            <m:r>
              <m:rPr/>
              <w:rPr>
                <w:rFonts w:ascii="Cambria Math" w:hAnsi="Cambria Math"/>
              </w:rPr>
              <m:t>5,</m:t>
            </m:r>
            <m:sSub>
              <m:sSubPr>
                <m:ctrlPr>
                  <w:rPr>
                    <w:rFonts w:ascii="Cambria Math" w:hAnsi="Cambria Math"/>
                    <w:i/>
                    <w:szCs w:val="22"/>
                  </w:rPr>
                </m:ctrlPr>
              </m:sSubPr>
              <m:e>
                <m:r>
                  <m:rPr>
                    <m:sty m:val="p"/>
                  </m:rPr>
                  <w:rPr>
                    <w:rFonts w:ascii="Cambria Math" w:hAnsi="Cambria Math"/>
                  </w:rPr>
                  <m:t>DF</m:t>
                </m:r>
                <m:ctrlPr>
                  <w:rPr>
                    <w:rFonts w:ascii="Cambria Math" w:hAnsi="Cambria Math"/>
                    <w:i/>
                    <w:szCs w:val="22"/>
                  </w:rPr>
                </m:ctrlPr>
              </m:e>
              <m:sub>
                <m:r>
                  <m:rPr/>
                  <w:rPr>
                    <w:rFonts w:ascii="Cambria Math" w:hAnsi="Cambria Math"/>
                  </w:rPr>
                  <m:t>abc</m:t>
                </m:r>
                <m:ctrlPr>
                  <w:rPr>
                    <w:rFonts w:ascii="Cambria Math" w:hAnsi="Cambria Math"/>
                    <w:i/>
                    <w:szCs w:val="22"/>
                  </w:rPr>
                </m:ctrlPr>
              </m:sub>
            </m:sSub>
            <m:r>
              <m:rPr/>
              <w:rPr>
                <w:rFonts w:ascii="Cambria Math" w:hAnsi="Cambria Math"/>
              </w:rPr>
              <m:t xml:space="preserve"> </m:t>
            </m:r>
            <m:sSub>
              <m:sSubPr>
                <m:ctrlPr>
                  <w:rPr>
                    <w:rFonts w:ascii="Cambria Math" w:hAnsi="Cambria Math"/>
                    <w:i/>
                    <w:szCs w:val="22"/>
                  </w:rPr>
                </m:ctrlPr>
              </m:sSubPr>
              <m:e>
                <m:r>
                  <m:rPr>
                    <m:sty m:val="p"/>
                  </m:rPr>
                  <w:rPr>
                    <w:rFonts w:ascii="Cambria Math" w:hAnsi="Cambria Math"/>
                  </w:rPr>
                  <m:t>,DF</m:t>
                </m:r>
                <m:ctrlPr>
                  <w:rPr>
                    <w:rFonts w:ascii="Cambria Math" w:hAnsi="Cambria Math"/>
                    <w:i/>
                    <w:szCs w:val="22"/>
                  </w:rPr>
                </m:ctrlPr>
              </m:e>
              <m:sub>
                <m:r>
                  <m:rPr/>
                  <w:rPr>
                    <w:rFonts w:ascii="Cambria Math" w:hAnsi="Cambria Math"/>
                  </w:rPr>
                  <m:t>r</m:t>
                </m:r>
                <m:ctrlPr>
                  <w:rPr>
                    <w:rFonts w:ascii="Cambria Math" w:hAnsi="Cambria Math"/>
                    <w:i/>
                    <w:szCs w:val="22"/>
                  </w:rPr>
                </m:ctrlPr>
              </m:sub>
            </m:sSub>
            <m:ctrlPr>
              <w:rPr>
                <w:rFonts w:ascii="Cambria Math" w:hAnsi="Cambria Math"/>
                <w:i/>
                <w:szCs w:val="22"/>
              </w:rPr>
            </m:ctrlPr>
          </m:e>
        </m:d>
      </m:oMath>
      <w:r>
        <w:t xml:space="preserve">                                             </w:t>
      </w:r>
      <w:r>
        <w:rPr>
          <w:rFonts w:hint="eastAsia"/>
        </w:rPr>
        <w:t>（</w:t>
      </w:r>
      <w:r>
        <w:t>G.17</w:t>
      </w:r>
      <w:r>
        <w:rPr>
          <w:rFonts w:hint="eastAsia"/>
        </w:rPr>
        <w:t>）</w:t>
      </w:r>
    </w:p>
    <w:p>
      <w:pPr>
        <w:pStyle w:val="87"/>
        <w:spacing w:before="156" w:after="156"/>
      </w:pPr>
      <w:r>
        <w:rPr>
          <w:rFonts w:hint="eastAsia"/>
        </w:rPr>
        <w:t>表G.1 三因素方差分析</w:t>
      </w:r>
    </w:p>
    <w:tbl>
      <w:tblPr>
        <w:tblStyle w:val="33"/>
        <w:tblW w:w="5000" w:type="pct"/>
        <w:tblInd w:w="0" w:type="dxa"/>
        <w:tblLayout w:type="autofit"/>
        <w:tblCellMar>
          <w:top w:w="0" w:type="dxa"/>
          <w:left w:w="108" w:type="dxa"/>
          <w:bottom w:w="0" w:type="dxa"/>
          <w:right w:w="108" w:type="dxa"/>
        </w:tblCellMar>
      </w:tblPr>
      <w:tblGrid>
        <w:gridCol w:w="2103"/>
        <w:gridCol w:w="2348"/>
        <w:gridCol w:w="2747"/>
        <w:gridCol w:w="2372"/>
      </w:tblGrid>
      <w:tr>
        <w:tblPrEx>
          <w:tblCellMar>
            <w:top w:w="0" w:type="dxa"/>
            <w:left w:w="108" w:type="dxa"/>
            <w:bottom w:w="0" w:type="dxa"/>
            <w:right w:w="108" w:type="dxa"/>
          </w:tblCellMar>
        </w:tblPrEx>
        <w:trPr>
          <w:trHeight w:val="270" w:hRule="atLeast"/>
        </w:trPr>
        <w:tc>
          <w:tcPr>
            <w:tcW w:w="1099"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变异源</w:t>
            </w:r>
          </w:p>
        </w:tc>
        <w:tc>
          <w:tcPr>
            <w:tcW w:w="1227" w:type="pct"/>
            <w:tcBorders>
              <w:top w:val="single" w:color="auto" w:sz="4" w:space="0"/>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平方和</w:t>
            </w:r>
          </w:p>
        </w:tc>
        <w:tc>
          <w:tcPr>
            <w:tcW w:w="1435" w:type="pct"/>
            <w:tcBorders>
              <w:top w:val="single" w:color="auto" w:sz="4" w:space="0"/>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自由度</w:t>
            </w:r>
          </w:p>
        </w:tc>
        <w:tc>
          <w:tcPr>
            <w:tcW w:w="1239" w:type="pct"/>
            <w:tcBorders>
              <w:top w:val="single" w:color="auto" w:sz="4" w:space="0"/>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均方</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rFonts w:hint="eastAsia"/>
                <w:color w:val="000000"/>
                <w:kern w:val="0"/>
                <w:sz w:val="18"/>
                <w:szCs w:val="18"/>
              </w:rPr>
              <w:t>因素</w:t>
            </w:r>
            <w:r>
              <w:rPr>
                <w:color w:val="000000"/>
                <w:kern w:val="0"/>
                <w:sz w:val="18"/>
                <w:szCs w:val="18"/>
              </w:rPr>
              <w:t xml:space="preserve"> A </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S</w:t>
            </w:r>
            <w:r>
              <w:rPr>
                <w:i/>
                <w:color w:val="000000"/>
                <w:kern w:val="0"/>
                <w:sz w:val="18"/>
                <w:szCs w:val="18"/>
                <w:vertAlign w:val="subscript"/>
              </w:rPr>
              <w:t>a</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i/>
                <w:color w:val="000000"/>
                <w:kern w:val="0"/>
                <w:sz w:val="18"/>
                <w:szCs w:val="18"/>
                <w:vertAlign w:val="subscript"/>
              </w:rPr>
              <w:t>a</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vertAlign w:val="subscript"/>
              </w:rPr>
              <w:t>a</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rFonts w:hint="eastAsia"/>
                <w:color w:val="000000"/>
                <w:kern w:val="0"/>
                <w:sz w:val="18"/>
                <w:szCs w:val="18"/>
              </w:rPr>
              <w:t>因素</w:t>
            </w:r>
            <w:r>
              <w:rPr>
                <w:color w:val="000000"/>
                <w:kern w:val="0"/>
                <w:sz w:val="18"/>
                <w:szCs w:val="18"/>
              </w:rPr>
              <w:t xml:space="preserve"> B </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S</w:t>
            </w:r>
            <w:r>
              <w:rPr>
                <w:i/>
                <w:color w:val="000000"/>
                <w:kern w:val="0"/>
                <w:sz w:val="18"/>
                <w:szCs w:val="18"/>
                <w:vertAlign w:val="subscript"/>
              </w:rPr>
              <w:t>b</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i/>
                <w:color w:val="000000"/>
                <w:kern w:val="0"/>
                <w:sz w:val="18"/>
                <w:szCs w:val="18"/>
                <w:vertAlign w:val="subscript"/>
              </w:rPr>
              <w:t>b</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vertAlign w:val="subscript"/>
              </w:rPr>
              <w:t>b</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rFonts w:hint="eastAsia"/>
                <w:color w:val="000000"/>
                <w:kern w:val="0"/>
                <w:sz w:val="18"/>
                <w:szCs w:val="18"/>
              </w:rPr>
              <w:t>因素</w:t>
            </w:r>
            <w:r>
              <w:rPr>
                <w:color w:val="000000"/>
                <w:kern w:val="0"/>
                <w:sz w:val="18"/>
                <w:szCs w:val="18"/>
              </w:rPr>
              <w:t xml:space="preserve"> C </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S</w:t>
            </w:r>
            <w:r>
              <w:rPr>
                <w:i/>
                <w:color w:val="000000"/>
                <w:kern w:val="0"/>
                <w:sz w:val="18"/>
                <w:szCs w:val="18"/>
                <w:vertAlign w:val="subscript"/>
              </w:rPr>
              <w:t>c</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i/>
                <w:color w:val="000000"/>
                <w:kern w:val="0"/>
                <w:sz w:val="18"/>
                <w:szCs w:val="18"/>
                <w:vertAlign w:val="subscript"/>
              </w:rPr>
              <w:t>c</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vertAlign w:val="subscript"/>
              </w:rPr>
              <w:t>c</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color w:val="000000"/>
                <w:kern w:val="0"/>
                <w:sz w:val="18"/>
                <w:szCs w:val="18"/>
              </w:rPr>
              <w:t xml:space="preserve">A/B </w:t>
            </w:r>
            <w:r>
              <w:rPr>
                <w:rFonts w:hint="eastAsia"/>
                <w:color w:val="000000"/>
                <w:kern w:val="0"/>
                <w:sz w:val="18"/>
                <w:szCs w:val="18"/>
              </w:rPr>
              <w:t>相互作用</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S</w:t>
            </w:r>
            <w:r>
              <w:rPr>
                <w:i/>
                <w:color w:val="000000"/>
                <w:kern w:val="0"/>
                <w:sz w:val="18"/>
                <w:szCs w:val="18"/>
                <w:vertAlign w:val="subscript"/>
              </w:rPr>
              <w:t>ab</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i/>
                <w:color w:val="000000"/>
                <w:kern w:val="0"/>
                <w:sz w:val="18"/>
                <w:szCs w:val="18"/>
                <w:vertAlign w:val="subscript"/>
              </w:rPr>
              <w:t>ab</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vertAlign w:val="subscript"/>
              </w:rPr>
              <w:t>ab</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color w:val="000000"/>
                <w:kern w:val="0"/>
                <w:sz w:val="18"/>
                <w:szCs w:val="18"/>
              </w:rPr>
              <w:t xml:space="preserve">A/C </w:t>
            </w:r>
            <w:r>
              <w:rPr>
                <w:rFonts w:hint="eastAsia"/>
                <w:color w:val="000000"/>
                <w:kern w:val="0"/>
                <w:sz w:val="18"/>
                <w:szCs w:val="18"/>
              </w:rPr>
              <w:t>相互作用</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S</w:t>
            </w:r>
            <w:r>
              <w:rPr>
                <w:i/>
                <w:color w:val="000000"/>
                <w:kern w:val="0"/>
                <w:sz w:val="18"/>
                <w:szCs w:val="18"/>
                <w:vertAlign w:val="subscript"/>
              </w:rPr>
              <w:t>ac</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i/>
                <w:color w:val="000000"/>
                <w:kern w:val="0"/>
                <w:sz w:val="18"/>
                <w:szCs w:val="18"/>
                <w:vertAlign w:val="subscript"/>
              </w:rPr>
              <w:t>ac</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vertAlign w:val="subscript"/>
              </w:rPr>
              <w:t>ac</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color w:val="000000"/>
                <w:kern w:val="0"/>
                <w:sz w:val="18"/>
                <w:szCs w:val="18"/>
              </w:rPr>
              <w:t xml:space="preserve">B/C </w:t>
            </w:r>
            <w:r>
              <w:rPr>
                <w:rFonts w:hint="eastAsia"/>
                <w:color w:val="000000"/>
                <w:kern w:val="0"/>
                <w:sz w:val="18"/>
                <w:szCs w:val="18"/>
              </w:rPr>
              <w:t>相互作用</w:t>
            </w:r>
            <w:r>
              <w:rPr>
                <w:color w:val="000000"/>
                <w:kern w:val="0"/>
                <w:sz w:val="18"/>
                <w:szCs w:val="18"/>
              </w:rPr>
              <w:t xml:space="preserve"> </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S</w:t>
            </w:r>
            <w:r>
              <w:rPr>
                <w:i/>
                <w:color w:val="000000"/>
                <w:kern w:val="0"/>
                <w:sz w:val="18"/>
                <w:szCs w:val="18"/>
                <w:vertAlign w:val="subscript"/>
              </w:rPr>
              <w:t>bc</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i/>
                <w:color w:val="000000"/>
                <w:kern w:val="0"/>
                <w:sz w:val="18"/>
                <w:szCs w:val="18"/>
                <w:vertAlign w:val="subscript"/>
              </w:rPr>
              <w:t>bc</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vertAlign w:val="subscript"/>
              </w:rPr>
              <w:t>bc</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color w:val="000000"/>
                <w:kern w:val="0"/>
                <w:sz w:val="18"/>
                <w:szCs w:val="18"/>
              </w:rPr>
              <w:t xml:space="preserve">A/B/C </w:t>
            </w:r>
            <w:r>
              <w:rPr>
                <w:rFonts w:hint="eastAsia"/>
                <w:color w:val="000000"/>
                <w:kern w:val="0"/>
                <w:sz w:val="18"/>
                <w:szCs w:val="18"/>
              </w:rPr>
              <w:t>相互作用</w:t>
            </w:r>
            <w:r>
              <w:rPr>
                <w:color w:val="000000"/>
                <w:kern w:val="0"/>
                <w:sz w:val="18"/>
                <w:szCs w:val="18"/>
              </w:rPr>
              <w:t xml:space="preserve"> </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S</w:t>
            </w:r>
            <w:r>
              <w:rPr>
                <w:i/>
                <w:color w:val="000000"/>
                <w:kern w:val="0"/>
                <w:sz w:val="18"/>
                <w:szCs w:val="18"/>
                <w:vertAlign w:val="subscript"/>
              </w:rPr>
              <w:t>abc</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i/>
                <w:color w:val="000000"/>
                <w:kern w:val="0"/>
                <w:sz w:val="18"/>
                <w:szCs w:val="18"/>
                <w:vertAlign w:val="subscript"/>
              </w:rPr>
              <w:t>abc</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vertAlign w:val="subscript"/>
              </w:rPr>
              <w:t>abc</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rFonts w:hint="eastAsia"/>
                <w:color w:val="000000"/>
                <w:kern w:val="0"/>
                <w:sz w:val="18"/>
                <w:szCs w:val="18"/>
              </w:rPr>
              <w:t>残差</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S</w:t>
            </w:r>
            <w:r>
              <w:rPr>
                <w:i/>
                <w:color w:val="000000"/>
                <w:kern w:val="0"/>
                <w:sz w:val="18"/>
                <w:szCs w:val="18"/>
                <w:vertAlign w:val="subscript"/>
              </w:rPr>
              <w:t>r</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i/>
                <w:color w:val="000000"/>
                <w:kern w:val="0"/>
                <w:sz w:val="18"/>
                <w:szCs w:val="18"/>
                <w:vertAlign w:val="subscript"/>
              </w:rPr>
              <w:t>r</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vertAlign w:val="subscript"/>
              </w:rPr>
              <w:t>r</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rFonts w:hint="eastAsia"/>
                <w:color w:val="000000"/>
                <w:kern w:val="0"/>
                <w:sz w:val="18"/>
                <w:szCs w:val="18"/>
              </w:rPr>
              <w:t>总计</w:t>
            </w:r>
          </w:p>
        </w:tc>
        <w:tc>
          <w:tcPr>
            <w:tcW w:w="1227"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S</w:t>
            </w:r>
            <w:r>
              <w:rPr>
                <w:color w:val="000000"/>
                <w:kern w:val="0"/>
                <w:sz w:val="18"/>
                <w:szCs w:val="18"/>
                <w:vertAlign w:val="subscript"/>
              </w:rPr>
              <w:t>t</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color w:val="000000"/>
                <w:kern w:val="0"/>
                <w:sz w:val="18"/>
                <w:szCs w:val="18"/>
                <w:vertAlign w:val="subscript"/>
              </w:rPr>
              <w:t>t</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color w:val="000000"/>
                <w:kern w:val="0"/>
                <w:sz w:val="18"/>
                <w:szCs w:val="18"/>
                <w:vertAlign w:val="subscript"/>
              </w:rPr>
              <w:t>t</w:t>
            </w:r>
          </w:p>
        </w:tc>
      </w:tr>
    </w:tbl>
    <w:p>
      <w:pPr>
        <w:pStyle w:val="103"/>
        <w:spacing w:before="156" w:after="156"/>
        <w:outlineLvl w:val="9"/>
        <w:rPr>
          <w:rFonts w:asciiTheme="minorEastAsia" w:hAnsiTheme="minorEastAsia" w:eastAsiaTheme="minorEastAsia"/>
        </w:rPr>
      </w:pPr>
      <w:bookmarkStart w:id="292" w:name="_Toc117245102"/>
      <w:r>
        <w:rPr>
          <w:rFonts w:hint="eastAsia" w:asciiTheme="minorEastAsia" w:hAnsiTheme="minorEastAsia" w:eastAsiaTheme="minorEastAsia"/>
        </w:rPr>
        <w:t>如果这个不等式成立，那么就证明了，在95%的置信水平下，三个因素之间的一个显著的相互作用。如果不成立，则得出结论，不存在显著的相互作用，可检验次最低相互作用。</w:t>
      </w:r>
      <w:bookmarkEnd w:id="292"/>
    </w:p>
    <w:p>
      <w:pPr>
        <w:pStyle w:val="103"/>
        <w:spacing w:before="156" w:after="156"/>
        <w:outlineLvl w:val="9"/>
        <w:rPr>
          <w:rFonts w:asciiTheme="minorEastAsia" w:hAnsiTheme="minorEastAsia" w:eastAsiaTheme="minorEastAsia"/>
        </w:rPr>
      </w:pPr>
      <w:bookmarkStart w:id="293" w:name="_Toc117245103"/>
      <w:r>
        <w:rPr>
          <w:rFonts w:hint="eastAsia" w:asciiTheme="minorEastAsia" w:hAnsiTheme="minorEastAsia" w:eastAsiaTheme="minorEastAsia"/>
        </w:rPr>
        <w:t>然而，如果这次检验没有发现</w:t>
      </w:r>
      <w:r>
        <w:rPr>
          <w:rFonts w:hint="eastAsia" w:asciiTheme="minorEastAsia" w:hAnsiTheme="minorEastAsia" w:eastAsiaTheme="minorEastAsia"/>
          <w:i/>
        </w:rPr>
        <w:t>M</w:t>
      </w:r>
      <w:r>
        <w:rPr>
          <w:rFonts w:hint="eastAsia" w:asciiTheme="minorEastAsia" w:hAnsiTheme="minorEastAsia" w:eastAsiaTheme="minorEastAsia"/>
          <w:vertAlign w:val="subscript"/>
        </w:rPr>
        <w:t>abc</w:t>
      </w:r>
      <w:r>
        <w:rPr>
          <w:rFonts w:hint="eastAsia" w:asciiTheme="minorEastAsia" w:hAnsiTheme="minorEastAsia" w:eastAsiaTheme="minorEastAsia"/>
        </w:rPr>
        <w:t>和</w:t>
      </w:r>
      <w:r>
        <w:rPr>
          <w:rFonts w:hint="eastAsia" w:asciiTheme="minorEastAsia" w:hAnsiTheme="minorEastAsia" w:eastAsiaTheme="minorEastAsia"/>
          <w:i/>
        </w:rPr>
        <w:t>M</w:t>
      </w:r>
      <w:r>
        <w:rPr>
          <w:rFonts w:hint="eastAsia" w:asciiTheme="minorEastAsia" w:hAnsiTheme="minorEastAsia" w:eastAsiaTheme="minorEastAsia"/>
          <w:vertAlign w:val="subscript"/>
        </w:rPr>
        <w:t>r</w:t>
      </w:r>
      <w:r>
        <w:rPr>
          <w:rFonts w:hint="eastAsia" w:asciiTheme="minorEastAsia" w:hAnsiTheme="minorEastAsia" w:eastAsiaTheme="minorEastAsia"/>
        </w:rPr>
        <w:t>之间的显著差异，那么很明显，它们都是对残差同样有效的估计，并且需要将它们合并起来才能得到更精确的估计值。因此，表G.1(忽略始终保持不变的总计行)变为如表G.2所示。</w:t>
      </w:r>
      <w:bookmarkEnd w:id="293"/>
    </w:p>
    <w:p>
      <w:pPr>
        <w:pStyle w:val="87"/>
        <w:spacing w:before="156" w:after="156"/>
      </w:pPr>
      <w:r>
        <w:rPr>
          <w:rFonts w:hint="eastAsia"/>
        </w:rPr>
        <w:t>表G.</w:t>
      </w:r>
      <w:r>
        <w:t xml:space="preserve">2 </w:t>
      </w:r>
      <w:r>
        <w:rPr>
          <w:rFonts w:hint="eastAsia"/>
        </w:rPr>
        <w:t>修正的参数</w:t>
      </w:r>
    </w:p>
    <w:tbl>
      <w:tblPr>
        <w:tblStyle w:val="33"/>
        <w:tblpPr w:leftFromText="180" w:rightFromText="180" w:vertAnchor="text" w:horzAnchor="margin" w:tblpY="150"/>
        <w:tblW w:w="5000" w:type="pct"/>
        <w:tblInd w:w="0" w:type="dxa"/>
        <w:tblLayout w:type="autofit"/>
        <w:tblCellMar>
          <w:top w:w="0" w:type="dxa"/>
          <w:left w:w="108" w:type="dxa"/>
          <w:bottom w:w="0" w:type="dxa"/>
          <w:right w:w="108" w:type="dxa"/>
        </w:tblCellMar>
      </w:tblPr>
      <w:tblGrid>
        <w:gridCol w:w="2103"/>
        <w:gridCol w:w="2348"/>
        <w:gridCol w:w="2747"/>
        <w:gridCol w:w="2372"/>
      </w:tblGrid>
      <w:tr>
        <w:tblPrEx>
          <w:tblCellMar>
            <w:top w:w="0" w:type="dxa"/>
            <w:left w:w="108" w:type="dxa"/>
            <w:bottom w:w="0" w:type="dxa"/>
            <w:right w:w="108" w:type="dxa"/>
          </w:tblCellMar>
        </w:tblPrEx>
        <w:trPr>
          <w:trHeight w:val="270" w:hRule="atLeast"/>
        </w:trPr>
        <w:tc>
          <w:tcPr>
            <w:tcW w:w="1099"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变异源</w:t>
            </w:r>
          </w:p>
        </w:tc>
        <w:tc>
          <w:tcPr>
            <w:tcW w:w="1227" w:type="pct"/>
            <w:tcBorders>
              <w:top w:val="single" w:color="auto" w:sz="4" w:space="0"/>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平方和</w:t>
            </w:r>
          </w:p>
        </w:tc>
        <w:tc>
          <w:tcPr>
            <w:tcW w:w="1435" w:type="pct"/>
            <w:tcBorders>
              <w:top w:val="single" w:color="auto" w:sz="4" w:space="0"/>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自由度</w:t>
            </w:r>
          </w:p>
        </w:tc>
        <w:tc>
          <w:tcPr>
            <w:tcW w:w="1239" w:type="pct"/>
            <w:tcBorders>
              <w:top w:val="single" w:color="auto" w:sz="4" w:space="0"/>
              <w:left w:val="nil"/>
              <w:bottom w:val="single" w:color="auto" w:sz="4" w:space="0"/>
              <w:right w:val="single" w:color="auto" w:sz="4" w:space="0"/>
            </w:tcBorders>
            <w:noWrap/>
            <w:vAlign w:val="center"/>
          </w:tcPr>
          <w:p>
            <w:pPr>
              <w:widowControl/>
              <w:jc w:val="center"/>
              <w:rPr>
                <w:color w:val="000000"/>
                <w:kern w:val="0"/>
                <w:sz w:val="18"/>
                <w:szCs w:val="18"/>
              </w:rPr>
            </w:pPr>
            <w:r>
              <w:rPr>
                <w:rFonts w:hint="eastAsia"/>
                <w:color w:val="000000"/>
                <w:kern w:val="0"/>
                <w:sz w:val="18"/>
                <w:szCs w:val="18"/>
              </w:rPr>
              <w:t>均方</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rFonts w:hint="eastAsia"/>
                <w:color w:val="000000"/>
                <w:kern w:val="0"/>
                <w:sz w:val="18"/>
                <w:szCs w:val="18"/>
              </w:rPr>
              <w:t>因素</w:t>
            </w:r>
            <w:r>
              <w:rPr>
                <w:color w:val="000000"/>
                <w:kern w:val="0"/>
                <w:sz w:val="18"/>
                <w:szCs w:val="18"/>
              </w:rPr>
              <w:t xml:space="preserve"> B </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S</w:t>
            </w:r>
            <w:r>
              <w:rPr>
                <w:i/>
                <w:color w:val="000000"/>
                <w:kern w:val="0"/>
                <w:sz w:val="18"/>
                <w:szCs w:val="18"/>
                <w:vertAlign w:val="subscript"/>
              </w:rPr>
              <w:t>b</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i/>
                <w:color w:val="000000"/>
                <w:kern w:val="0"/>
                <w:sz w:val="18"/>
                <w:szCs w:val="18"/>
                <w:vertAlign w:val="subscript"/>
              </w:rPr>
              <w:t>b</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vertAlign w:val="subscript"/>
              </w:rPr>
              <w:t>b</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rFonts w:hint="eastAsia"/>
                <w:color w:val="000000"/>
                <w:kern w:val="0"/>
                <w:sz w:val="18"/>
                <w:szCs w:val="18"/>
              </w:rPr>
              <w:t>因素</w:t>
            </w:r>
            <w:r>
              <w:rPr>
                <w:color w:val="000000"/>
                <w:kern w:val="0"/>
                <w:sz w:val="18"/>
                <w:szCs w:val="18"/>
              </w:rPr>
              <w:t xml:space="preserve"> C </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S</w:t>
            </w:r>
            <w:r>
              <w:rPr>
                <w:i/>
                <w:color w:val="000000"/>
                <w:kern w:val="0"/>
                <w:sz w:val="18"/>
                <w:szCs w:val="18"/>
                <w:vertAlign w:val="subscript"/>
              </w:rPr>
              <w:t>c</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i/>
                <w:color w:val="000000"/>
                <w:kern w:val="0"/>
                <w:sz w:val="18"/>
                <w:szCs w:val="18"/>
                <w:vertAlign w:val="subscript"/>
              </w:rPr>
              <w:t>c</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vertAlign w:val="subscript"/>
              </w:rPr>
              <w:t>c</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color w:val="000000"/>
                <w:kern w:val="0"/>
                <w:sz w:val="18"/>
                <w:szCs w:val="18"/>
              </w:rPr>
              <w:t xml:space="preserve">A/B </w:t>
            </w:r>
            <w:r>
              <w:rPr>
                <w:rFonts w:hint="eastAsia"/>
                <w:color w:val="000000"/>
                <w:kern w:val="0"/>
                <w:sz w:val="18"/>
                <w:szCs w:val="18"/>
              </w:rPr>
              <w:t>相互作用</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S</w:t>
            </w:r>
            <w:r>
              <w:rPr>
                <w:i/>
                <w:color w:val="000000"/>
                <w:kern w:val="0"/>
                <w:sz w:val="18"/>
                <w:szCs w:val="18"/>
                <w:vertAlign w:val="subscript"/>
              </w:rPr>
              <w:t>ab</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i/>
                <w:color w:val="000000"/>
                <w:kern w:val="0"/>
                <w:sz w:val="18"/>
                <w:szCs w:val="18"/>
                <w:vertAlign w:val="subscript"/>
              </w:rPr>
              <w:t>ab</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vertAlign w:val="subscript"/>
              </w:rPr>
              <w:t>ab</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color w:val="000000"/>
                <w:kern w:val="0"/>
                <w:sz w:val="18"/>
                <w:szCs w:val="18"/>
              </w:rPr>
              <w:t xml:space="preserve">A/C </w:t>
            </w:r>
            <w:r>
              <w:rPr>
                <w:rFonts w:hint="eastAsia"/>
                <w:color w:val="000000"/>
                <w:kern w:val="0"/>
                <w:sz w:val="18"/>
                <w:szCs w:val="18"/>
              </w:rPr>
              <w:t>相互作用</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S</w:t>
            </w:r>
            <w:r>
              <w:rPr>
                <w:i/>
                <w:color w:val="000000"/>
                <w:kern w:val="0"/>
                <w:sz w:val="18"/>
                <w:szCs w:val="18"/>
                <w:vertAlign w:val="subscript"/>
              </w:rPr>
              <w:t>ac</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i/>
                <w:color w:val="000000"/>
                <w:kern w:val="0"/>
                <w:sz w:val="18"/>
                <w:szCs w:val="18"/>
                <w:vertAlign w:val="subscript"/>
              </w:rPr>
              <w:t>ac</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vertAlign w:val="subscript"/>
              </w:rPr>
              <w:t>ac</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color w:val="000000"/>
                <w:kern w:val="0"/>
                <w:sz w:val="18"/>
                <w:szCs w:val="18"/>
              </w:rPr>
              <w:t xml:space="preserve">B/C </w:t>
            </w:r>
            <w:r>
              <w:rPr>
                <w:rFonts w:hint="eastAsia"/>
                <w:color w:val="000000"/>
                <w:kern w:val="0"/>
                <w:sz w:val="18"/>
                <w:szCs w:val="18"/>
              </w:rPr>
              <w:t>相互作用</w:t>
            </w:r>
            <w:r>
              <w:rPr>
                <w:color w:val="000000"/>
                <w:kern w:val="0"/>
                <w:sz w:val="18"/>
                <w:szCs w:val="18"/>
              </w:rPr>
              <w:t xml:space="preserve"> </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S</w:t>
            </w:r>
            <w:r>
              <w:rPr>
                <w:i/>
                <w:color w:val="000000"/>
                <w:kern w:val="0"/>
                <w:sz w:val="18"/>
                <w:szCs w:val="18"/>
                <w:vertAlign w:val="subscript"/>
              </w:rPr>
              <w:t>bc</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i/>
                <w:color w:val="000000"/>
                <w:kern w:val="0"/>
                <w:sz w:val="18"/>
                <w:szCs w:val="18"/>
                <w:vertAlign w:val="subscript"/>
              </w:rPr>
              <w:t>bc</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vertAlign w:val="subscript"/>
              </w:rPr>
              <w:t>bc</w:t>
            </w:r>
          </w:p>
        </w:tc>
      </w:tr>
      <w:tr>
        <w:tblPrEx>
          <w:tblCellMar>
            <w:top w:w="0" w:type="dxa"/>
            <w:left w:w="108" w:type="dxa"/>
            <w:bottom w:w="0" w:type="dxa"/>
            <w:right w:w="108" w:type="dxa"/>
          </w:tblCellMar>
        </w:tblPrEx>
        <w:trPr>
          <w:trHeight w:val="270" w:hRule="atLeast"/>
        </w:trPr>
        <w:tc>
          <w:tcPr>
            <w:tcW w:w="1099" w:type="pct"/>
            <w:tcBorders>
              <w:top w:val="nil"/>
              <w:left w:val="single" w:color="auto" w:sz="4" w:space="0"/>
              <w:bottom w:val="single" w:color="auto" w:sz="4" w:space="0"/>
              <w:right w:val="single" w:color="auto" w:sz="4" w:space="0"/>
            </w:tcBorders>
            <w:noWrap/>
            <w:vAlign w:val="center"/>
          </w:tcPr>
          <w:p>
            <w:pPr>
              <w:widowControl/>
              <w:jc w:val="left"/>
              <w:rPr>
                <w:color w:val="000000"/>
                <w:kern w:val="0"/>
                <w:sz w:val="18"/>
                <w:szCs w:val="18"/>
              </w:rPr>
            </w:pPr>
            <w:r>
              <w:rPr>
                <w:rFonts w:hint="eastAsia"/>
                <w:color w:val="000000"/>
                <w:kern w:val="0"/>
                <w:sz w:val="18"/>
                <w:szCs w:val="18"/>
              </w:rPr>
              <w:t>修正的残差</w:t>
            </w:r>
          </w:p>
        </w:tc>
        <w:tc>
          <w:tcPr>
            <w:tcW w:w="1227"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color w:val="000000"/>
                <w:kern w:val="0"/>
                <w:sz w:val="18"/>
                <w:szCs w:val="18"/>
              </w:rPr>
              <w:t>S</w:t>
            </w:r>
            <w:r>
              <w:rPr>
                <w:color w:val="000000"/>
                <w:kern w:val="0"/>
                <w:sz w:val="18"/>
                <w:szCs w:val="18"/>
              </w:rPr>
              <w:sym w:font="Symbol" w:char="00A2"/>
            </w:r>
            <w:r>
              <w:rPr>
                <w:i/>
                <w:color w:val="000000"/>
                <w:kern w:val="0"/>
                <w:sz w:val="18"/>
                <w:szCs w:val="18"/>
                <w:vertAlign w:val="subscript"/>
              </w:rPr>
              <w:t>r</w:t>
            </w:r>
          </w:p>
        </w:tc>
        <w:tc>
          <w:tcPr>
            <w:tcW w:w="1435" w:type="pct"/>
            <w:tcBorders>
              <w:top w:val="nil"/>
              <w:left w:val="nil"/>
              <w:bottom w:val="single" w:color="auto" w:sz="4" w:space="0"/>
              <w:right w:val="single" w:color="auto" w:sz="4" w:space="0"/>
            </w:tcBorders>
            <w:noWrap/>
            <w:vAlign w:val="center"/>
          </w:tcPr>
          <w:p>
            <w:pPr>
              <w:widowControl/>
              <w:jc w:val="center"/>
              <w:rPr>
                <w:color w:val="000000"/>
                <w:kern w:val="0"/>
                <w:sz w:val="18"/>
                <w:szCs w:val="18"/>
              </w:rPr>
            </w:pPr>
            <w:r>
              <w:rPr>
                <w:color w:val="000000"/>
                <w:kern w:val="0"/>
                <w:sz w:val="18"/>
                <w:szCs w:val="18"/>
              </w:rPr>
              <w:t>DF</w:t>
            </w:r>
            <w:r>
              <w:rPr>
                <w:color w:val="000000"/>
                <w:kern w:val="0"/>
                <w:sz w:val="18"/>
                <w:szCs w:val="18"/>
              </w:rPr>
              <w:sym w:font="Symbol" w:char="00A2"/>
            </w:r>
            <w:r>
              <w:rPr>
                <w:i/>
                <w:color w:val="000000"/>
                <w:kern w:val="0"/>
                <w:sz w:val="18"/>
                <w:szCs w:val="18"/>
                <w:vertAlign w:val="subscript"/>
              </w:rPr>
              <w:t>r</w:t>
            </w:r>
          </w:p>
        </w:tc>
        <w:tc>
          <w:tcPr>
            <w:tcW w:w="1239" w:type="pct"/>
            <w:tcBorders>
              <w:top w:val="nil"/>
              <w:left w:val="nil"/>
              <w:bottom w:val="single" w:color="auto" w:sz="4" w:space="0"/>
              <w:right w:val="single" w:color="auto" w:sz="4" w:space="0"/>
            </w:tcBorders>
            <w:noWrap/>
            <w:vAlign w:val="center"/>
          </w:tcPr>
          <w:p>
            <w:pPr>
              <w:widowControl/>
              <w:jc w:val="center"/>
              <w:rPr>
                <w:i/>
                <w:color w:val="000000"/>
                <w:kern w:val="0"/>
                <w:sz w:val="18"/>
                <w:szCs w:val="18"/>
              </w:rPr>
            </w:pPr>
            <w:r>
              <w:rPr>
                <w:i/>
                <w:color w:val="000000"/>
                <w:kern w:val="0"/>
                <w:sz w:val="18"/>
                <w:szCs w:val="18"/>
              </w:rPr>
              <w:t>M</w:t>
            </w:r>
            <w:r>
              <w:rPr>
                <w:i/>
                <w:color w:val="000000"/>
                <w:kern w:val="0"/>
                <w:sz w:val="18"/>
                <w:szCs w:val="18"/>
              </w:rPr>
              <w:sym w:font="Symbol" w:char="00A2"/>
            </w:r>
            <w:r>
              <w:rPr>
                <w:i/>
                <w:color w:val="000000"/>
                <w:kern w:val="0"/>
                <w:sz w:val="18"/>
                <w:szCs w:val="18"/>
                <w:vertAlign w:val="subscript"/>
              </w:rPr>
              <w:t>r</w:t>
            </w:r>
          </w:p>
        </w:tc>
      </w:tr>
    </w:tbl>
    <w:p>
      <w:pPr>
        <w:pStyle w:val="23"/>
        <w:rPr>
          <w:color w:val="FF0000"/>
        </w:rPr>
      </w:pPr>
    </w:p>
    <w:p>
      <w:pPr>
        <w:tabs>
          <w:tab w:val="left" w:pos="284"/>
          <w:tab w:val="left" w:pos="567"/>
        </w:tabs>
        <w:spacing w:before="156" w:beforeLines="50" w:after="156" w:afterLines="50"/>
        <w:ind w:firstLine="420" w:firstLineChars="200"/>
        <w:jc w:val="left"/>
      </w:pPr>
      <w:r>
        <w:rPr>
          <w:rFonts w:hint="eastAsia"/>
        </w:rPr>
        <w:t>在表</w:t>
      </w:r>
      <w:r>
        <w:t>G.2</w:t>
      </w:r>
      <w:r>
        <w:rPr>
          <w:rFonts w:hint="eastAsia"/>
        </w:rPr>
        <w:t>中，</w:t>
      </w:r>
    </w:p>
    <w:p>
      <w:pPr>
        <w:tabs>
          <w:tab w:val="left" w:pos="284"/>
          <w:tab w:val="left" w:pos="567"/>
        </w:tabs>
        <w:spacing w:before="156" w:beforeLines="50" w:after="156" w:afterLines="50"/>
        <w:ind w:firstLine="440" w:firstLineChars="200"/>
        <w:jc w:val="left"/>
        <w:rPr>
          <w:color w:val="000000"/>
          <w:kern w:val="0"/>
          <w:sz w:val="22"/>
        </w:rPr>
      </w:pPr>
      <w:r>
        <w:rPr>
          <w:color w:val="000000"/>
          <w:kern w:val="0"/>
          <w:sz w:val="22"/>
        </w:rPr>
        <w:t>S</w:t>
      </w:r>
      <w:r>
        <w:rPr>
          <w:color w:val="000000"/>
          <w:kern w:val="0"/>
          <w:sz w:val="22"/>
        </w:rPr>
        <w:sym w:font="Symbol" w:char="00A2"/>
      </w:r>
      <w:r>
        <w:rPr>
          <w:i/>
          <w:color w:val="000000"/>
          <w:kern w:val="0"/>
          <w:sz w:val="22"/>
          <w:vertAlign w:val="subscript"/>
        </w:rPr>
        <w:t>r</w:t>
      </w:r>
      <w:r>
        <w:rPr>
          <w:color w:val="000000"/>
          <w:kern w:val="0"/>
          <w:sz w:val="22"/>
        </w:rPr>
        <w:t xml:space="preserve"> = </w:t>
      </w:r>
      <w:r>
        <w:rPr>
          <w:i/>
          <w:color w:val="000000"/>
          <w:kern w:val="0"/>
          <w:sz w:val="22"/>
        </w:rPr>
        <w:t>S</w:t>
      </w:r>
      <w:r>
        <w:rPr>
          <w:i/>
          <w:color w:val="000000"/>
          <w:kern w:val="0"/>
          <w:sz w:val="22"/>
          <w:vertAlign w:val="subscript"/>
        </w:rPr>
        <w:t>abc</w:t>
      </w:r>
      <w:r>
        <w:rPr>
          <w:color w:val="000000"/>
          <w:kern w:val="0"/>
          <w:sz w:val="22"/>
          <w:vertAlign w:val="subscript"/>
        </w:rPr>
        <w:t xml:space="preserve"> </w:t>
      </w:r>
      <w:r>
        <w:rPr>
          <w:color w:val="000000"/>
          <w:kern w:val="0"/>
          <w:sz w:val="22"/>
        </w:rPr>
        <w:t>+ S</w:t>
      </w:r>
      <w:r>
        <w:rPr>
          <w:i/>
          <w:color w:val="000000"/>
          <w:kern w:val="0"/>
          <w:sz w:val="22"/>
          <w:vertAlign w:val="subscript"/>
        </w:rPr>
        <w:t>r</w:t>
      </w:r>
    </w:p>
    <w:p>
      <w:pPr>
        <w:tabs>
          <w:tab w:val="left" w:pos="284"/>
          <w:tab w:val="left" w:pos="567"/>
        </w:tabs>
        <w:spacing w:before="156" w:beforeLines="50" w:after="156" w:afterLines="50"/>
        <w:ind w:firstLine="440" w:firstLineChars="200"/>
        <w:jc w:val="left"/>
        <w:rPr>
          <w:color w:val="000000"/>
          <w:kern w:val="0"/>
          <w:sz w:val="22"/>
        </w:rPr>
      </w:pPr>
      <w:r>
        <w:rPr>
          <w:color w:val="000000"/>
          <w:kern w:val="0"/>
          <w:sz w:val="22"/>
        </w:rPr>
        <w:t>DF</w:t>
      </w:r>
      <w:r>
        <w:rPr>
          <w:color w:val="000000"/>
          <w:kern w:val="0"/>
          <w:sz w:val="22"/>
        </w:rPr>
        <w:sym w:font="Symbol" w:char="00A2"/>
      </w:r>
      <w:r>
        <w:rPr>
          <w:i/>
          <w:color w:val="000000"/>
          <w:kern w:val="0"/>
          <w:sz w:val="22"/>
          <w:vertAlign w:val="subscript"/>
        </w:rPr>
        <w:t>r</w:t>
      </w:r>
      <w:r>
        <w:rPr>
          <w:color w:val="000000"/>
          <w:kern w:val="0"/>
          <w:sz w:val="22"/>
        </w:rPr>
        <w:t xml:space="preserve"> = DF</w:t>
      </w:r>
      <w:r>
        <w:rPr>
          <w:i/>
          <w:color w:val="000000"/>
          <w:kern w:val="0"/>
          <w:sz w:val="22"/>
          <w:vertAlign w:val="subscript"/>
        </w:rPr>
        <w:t>abc</w:t>
      </w:r>
      <w:r>
        <w:rPr>
          <w:color w:val="000000"/>
          <w:kern w:val="0"/>
          <w:sz w:val="22"/>
        </w:rPr>
        <w:t xml:space="preserve"> + DF</w:t>
      </w:r>
      <w:r>
        <w:rPr>
          <w:i/>
          <w:color w:val="000000"/>
          <w:kern w:val="0"/>
          <w:sz w:val="22"/>
          <w:vertAlign w:val="subscript"/>
        </w:rPr>
        <w:t>r</w:t>
      </w:r>
    </w:p>
    <w:p>
      <w:pPr>
        <w:tabs>
          <w:tab w:val="left" w:pos="284"/>
          <w:tab w:val="left" w:pos="567"/>
        </w:tabs>
        <w:spacing w:before="156" w:beforeLines="50" w:after="156" w:afterLines="50"/>
        <w:ind w:firstLine="440" w:firstLineChars="200"/>
        <w:jc w:val="left"/>
      </w:pPr>
      <w:r>
        <w:rPr>
          <w:i/>
          <w:color w:val="000000"/>
          <w:kern w:val="0"/>
          <w:sz w:val="22"/>
        </w:rPr>
        <w:t>M</w:t>
      </w:r>
      <w:r>
        <w:rPr>
          <w:i/>
          <w:color w:val="000000"/>
          <w:kern w:val="0"/>
          <w:sz w:val="22"/>
        </w:rPr>
        <w:sym w:font="Symbol" w:char="00A2"/>
      </w:r>
      <w:r>
        <w:rPr>
          <w:i/>
          <w:color w:val="000000"/>
          <w:kern w:val="0"/>
          <w:sz w:val="22"/>
          <w:vertAlign w:val="subscript"/>
        </w:rPr>
        <w:t>r</w:t>
      </w:r>
      <w:r>
        <w:rPr>
          <w:color w:val="000000"/>
          <w:kern w:val="0"/>
          <w:sz w:val="22"/>
        </w:rPr>
        <w:t xml:space="preserve"> = S</w:t>
      </w:r>
      <w:r>
        <w:rPr>
          <w:color w:val="000000"/>
          <w:kern w:val="0"/>
          <w:sz w:val="22"/>
        </w:rPr>
        <w:sym w:font="Symbol" w:char="00A2"/>
      </w:r>
      <w:r>
        <w:rPr>
          <w:i/>
          <w:color w:val="000000"/>
          <w:kern w:val="0"/>
          <w:sz w:val="22"/>
          <w:vertAlign w:val="subscript"/>
        </w:rPr>
        <w:t>r</w:t>
      </w:r>
      <w:r>
        <w:rPr>
          <w:color w:val="000000"/>
          <w:kern w:val="0"/>
          <w:sz w:val="22"/>
        </w:rPr>
        <w:t>/ DF</w:t>
      </w:r>
      <w:r>
        <w:rPr>
          <w:color w:val="000000"/>
          <w:kern w:val="0"/>
          <w:sz w:val="22"/>
        </w:rPr>
        <w:sym w:font="Symbol" w:char="00A2"/>
      </w:r>
      <w:r>
        <w:rPr>
          <w:i/>
          <w:color w:val="000000"/>
          <w:kern w:val="0"/>
          <w:sz w:val="22"/>
          <w:vertAlign w:val="subscript"/>
        </w:rPr>
        <w:t>r</w:t>
      </w:r>
    </w:p>
    <w:p>
      <w:pPr>
        <w:pStyle w:val="103"/>
        <w:spacing w:before="156" w:after="156"/>
        <w:outlineLvl w:val="9"/>
        <w:rPr>
          <w:rFonts w:ascii="Times New Roman" w:eastAsiaTheme="minorEastAsia"/>
        </w:rPr>
      </w:pPr>
      <w:bookmarkStart w:id="294" w:name="_Toc117245104"/>
      <w:r>
        <w:rPr>
          <w:rFonts w:ascii="Times New Roman" w:eastAsiaTheme="minorEastAsia"/>
        </w:rPr>
        <w:t>然后将与相互作用相关的方差</w:t>
      </w:r>
      <w:r>
        <w:rPr>
          <w:rFonts w:ascii="Times New Roman" w:eastAsiaTheme="minorEastAsia"/>
          <w:i/>
          <w:iCs/>
          <w:kern w:val="0"/>
          <w:sz w:val="20"/>
        </w:rPr>
        <w:t>M</w:t>
      </w:r>
      <w:r>
        <w:rPr>
          <w:rFonts w:ascii="Times New Roman" w:eastAsiaTheme="minorEastAsia"/>
          <w:i/>
          <w:iCs/>
          <w:kern w:val="0"/>
          <w:sz w:val="16"/>
          <w:szCs w:val="16"/>
          <w:vertAlign w:val="subscript"/>
        </w:rPr>
        <w:t>a</w:t>
      </w:r>
      <w:r>
        <w:rPr>
          <w:rFonts w:ascii="Times New Roman" w:eastAsiaTheme="minorEastAsia"/>
          <w:kern w:val="0"/>
          <w:sz w:val="20"/>
        </w:rPr>
        <w:t xml:space="preserve">, </w:t>
      </w:r>
      <w:r>
        <w:rPr>
          <w:rFonts w:ascii="Times New Roman" w:eastAsiaTheme="minorEastAsia"/>
          <w:i/>
          <w:iCs/>
          <w:kern w:val="0"/>
          <w:sz w:val="20"/>
        </w:rPr>
        <w:t>M</w:t>
      </w:r>
      <w:r>
        <w:rPr>
          <w:rFonts w:ascii="Times New Roman" w:eastAsiaTheme="minorEastAsia"/>
          <w:i/>
          <w:iCs/>
          <w:kern w:val="0"/>
          <w:sz w:val="16"/>
          <w:szCs w:val="16"/>
          <w:vertAlign w:val="subscript"/>
        </w:rPr>
        <w:t>ac</w:t>
      </w:r>
      <w:r>
        <w:rPr>
          <w:rFonts w:ascii="Times New Roman" w:eastAsiaTheme="minorEastAsia"/>
          <w:i/>
          <w:iCs/>
          <w:kern w:val="0"/>
          <w:sz w:val="16"/>
          <w:szCs w:val="16"/>
        </w:rPr>
        <w:t xml:space="preserve"> </w:t>
      </w:r>
      <w:r>
        <w:rPr>
          <w:rFonts w:ascii="Times New Roman" w:eastAsiaTheme="minorEastAsia"/>
          <w:kern w:val="0"/>
          <w:sz w:val="20"/>
        </w:rPr>
        <w:t>和</w:t>
      </w:r>
      <w:r>
        <w:rPr>
          <w:rFonts w:ascii="Times New Roman" w:eastAsiaTheme="minorEastAsia"/>
          <w:i/>
          <w:iCs/>
          <w:kern w:val="0"/>
          <w:sz w:val="20"/>
        </w:rPr>
        <w:t>M</w:t>
      </w:r>
      <w:r>
        <w:rPr>
          <w:rFonts w:ascii="Times New Roman" w:eastAsiaTheme="minorEastAsia"/>
          <w:i/>
          <w:iCs/>
          <w:kern w:val="0"/>
          <w:sz w:val="16"/>
          <w:szCs w:val="16"/>
          <w:vertAlign w:val="subscript"/>
        </w:rPr>
        <w:t>bc</w:t>
      </w:r>
      <w:r>
        <w:rPr>
          <w:rFonts w:ascii="Times New Roman" w:eastAsiaTheme="minorEastAsia"/>
        </w:rPr>
        <w:t>用</w:t>
      </w:r>
      <w:r>
        <w:rPr>
          <w:rFonts w:ascii="Times New Roman" w:eastAsiaTheme="minorEastAsia"/>
          <w:i/>
        </w:rPr>
        <w:t>F</w:t>
      </w:r>
      <w:r>
        <w:rPr>
          <w:rFonts w:ascii="Times New Roman" w:eastAsiaTheme="minorEastAsia"/>
        </w:rPr>
        <w:t>比检验针对</w:t>
      </w:r>
      <w:r>
        <w:rPr>
          <w:rFonts w:ascii="Times New Roman" w:eastAsiaTheme="minorEastAsia"/>
          <w:i/>
          <w:color w:val="000000"/>
          <w:kern w:val="0"/>
          <w:sz w:val="22"/>
        </w:rPr>
        <w:t>M</w:t>
      </w:r>
      <w:r>
        <w:rPr>
          <w:rFonts w:ascii="Times New Roman" w:eastAsiaTheme="minorEastAsia"/>
          <w:i/>
          <w:color w:val="000000"/>
          <w:kern w:val="0"/>
          <w:sz w:val="22"/>
        </w:rPr>
        <w:sym w:font="Symbol" w:char="00A2"/>
      </w:r>
      <w:r>
        <w:rPr>
          <w:rFonts w:ascii="Times New Roman" w:eastAsiaTheme="minorEastAsia"/>
          <w:i/>
          <w:color w:val="000000"/>
          <w:kern w:val="0"/>
          <w:sz w:val="22"/>
          <w:vertAlign w:val="subscript"/>
        </w:rPr>
        <w:t>r</w:t>
      </w:r>
      <w:r>
        <w:rPr>
          <w:rFonts w:ascii="Times New Roman" w:eastAsiaTheme="minorEastAsia"/>
        </w:rPr>
        <w:t>进行检验。宜严格地遵循，首先检验最小的方差，如果发现它不显著，就将其与修正残差合并形成新的修正残差，再将次最小方差用最新残差估计值进行检验，如此等等。一旦用这种方法检验了所有的一阶相互作用，就可以用类似的方法检验主要因素。</w:t>
      </w:r>
      <w:bookmarkEnd w:id="294"/>
    </w:p>
    <w:p>
      <w:pPr>
        <w:pStyle w:val="103"/>
        <w:tabs>
          <w:tab w:val="left" w:pos="360"/>
        </w:tabs>
        <w:spacing w:before="156" w:after="156"/>
        <w:outlineLvl w:val="9"/>
        <w:rPr>
          <w:rFonts w:ascii="Times New Roman" w:eastAsiaTheme="minorEastAsia"/>
        </w:rPr>
      </w:pPr>
      <w:bookmarkStart w:id="295" w:name="_Toc117245105"/>
      <w:r>
        <w:rPr>
          <w:rFonts w:ascii="Times New Roman" w:eastAsiaTheme="minorEastAsia"/>
        </w:rPr>
        <w:t>如果观察到交互作用是显著的，那么这个残差就不再是简单的实验条件方差的度量，而是具有与所涉及的因素的值相关联的额外方差，因此它不能被合并到残差方差中。在这种情况下，与此显著相互作用相关的待测次低阶相互作用不宜与残差方差比较，而宜与相互作用方差比较。因此</w:t>
      </w:r>
      <w:r>
        <w:rPr>
          <w:rFonts w:hint="eastAsia" w:ascii="Times New Roman" w:eastAsiaTheme="minorEastAsia"/>
        </w:rPr>
        <w:t>，</w:t>
      </w:r>
      <w:r>
        <w:rPr>
          <w:rFonts w:ascii="Times New Roman" w:eastAsiaTheme="minorEastAsia"/>
        </w:rPr>
        <w:t>如果</w:t>
      </w:r>
      <w:r>
        <w:rPr>
          <w:rFonts w:ascii="Times New Roman" w:eastAsiaTheme="minorEastAsia"/>
          <w:i/>
        </w:rPr>
        <w:t>M</w:t>
      </w:r>
      <w:r>
        <w:rPr>
          <w:rFonts w:ascii="Times New Roman" w:eastAsiaTheme="minorEastAsia"/>
          <w:i/>
          <w:vertAlign w:val="subscript"/>
        </w:rPr>
        <w:t>a</w:t>
      </w:r>
      <w:r>
        <w:rPr>
          <w:rFonts w:ascii="Times New Roman" w:eastAsiaTheme="minorEastAsia"/>
        </w:rPr>
        <w:t>与</w:t>
      </w:r>
      <w:r>
        <w:rPr>
          <w:rFonts w:hint="eastAsia" w:ascii="Times New Roman" w:eastAsiaTheme="minorEastAsia"/>
        </w:rPr>
        <w:t xml:space="preserve"> </w:t>
      </w:r>
      <w:r>
        <w:rPr>
          <w:rFonts w:ascii="Times New Roman" w:eastAsiaTheme="minorEastAsia"/>
          <w:i/>
        </w:rPr>
        <w:t>M</w:t>
      </w:r>
      <w:r>
        <w:rPr>
          <w:rFonts w:ascii="Times New Roman" w:eastAsiaTheme="minorEastAsia"/>
        </w:rPr>
        <w:sym w:font="Symbol" w:char="00A2"/>
      </w:r>
      <w:r>
        <w:rPr>
          <w:rFonts w:ascii="Times New Roman" w:eastAsiaTheme="minorEastAsia"/>
          <w:i/>
          <w:vertAlign w:val="subscript"/>
        </w:rPr>
        <w:t>r</w:t>
      </w:r>
      <w:r>
        <w:rPr>
          <w:rFonts w:ascii="Times New Roman" w:eastAsiaTheme="minorEastAsia"/>
        </w:rPr>
        <w:t>有显著不同，则</w:t>
      </w:r>
      <w:r>
        <w:rPr>
          <w:rFonts w:ascii="Times New Roman" w:eastAsiaTheme="minorEastAsia"/>
          <w:i/>
        </w:rPr>
        <w:t>M</w:t>
      </w:r>
      <w:r>
        <w:rPr>
          <w:rFonts w:ascii="Times New Roman" w:eastAsiaTheme="minorEastAsia"/>
          <w:i/>
          <w:vertAlign w:val="subscript"/>
        </w:rPr>
        <w:t>a</w:t>
      </w:r>
      <w:r>
        <w:rPr>
          <w:rFonts w:ascii="Times New Roman" w:eastAsiaTheme="minorEastAsia"/>
        </w:rPr>
        <w:t>和</w:t>
      </w:r>
      <w:r>
        <w:rPr>
          <w:rFonts w:ascii="Times New Roman" w:eastAsiaTheme="minorEastAsia"/>
          <w:i/>
        </w:rPr>
        <w:t>M</w:t>
      </w:r>
      <w:r>
        <w:rPr>
          <w:rFonts w:ascii="Times New Roman" w:eastAsiaTheme="minorEastAsia"/>
          <w:vertAlign w:val="subscript"/>
        </w:rPr>
        <w:t>b</w:t>
      </w:r>
      <w:r>
        <w:rPr>
          <w:rFonts w:ascii="Times New Roman" w:eastAsiaTheme="minorEastAsia"/>
        </w:rPr>
        <w:t>应该与</w:t>
      </w:r>
      <w:r>
        <w:rPr>
          <w:rFonts w:ascii="Times New Roman" w:eastAsiaTheme="minorEastAsia"/>
          <w:i/>
        </w:rPr>
        <w:t>M</w:t>
      </w:r>
      <w:r>
        <w:rPr>
          <w:rFonts w:ascii="Times New Roman" w:eastAsiaTheme="minorEastAsia"/>
          <w:i/>
          <w:vertAlign w:val="subscript"/>
        </w:rPr>
        <w:t>ab</w:t>
      </w:r>
      <w:r>
        <w:rPr>
          <w:rFonts w:ascii="Times New Roman" w:eastAsiaTheme="minorEastAsia"/>
        </w:rPr>
        <w:t>而不是</w:t>
      </w:r>
      <w:r>
        <w:rPr>
          <w:rFonts w:ascii="Times New Roman" w:eastAsiaTheme="minorEastAsia"/>
          <w:i/>
        </w:rPr>
        <w:t>M</w:t>
      </w:r>
      <w:r>
        <w:rPr>
          <w:rFonts w:ascii="Times New Roman" w:eastAsiaTheme="minorEastAsia"/>
        </w:rPr>
        <w:sym w:font="Symbol" w:char="00A2"/>
      </w:r>
      <w:r>
        <w:rPr>
          <w:rFonts w:ascii="Times New Roman" w:eastAsiaTheme="minorEastAsia"/>
          <w:vertAlign w:val="subscript"/>
        </w:rPr>
        <w:t>r</w:t>
      </w:r>
      <w:r>
        <w:rPr>
          <w:rFonts w:ascii="Times New Roman" w:eastAsiaTheme="minorEastAsia"/>
        </w:rPr>
        <w:t>成比例。另一方面，</w:t>
      </w:r>
      <w:r>
        <w:rPr>
          <w:rFonts w:ascii="Times New Roman" w:eastAsiaTheme="minorEastAsia"/>
          <w:i/>
        </w:rPr>
        <w:t>M</w:t>
      </w:r>
      <w:r>
        <w:rPr>
          <w:rFonts w:ascii="Times New Roman" w:eastAsiaTheme="minorEastAsia"/>
          <w:vertAlign w:val="subscript"/>
        </w:rPr>
        <w:t>c</w:t>
      </w:r>
      <w:r>
        <w:rPr>
          <w:rFonts w:ascii="Times New Roman" w:eastAsiaTheme="minorEastAsia"/>
        </w:rPr>
        <w:t>仍然应该与</w:t>
      </w:r>
      <w:r>
        <w:rPr>
          <w:rFonts w:ascii="Times New Roman" w:eastAsiaTheme="minorEastAsia"/>
          <w:i/>
        </w:rPr>
        <w:t>M</w:t>
      </w:r>
      <w:r>
        <w:rPr>
          <w:rFonts w:ascii="Times New Roman" w:eastAsiaTheme="minorEastAsia"/>
        </w:rPr>
        <w:sym w:font="Symbol" w:char="00A2"/>
      </w:r>
      <w:r>
        <w:rPr>
          <w:rFonts w:ascii="Times New Roman" w:eastAsiaTheme="minorEastAsia"/>
          <w:vertAlign w:val="subscript"/>
        </w:rPr>
        <w:t>r</w:t>
      </w:r>
      <w:r>
        <w:rPr>
          <w:rFonts w:ascii="Times New Roman" w:eastAsiaTheme="minorEastAsia"/>
        </w:rPr>
        <w:t>成比例，因为它不涉及显著的相互作用。</w:t>
      </w:r>
      <w:bookmarkEnd w:id="295"/>
    </w:p>
    <w:p>
      <w:pPr>
        <w:pStyle w:val="103"/>
        <w:tabs>
          <w:tab w:val="left" w:pos="360"/>
        </w:tabs>
        <w:spacing w:before="156" w:after="156"/>
        <w:outlineLvl w:val="9"/>
        <w:rPr>
          <w:rFonts w:asciiTheme="minorEastAsia" w:hAnsiTheme="minorEastAsia" w:eastAsiaTheme="minorEastAsia"/>
        </w:rPr>
      </w:pPr>
      <w:bookmarkStart w:id="296" w:name="_Toc117245106"/>
      <w:r>
        <w:rPr>
          <w:rFonts w:asciiTheme="minorEastAsia" w:hAnsiTheme="minorEastAsia" w:eastAsiaTheme="minorEastAsia"/>
        </w:rPr>
        <w:t>当相互作用显著时，总是值得检查数据(一个简单的图形化方法非常有效)以了解这些趋势是否与相关过程的直观预期相一致和合理。统计检验不过是与专家知识和常识一起使用的工具，以便根据在特定情况下所作的观察得出结论。</w:t>
      </w:r>
      <w:bookmarkEnd w:id="296"/>
    </w:p>
    <w:p>
      <w:pPr>
        <w:pStyle w:val="103"/>
        <w:tabs>
          <w:tab w:val="left" w:pos="360"/>
        </w:tabs>
        <w:spacing w:before="156" w:after="156"/>
        <w:outlineLvl w:val="9"/>
        <w:rPr>
          <w:rFonts w:ascii="Times New Roman" w:eastAsiaTheme="minorEastAsia"/>
        </w:rPr>
      </w:pPr>
      <w:bookmarkStart w:id="297" w:name="_Toc117245107"/>
      <w:r>
        <w:rPr>
          <w:rFonts w:ascii="Times New Roman" w:eastAsiaTheme="minorEastAsia"/>
        </w:rPr>
        <w:t>因此，在上面的示例中，如果</w:t>
      </w:r>
      <w:r>
        <w:rPr>
          <w:rFonts w:ascii="Times New Roman" w:eastAsiaTheme="minorEastAsia"/>
          <w:i/>
        </w:rPr>
        <w:t>M</w:t>
      </w:r>
      <w:r>
        <w:rPr>
          <w:rFonts w:ascii="Times New Roman" w:eastAsiaTheme="minorEastAsia"/>
          <w:i/>
          <w:vertAlign w:val="subscript"/>
        </w:rPr>
        <w:t>a</w:t>
      </w:r>
      <w:r>
        <w:rPr>
          <w:rFonts w:ascii="Times New Roman" w:eastAsiaTheme="minorEastAsia"/>
        </w:rPr>
        <w:t>被显示为显著的，则宜以恒定</w:t>
      </w:r>
      <w:r>
        <w:rPr>
          <w:rFonts w:ascii="Times New Roman" w:eastAsiaTheme="minorEastAsia"/>
          <w:i/>
        </w:rPr>
        <w:t>a</w:t>
      </w:r>
      <w:r>
        <w:rPr>
          <w:rFonts w:ascii="Times New Roman" w:eastAsiaTheme="minorEastAsia"/>
        </w:rPr>
        <w:t>和</w:t>
      </w:r>
      <w:r>
        <w:rPr>
          <w:rFonts w:ascii="Times New Roman" w:eastAsiaTheme="minorEastAsia"/>
          <w:i/>
        </w:rPr>
        <w:t>b</w:t>
      </w:r>
      <w:r>
        <w:rPr>
          <w:rFonts w:ascii="Times New Roman" w:eastAsiaTheme="minorEastAsia"/>
        </w:rPr>
        <w:t>以观测结果的总和，对恒定</w:t>
      </w:r>
      <w:r>
        <w:rPr>
          <w:rFonts w:ascii="Times New Roman" w:eastAsiaTheme="minorEastAsia"/>
          <w:i/>
        </w:rPr>
        <w:t>b</w:t>
      </w:r>
      <w:r>
        <w:rPr>
          <w:rFonts w:ascii="Times New Roman" w:eastAsiaTheme="minorEastAsia"/>
        </w:rPr>
        <w:t>下的</w:t>
      </w:r>
      <w:r>
        <w:rPr>
          <w:rFonts w:ascii="Times New Roman" w:eastAsiaTheme="minorEastAsia"/>
          <w:i/>
        </w:rPr>
        <w:t>a</w:t>
      </w:r>
      <w:r>
        <w:rPr>
          <w:rFonts w:ascii="Times New Roman" w:eastAsiaTheme="minorEastAsia"/>
        </w:rPr>
        <w:t>和恒定</w:t>
      </w:r>
      <w:r>
        <w:rPr>
          <w:rFonts w:ascii="Times New Roman" w:eastAsiaTheme="minorEastAsia"/>
          <w:i/>
        </w:rPr>
        <w:t>a</w:t>
      </w:r>
      <w:r>
        <w:rPr>
          <w:rFonts w:ascii="Times New Roman" w:eastAsiaTheme="minorEastAsia"/>
        </w:rPr>
        <w:t>下的</w:t>
      </w:r>
      <w:r>
        <w:rPr>
          <w:rFonts w:ascii="Times New Roman" w:eastAsiaTheme="minorEastAsia"/>
          <w:i/>
        </w:rPr>
        <w:t>b</w:t>
      </w:r>
      <w:r>
        <w:rPr>
          <w:rFonts w:ascii="Times New Roman" w:eastAsiaTheme="minorEastAsia"/>
        </w:rPr>
        <w:t>作图。如果这两个图在其形式和/或与所涉及的过程的先验知识相一致方面显示了合理的一致性度量，那么相互作用宜被接受。然后再进行方差分析是合理的，去掉因子A使得A在每次分析中都是常数。因此，分析必须进行</w:t>
      </w:r>
      <w:r>
        <w:rPr>
          <w:rFonts w:ascii="Times New Roman" w:eastAsiaTheme="minorEastAsia"/>
          <w:i/>
        </w:rPr>
        <w:t>na</w:t>
      </w:r>
      <w:r>
        <w:rPr>
          <w:rFonts w:ascii="Times New Roman" w:eastAsiaTheme="minorEastAsia"/>
        </w:rPr>
        <w:t>次，其中</w:t>
      </w:r>
      <w:r>
        <w:rPr>
          <w:rFonts w:ascii="Times New Roman" w:eastAsiaTheme="minorEastAsia"/>
          <w:i/>
        </w:rPr>
        <w:t>na</w:t>
      </w:r>
      <w:r>
        <w:rPr>
          <w:rFonts w:ascii="Times New Roman" w:eastAsiaTheme="minorEastAsia"/>
        </w:rPr>
        <w:t>是因子A的水平数。(或者保持因子B不变，进行</w:t>
      </w:r>
      <w:r>
        <w:rPr>
          <w:rFonts w:ascii="Times New Roman" w:eastAsiaTheme="minorEastAsia"/>
          <w:i/>
        </w:rPr>
        <w:t>nb</w:t>
      </w:r>
      <w:r>
        <w:rPr>
          <w:rFonts w:ascii="Times New Roman" w:eastAsiaTheme="minorEastAsia"/>
        </w:rPr>
        <w:t>分析。)</w:t>
      </w:r>
      <w:bookmarkEnd w:id="297"/>
    </w:p>
    <w:p>
      <w:pPr>
        <w:pStyle w:val="103"/>
        <w:tabs>
          <w:tab w:val="left" w:pos="360"/>
        </w:tabs>
        <w:spacing w:before="156" w:after="156"/>
        <w:outlineLvl w:val="9"/>
        <w:rPr>
          <w:rFonts w:asciiTheme="minorEastAsia" w:hAnsiTheme="minorEastAsia" w:eastAsiaTheme="minorEastAsia"/>
        </w:rPr>
      </w:pPr>
      <w:bookmarkStart w:id="298" w:name="_Toc117245108"/>
      <w:r>
        <w:rPr>
          <w:rFonts w:ascii="Times New Roman" w:eastAsiaTheme="minorEastAsia"/>
        </w:rPr>
        <w:t>如果在检查曲线图时没有观察到明确或一致的趋势，或者如果趋势与对过程的了解预期的趋势相矛盾(例如，随着碳黑含量的增加而降低硬度)，那么，要么确实有偶然介入了，尽管概率很大，要么是没有考虑到并因而无法控制的因素导致了观察到的结果。无论哪种方式，进一步的实验工作都宜谨慎</w:t>
      </w:r>
      <w:r>
        <w:rPr>
          <w:rFonts w:hint="eastAsia" w:asciiTheme="minorEastAsia" w:hAnsiTheme="minorEastAsia" w:eastAsiaTheme="minorEastAsia"/>
        </w:rPr>
        <w:t>进行。</w:t>
      </w:r>
      <w:bookmarkEnd w:id="298"/>
    </w:p>
    <w:p>
      <w:pPr>
        <w:pStyle w:val="23"/>
      </w:pPr>
      <w:r>
        <w:rPr>
          <w:highlight w:val="yellow"/>
        </w:rPr>
        <w:t>注：利用</w:t>
      </w:r>
      <w:r>
        <w:rPr>
          <w:rFonts w:hint="eastAsia"/>
          <w:highlight w:val="yellow"/>
        </w:rPr>
        <w:t>Excel进行方差分析的步骤可参见贾俊平《统计学（第7版）》一书</w:t>
      </w:r>
    </w:p>
    <w:p>
      <w:pPr>
        <w:pStyle w:val="23"/>
      </w:pPr>
    </w:p>
    <w:p>
      <w:pPr>
        <w:pStyle w:val="23"/>
      </w:pPr>
    </w:p>
    <w:p>
      <w:pPr>
        <w:pStyle w:val="23"/>
      </w:pPr>
    </w:p>
    <w:p>
      <w:pPr>
        <w:pStyle w:val="84"/>
      </w:pPr>
      <w:r>
        <w:br w:type="textWrapping"/>
      </w:r>
      <w:bookmarkStart w:id="299" w:name="_Toc117245109"/>
      <w:bookmarkStart w:id="300" w:name="_Toc124173991"/>
      <w:r>
        <w:rPr>
          <w:rFonts w:hint="eastAsia"/>
        </w:rPr>
        <w:t>（资料性）</w:t>
      </w:r>
      <w:r>
        <w:br w:type="textWrapping"/>
      </w:r>
      <w:r>
        <w:rPr>
          <w:rFonts w:hint="eastAsia"/>
        </w:rPr>
        <w:t>计算回归系数的方程</w:t>
      </w:r>
      <w:bookmarkEnd w:id="299"/>
      <w:r>
        <w:rPr>
          <w:rFonts w:hint="eastAsia"/>
          <w:highlight w:val="yellow"/>
        </w:rPr>
        <w:t>/利用excel计算多元函数回归的方法</w:t>
      </w:r>
      <w:bookmarkEnd w:id="300"/>
    </w:p>
    <w:p>
      <w:pPr>
        <w:pStyle w:val="23"/>
        <w:rPr>
          <w:color w:val="FF0000"/>
        </w:rPr>
      </w:pPr>
      <w:r>
        <w:rPr>
          <w:color w:val="FF0000"/>
          <w:highlight w:val="yellow"/>
        </w:rPr>
        <w:t>拟删掉</w:t>
      </w:r>
      <w:r>
        <w:rPr>
          <w:rFonts w:hint="eastAsia"/>
          <w:color w:val="FF0000"/>
          <w:highlight w:val="yellow"/>
        </w:rPr>
        <w:t>H.1~H.3的内容，替换为H.4的内容</w:t>
      </w:r>
    </w:p>
    <w:p>
      <w:pPr>
        <w:pStyle w:val="102"/>
        <w:spacing w:before="312" w:after="312"/>
      </w:pPr>
      <w:bookmarkStart w:id="301" w:name="_Toc124173992"/>
      <w:r>
        <w:rPr>
          <w:rFonts w:hint="eastAsia"/>
        </w:rPr>
        <w:t>概述</w:t>
      </w:r>
      <w:bookmarkEnd w:id="301"/>
    </w:p>
    <w:p>
      <w:pPr>
        <w:tabs>
          <w:tab w:val="left" w:pos="284"/>
          <w:tab w:val="left" w:pos="567"/>
        </w:tabs>
        <w:spacing w:before="156" w:beforeLines="50" w:after="156" w:afterLines="50"/>
        <w:ind w:firstLine="420" w:firstLineChars="200"/>
        <w:jc w:val="left"/>
      </w:pPr>
      <w:r>
        <w:rPr>
          <w:rFonts w:hint="eastAsia"/>
        </w:rPr>
        <w:t>在无法使用适当的计算机软件或受到限制的情况下，可以使用下列因素等式来确定回归线的系数。</w:t>
      </w:r>
    </w:p>
    <w:p>
      <w:pPr>
        <w:pStyle w:val="102"/>
        <w:spacing w:before="312" w:after="312"/>
      </w:pPr>
      <w:bookmarkStart w:id="302" w:name="_Toc124173993"/>
      <w:r>
        <w:rPr>
          <w:rFonts w:hint="eastAsia"/>
        </w:rPr>
        <w:t>二次最小二乘回归分析</w:t>
      </w:r>
      <w:bookmarkEnd w:id="302"/>
    </w:p>
    <w:p>
      <w:pPr>
        <w:tabs>
          <w:tab w:val="left" w:pos="284"/>
          <w:tab w:val="left" w:pos="567"/>
        </w:tabs>
        <w:spacing w:before="156" w:beforeLines="50" w:after="156" w:afterLines="50"/>
        <w:ind w:firstLine="420" w:firstLineChars="200"/>
        <w:jc w:val="left"/>
      </w:pPr>
      <w:r>
        <w:rPr>
          <w:rFonts w:hint="eastAsia"/>
        </w:rPr>
        <w:t>计算线性情况下的因子</w:t>
      </w:r>
      <w:r>
        <w:rPr>
          <w:i/>
        </w:rPr>
        <w:t>C</w:t>
      </w:r>
      <w:r>
        <w:rPr>
          <w:vertAlign w:val="subscript"/>
        </w:rPr>
        <w:t>11</w:t>
      </w:r>
      <w:r>
        <w:rPr>
          <w:rFonts w:hint="eastAsia"/>
        </w:rPr>
        <w:t>、</w:t>
      </w:r>
      <w:r>
        <w:rPr>
          <w:i/>
        </w:rPr>
        <w:t>C</w:t>
      </w:r>
      <w:r>
        <w:rPr>
          <w:i/>
          <w:vertAlign w:val="subscript"/>
        </w:rPr>
        <w:t>yy</w:t>
      </w:r>
      <w:r>
        <w:rPr>
          <w:rFonts w:hint="eastAsia"/>
        </w:rPr>
        <w:t>、</w:t>
      </w:r>
      <w:r>
        <w:rPr>
          <w:i/>
        </w:rPr>
        <w:t>C</w:t>
      </w:r>
      <w:r>
        <w:rPr>
          <w:i/>
          <w:vertAlign w:val="subscript"/>
        </w:rPr>
        <w:t>y</w:t>
      </w:r>
      <w:r>
        <w:rPr>
          <w:vertAlign w:val="subscript"/>
        </w:rPr>
        <w:t>1</w:t>
      </w:r>
      <w:r>
        <w:rPr>
          <w:rFonts w:hint="eastAsia"/>
        </w:rPr>
        <w:t>，并计算以下因子：</w:t>
      </w:r>
    </w:p>
    <w:p>
      <w:pPr>
        <w:tabs>
          <w:tab w:val="left" w:pos="284"/>
          <w:tab w:val="left" w:pos="567"/>
        </w:tabs>
        <w:spacing w:before="156" w:beforeLines="50" w:after="156" w:afterLines="50"/>
        <w:ind w:firstLine="420" w:firstLineChars="200"/>
        <w:jc w:val="left"/>
      </w:pPr>
      <m:oMath>
        <m:sSub>
          <m:sSubPr>
            <m:ctrlPr>
              <w:rPr>
                <w:rFonts w:ascii="Cambria Math" w:hAnsi="Cambria Math"/>
                <w:szCs w:val="22"/>
              </w:rPr>
            </m:ctrlPr>
          </m:sSubPr>
          <m:e>
            <m:r>
              <m:rPr/>
              <w:rPr>
                <w:rFonts w:ascii="Cambria Math" w:hAnsi="Cambria Math"/>
              </w:rPr>
              <m:t>C</m:t>
            </m:r>
            <m:ctrlPr>
              <w:rPr>
                <w:rFonts w:ascii="Cambria Math" w:hAnsi="Cambria Math"/>
                <w:szCs w:val="22"/>
              </w:rPr>
            </m:ctrlPr>
          </m:e>
          <m:sub>
            <m:r>
              <m:rPr/>
              <w:rPr>
                <w:rFonts w:ascii="Cambria Math" w:hAnsi="Cambria Math"/>
              </w:rPr>
              <m:t>22</m:t>
            </m:r>
            <m:ctrlPr>
              <w:rPr>
                <w:rFonts w:ascii="Cambria Math" w:hAnsi="Cambria Math"/>
                <w:szCs w:val="22"/>
              </w:rPr>
            </m:ctrlPr>
          </m:sub>
        </m:sSub>
        <m:r>
          <m:rPr/>
          <w:rPr>
            <w:rFonts w:ascii="Cambria Math" w:hAnsi="Cambria Math"/>
          </w:rPr>
          <m:t>=</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4</m:t>
                </m:r>
                <m:ctrlPr>
                  <w:rPr>
                    <w:rFonts w:ascii="Cambria Math" w:hAnsi="Cambria Math"/>
                    <w:i/>
                    <w:szCs w:val="22"/>
                  </w:rPr>
                </m:ctrlPr>
              </m:sup>
            </m:sSup>
            <m:ctrlPr>
              <w:rPr>
                <w:rFonts w:ascii="Cambria Math" w:hAnsi="Cambria Math"/>
                <w:i/>
                <w:szCs w:val="22"/>
              </w:rPr>
            </m:ctrlPr>
          </m:e>
        </m:nary>
        <m:r>
          <m:rPr/>
          <w:rPr>
            <w:rFonts w:ascii="Cambria Math" w:hAnsi="Cambria Math"/>
          </w:rPr>
          <m:t>−</m:t>
        </m:r>
        <m:sSup>
          <m:sSupPr>
            <m:ctrlPr>
              <w:rPr>
                <w:rFonts w:ascii="Cambria Math" w:hAnsi="Cambria Math"/>
                <w:i/>
                <w:szCs w:val="22"/>
              </w:rPr>
            </m:ctrlPr>
          </m:sSupPr>
          <m:e>
            <m:d>
              <m:dPr>
                <m:ctrlPr>
                  <w:rPr>
                    <w:rFonts w:ascii="Cambria Math" w:hAnsi="Cambria Math"/>
                    <w:i/>
                    <w:szCs w:val="22"/>
                  </w:rPr>
                </m:ctrlPr>
              </m:dPr>
              <m:e>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nary>
                <m:ctrlPr>
                  <w:rPr>
                    <w:rFonts w:ascii="Cambria Math" w:hAnsi="Cambria Math"/>
                    <w:i/>
                    <w:szCs w:val="22"/>
                  </w:rPr>
                </m:ctrlPr>
              </m:e>
            </m:d>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/n</m:t>
        </m:r>
      </m:oMath>
      <w:r>
        <w:t xml:space="preserve">                      </w:t>
      </w:r>
      <w:r>
        <w:rPr>
          <w:rFonts w:hint="eastAsia"/>
        </w:rPr>
        <w:t xml:space="preserve">      </w:t>
      </w:r>
      <w:r>
        <w:t xml:space="preserve">                        </w:t>
      </w:r>
      <w:r>
        <w:rPr>
          <w:rFonts w:hint="eastAsia"/>
        </w:rPr>
        <w:t>（</w:t>
      </w:r>
      <w:r>
        <w:t>H.1</w:t>
      </w:r>
      <w:r>
        <w:rPr>
          <w:rFonts w:hint="eastAsia"/>
        </w:rPr>
        <w:t>）</w:t>
      </w:r>
    </w:p>
    <w:p>
      <w:pPr>
        <w:tabs>
          <w:tab w:val="left" w:pos="284"/>
          <w:tab w:val="left" w:pos="567"/>
        </w:tabs>
        <w:spacing w:before="156" w:beforeLines="50" w:after="156" w:afterLines="50"/>
        <w:ind w:firstLine="420" w:firstLineChars="200"/>
        <w:jc w:val="left"/>
      </w:pPr>
      <m:oMath>
        <m:sSub>
          <m:sSubPr>
            <m:ctrlPr>
              <w:rPr>
                <w:rFonts w:ascii="Cambria Math" w:hAnsi="Cambria Math"/>
                <w:szCs w:val="22"/>
              </w:rPr>
            </m:ctrlPr>
          </m:sSubPr>
          <m:e>
            <m:r>
              <m:rPr/>
              <w:rPr>
                <w:rFonts w:ascii="Cambria Math" w:hAnsi="Cambria Math"/>
              </w:rPr>
              <m:t>C</m:t>
            </m:r>
            <m:ctrlPr>
              <w:rPr>
                <w:rFonts w:ascii="Cambria Math" w:hAnsi="Cambria Math"/>
                <w:szCs w:val="22"/>
              </w:rPr>
            </m:ctrlPr>
          </m:e>
          <m:sub>
            <m:r>
              <m:rPr/>
              <w:rPr>
                <w:rFonts w:ascii="Cambria Math" w:hAnsi="Cambria Math"/>
              </w:rPr>
              <m:t>12</m:t>
            </m:r>
            <m:ctrlPr>
              <w:rPr>
                <w:rFonts w:ascii="Cambria Math" w:hAnsi="Cambria Math"/>
                <w:szCs w:val="22"/>
              </w:rPr>
            </m:ctrlPr>
          </m:sub>
        </m:sSub>
        <m:r>
          <m:rPr/>
          <w:rPr>
            <w:rFonts w:ascii="Cambria Math" w:hAnsi="Cambria Math"/>
          </w:rPr>
          <m:t>=</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3</m:t>
                </m:r>
                <m:ctrlPr>
                  <w:rPr>
                    <w:rFonts w:ascii="Cambria Math" w:hAnsi="Cambria Math"/>
                    <w:i/>
                    <w:szCs w:val="22"/>
                  </w:rPr>
                </m:ctrlPr>
              </m:sup>
            </m:sSup>
            <m:ctrlPr>
              <w:rPr>
                <w:rFonts w:ascii="Cambria Math" w:hAnsi="Cambria Math"/>
                <w:i/>
                <w:szCs w:val="22"/>
              </w:rPr>
            </m:ctrlPr>
          </m:e>
        </m:nary>
        <m:r>
          <m:rPr/>
          <w:rPr>
            <w:rFonts w:ascii="Cambria Math" w:hAnsi="Cambria Math"/>
          </w:rPr>
          <m:t>−</m:t>
        </m:r>
        <m:sSup>
          <m:sSupPr>
            <m:ctrlPr>
              <w:rPr>
                <w:rFonts w:ascii="Cambria Math" w:hAnsi="Cambria Math"/>
                <w:i/>
                <w:szCs w:val="22"/>
              </w:rPr>
            </m:ctrlPr>
          </m:sSupPr>
          <m:e>
            <m:d>
              <m:dPr>
                <m:ctrlPr>
                  <w:rPr>
                    <w:rFonts w:ascii="Cambria Math" w:hAnsi="Cambria Math"/>
                    <w:i/>
                    <w:szCs w:val="22"/>
                  </w:rPr>
                </m:ctrlPr>
              </m:dPr>
              <m:e>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r>
                      <m:rPr/>
                      <w:rPr>
                        <w:rFonts w:ascii="Cambria Math" w:hAnsi="Cambria Math"/>
                      </w:rPr>
                      <m:t>x</m:t>
                    </m:r>
                    <m:ctrlPr>
                      <w:rPr>
                        <w:rFonts w:ascii="Cambria Math" w:hAnsi="Cambria Math"/>
                        <w:i/>
                        <w:szCs w:val="22"/>
                      </w:rPr>
                    </m:ctrlPr>
                  </m:e>
                </m:nary>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nary>
                <m:ctrlPr>
                  <w:rPr>
                    <w:rFonts w:ascii="Cambria Math" w:hAnsi="Cambria Math"/>
                    <w:i/>
                    <w:szCs w:val="22"/>
                  </w:rPr>
                </m:ctrlPr>
              </m:e>
            </m:d>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/n</m:t>
        </m:r>
      </m:oMath>
      <w:r>
        <w:t xml:space="preserve">                </w:t>
      </w:r>
      <w:r>
        <w:rPr>
          <w:rFonts w:hint="eastAsia"/>
        </w:rPr>
        <w:t xml:space="preserve">      </w:t>
      </w:r>
      <w:r>
        <w:t xml:space="preserve">                           </w:t>
      </w:r>
      <w:r>
        <w:rPr>
          <w:rFonts w:hint="eastAsia"/>
        </w:rPr>
        <w:t>（</w:t>
      </w:r>
      <w:r>
        <w:t>H.2</w:t>
      </w:r>
      <w:r>
        <w:rPr>
          <w:rFonts w:hint="eastAsia"/>
        </w:rPr>
        <w:t>）</w:t>
      </w:r>
    </w:p>
    <w:p>
      <w:pPr>
        <w:tabs>
          <w:tab w:val="left" w:pos="284"/>
          <w:tab w:val="left" w:pos="567"/>
        </w:tabs>
        <w:spacing w:before="156" w:beforeLines="50" w:after="156" w:afterLines="50"/>
        <w:ind w:firstLine="420" w:firstLineChars="200"/>
        <w:jc w:val="left"/>
      </w:pPr>
      <m:oMath>
        <m:sSup>
          <m:sSupPr>
            <m:ctrlPr>
              <w:rPr>
                <w:rFonts w:ascii="Cambria Math" w:hAnsi="Cambria Math"/>
                <w:szCs w:val="22"/>
              </w:rPr>
            </m:ctrlPr>
          </m:sSupPr>
          <m:e>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y2</m:t>
                </m:r>
                <m:ctrlPr>
                  <w:rPr>
                    <w:rFonts w:ascii="Cambria Math" w:hAnsi="Cambria Math"/>
                    <w:i/>
                    <w:szCs w:val="22"/>
                  </w:rPr>
                </m:ctrlPr>
              </m:sub>
            </m:sSub>
            <m:ctrlPr>
              <w:rPr>
                <w:rFonts w:ascii="Cambria Math" w:hAnsi="Cambria Math"/>
                <w:szCs w:val="22"/>
              </w:rPr>
            </m:ctrlPr>
          </m:e>
          <m:sup>
            <m:ctrlPr>
              <w:rPr>
                <w:rFonts w:ascii="Cambria Math" w:hAnsi="Cambria Math"/>
                <w:szCs w:val="22"/>
              </w:rPr>
            </m:ctrlPr>
          </m:sup>
        </m:sSup>
        <m:r>
          <m:rPr/>
          <w:rPr>
            <w:rFonts w:ascii="Cambria Math" w:hAnsi="Cambria Math"/>
          </w:rPr>
          <m:t>=</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d>
              <m:dPr>
                <m:ctrlPr>
                  <w:rPr>
                    <w:rFonts w:ascii="Cambria Math" w:hAnsi="Cambria Math"/>
                    <w:i/>
                    <w:szCs w:val="22"/>
                  </w:rPr>
                </m:ctrlPr>
              </m:dPr>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y</m:t>
                </m:r>
                <m:ctrlPr>
                  <w:rPr>
                    <w:rFonts w:ascii="Cambria Math" w:hAnsi="Cambria Math"/>
                    <w:i/>
                    <w:szCs w:val="22"/>
                  </w:rPr>
                </m:ctrlPr>
              </m:e>
            </m:d>
            <m:ctrlPr>
              <w:rPr>
                <w:rFonts w:ascii="Cambria Math" w:hAnsi="Cambria Math"/>
                <w:i/>
                <w:szCs w:val="22"/>
              </w:rPr>
            </m:ctrlPr>
          </m:e>
        </m:nary>
        <m:r>
          <m:rPr/>
          <w:rPr>
            <w:rFonts w:ascii="Cambria Math" w:hAnsi="Cambria Math"/>
          </w:rPr>
          <m:t>−</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r>
              <m:rPr/>
              <w:rPr>
                <w:rFonts w:ascii="Cambria Math" w:hAnsi="Cambria Math"/>
              </w:rPr>
              <m:t>y</m:t>
            </m:r>
            <m:ctrlPr>
              <w:rPr>
                <w:rFonts w:ascii="Cambria Math" w:hAnsi="Cambria Math"/>
                <w:i/>
                <w:szCs w:val="22"/>
              </w:rPr>
            </m:ctrlPr>
          </m:e>
        </m:nary>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nary>
        <m:r>
          <m:rPr/>
          <w:rPr>
            <w:rFonts w:ascii="Cambria Math" w:hAnsi="Cambria Math"/>
          </w:rPr>
          <m:t>/n</m:t>
        </m:r>
      </m:oMath>
      <w:r>
        <w:t xml:space="preserve">               </w:t>
      </w:r>
      <w:r>
        <w:rPr>
          <w:rFonts w:hint="eastAsia"/>
        </w:rPr>
        <w:t xml:space="preserve">      </w:t>
      </w:r>
      <w:r>
        <w:t xml:space="preserve">                            </w:t>
      </w:r>
      <w:r>
        <w:rPr>
          <w:rFonts w:hint="eastAsia"/>
        </w:rPr>
        <w:t>（</w:t>
      </w:r>
      <w:r>
        <w:t>H.3</w:t>
      </w:r>
      <w:r>
        <w:rPr>
          <w:rFonts w:hint="eastAsia"/>
        </w:rPr>
        <w:t>）</w:t>
      </w:r>
    </w:p>
    <w:p>
      <w:pPr>
        <w:tabs>
          <w:tab w:val="left" w:pos="284"/>
          <w:tab w:val="left" w:pos="567"/>
        </w:tabs>
        <w:spacing w:before="156" w:beforeLines="50" w:after="156" w:afterLines="50"/>
        <w:ind w:firstLine="420" w:firstLineChars="200"/>
        <w:jc w:val="left"/>
      </w:pPr>
      <w:r>
        <w:rPr>
          <w:rFonts w:hint="eastAsia"/>
        </w:rPr>
        <w:t>然后从恒等式（</w:t>
      </w:r>
      <w:r>
        <w:t>H.4</w:t>
      </w:r>
      <w:r>
        <w:rPr>
          <w:rFonts w:hint="eastAsia"/>
        </w:rPr>
        <w:t>）~（</w:t>
      </w:r>
      <w:r>
        <w:t>H.6</w:t>
      </w:r>
      <w:r>
        <w:rPr>
          <w:rFonts w:hint="eastAsia"/>
        </w:rPr>
        <w:t>）中找到系数的最佳估计值</w:t>
      </w:r>
      <w:r>
        <w:t>:</w:t>
      </w:r>
    </w:p>
    <w:p>
      <w:pPr>
        <w:tabs>
          <w:tab w:val="left" w:pos="284"/>
          <w:tab w:val="left" w:pos="567"/>
        </w:tabs>
        <w:spacing w:before="156" w:beforeLines="50" w:after="156" w:afterLines="50"/>
        <w:ind w:firstLine="420" w:firstLineChars="200"/>
        <w:jc w:val="left"/>
      </w:pPr>
      <m:oMath>
        <m:r>
          <m:rPr/>
          <w:rPr>
            <w:rFonts w:ascii="Cambria Math" w:hAnsi="Cambria Math"/>
          </w:rPr>
          <m:t>c</m:t>
        </m:r>
        <m:r>
          <m:rPr>
            <m:sty m:val="p"/>
          </m:rPr>
          <w:rPr>
            <w:rFonts w:ascii="Cambria Math" w:hAnsi="Cambria Math"/>
          </w:rPr>
          <m:t>=</m:t>
        </m:r>
        <m:f>
          <m:fPr>
            <m:ctrlPr>
              <w:rPr>
                <w:rFonts w:ascii="Cambria Math" w:hAnsi="Cambria Math"/>
                <w:szCs w:val="22"/>
              </w:rPr>
            </m:ctrlPr>
          </m:fPr>
          <m:num>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y1</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y2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11</m:t>
                </m:r>
                <m:ctrlPr>
                  <w:rPr>
                    <w:rFonts w:ascii="Cambria Math" w:hAnsi="Cambria Math"/>
                    <w:i/>
                    <w:szCs w:val="22"/>
                  </w:rPr>
                </m:ctrlPr>
              </m:sub>
            </m:sSub>
            <m:ctrlPr>
              <w:rPr>
                <w:rFonts w:ascii="Cambria Math" w:hAnsi="Cambria Math"/>
                <w:szCs w:val="22"/>
              </w:rPr>
            </m:ctrlPr>
          </m:num>
          <m:den>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22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11</m:t>
                </m:r>
                <m:ctrlPr>
                  <w:rPr>
                    <w:rFonts w:ascii="Cambria Math" w:hAnsi="Cambria Math"/>
                    <w:i/>
                    <w:szCs w:val="22"/>
                  </w:rPr>
                </m:ctrlPr>
              </m:sub>
            </m:sSub>
            <m:ctrlPr>
              <w:rPr>
                <w:rFonts w:ascii="Cambria Math" w:hAnsi="Cambria Math"/>
                <w:szCs w:val="22"/>
              </w:rPr>
            </m:ctrlPr>
          </m:den>
        </m:f>
      </m:oMath>
      <w:r>
        <w:t xml:space="preserve">                            </w:t>
      </w:r>
      <w:r>
        <w:rPr>
          <w:rFonts w:hint="eastAsia"/>
        </w:rPr>
        <w:t xml:space="preserve">      </w:t>
      </w:r>
      <w:r>
        <w:t xml:space="preserve">                         </w:t>
      </w:r>
      <w:r>
        <w:rPr>
          <w:rFonts w:hint="eastAsia"/>
        </w:rPr>
        <w:t>（</w:t>
      </w:r>
      <w:r>
        <w:t>H.4</w:t>
      </w:r>
      <w:r>
        <w:rPr>
          <w:rFonts w:hint="eastAsia"/>
        </w:rPr>
        <w:t>）</w:t>
      </w:r>
    </w:p>
    <w:p>
      <w:pPr>
        <w:tabs>
          <w:tab w:val="left" w:pos="284"/>
          <w:tab w:val="left" w:pos="567"/>
        </w:tabs>
        <w:spacing w:before="156" w:beforeLines="50" w:after="156" w:afterLines="50"/>
        <w:ind w:firstLine="420" w:firstLineChars="200"/>
        <w:jc w:val="left"/>
      </w:pPr>
      <m:oMath>
        <m:r>
          <m:rPr/>
          <w:rPr>
            <w:rFonts w:ascii="Cambria Math" w:hAnsi="Cambria Math"/>
          </w:rPr>
          <m:t>b</m:t>
        </m:r>
        <m:r>
          <m:rPr>
            <m:sty m:val="p"/>
          </m:rPr>
          <w:rPr>
            <w:rFonts w:ascii="Cambria Math" w:hAnsi="Cambria Math"/>
          </w:rPr>
          <m:t>=</m:t>
        </m:r>
        <m:f>
          <m:fPr>
            <m:ctrlPr>
              <w:rPr>
                <w:rFonts w:ascii="Cambria Math" w:hAnsi="Cambria Math"/>
                <w:szCs w:val="22"/>
              </w:rPr>
            </m:ctrlPr>
          </m:fPr>
          <m:num>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y2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y1</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11</m:t>
                </m:r>
                <m:ctrlPr>
                  <w:rPr>
                    <w:rFonts w:ascii="Cambria Math" w:hAnsi="Cambria Math"/>
                    <w:i/>
                    <w:szCs w:val="22"/>
                  </w:rPr>
                </m:ctrlPr>
              </m:sub>
            </m:sSub>
            <m:ctrlPr>
              <w:rPr>
                <w:rFonts w:ascii="Cambria Math" w:hAnsi="Cambria Math"/>
                <w:szCs w:val="22"/>
              </w:rPr>
            </m:ctrlPr>
          </m:num>
          <m:den>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22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11</m:t>
                </m:r>
                <m:ctrlPr>
                  <w:rPr>
                    <w:rFonts w:ascii="Cambria Math" w:hAnsi="Cambria Math"/>
                    <w:i/>
                    <w:szCs w:val="22"/>
                  </w:rPr>
                </m:ctrlPr>
              </m:sub>
            </m:sSub>
            <m:ctrlPr>
              <w:rPr>
                <w:rFonts w:ascii="Cambria Math" w:hAnsi="Cambria Math"/>
                <w:szCs w:val="22"/>
              </w:rPr>
            </m:ctrlPr>
          </m:den>
        </m:f>
      </m:oMath>
      <w:r>
        <w:t xml:space="preserve">                           </w:t>
      </w:r>
      <w:r>
        <w:rPr>
          <w:rFonts w:hint="eastAsia"/>
        </w:rPr>
        <w:t xml:space="preserve">      </w:t>
      </w:r>
      <w:r>
        <w:t xml:space="preserve">                          </w:t>
      </w:r>
      <w:r>
        <w:rPr>
          <w:rFonts w:hint="eastAsia"/>
        </w:rPr>
        <w:t>（</w:t>
      </w:r>
      <w:r>
        <w:t>H.5</w:t>
      </w:r>
      <w:r>
        <w:rPr>
          <w:rFonts w:hint="eastAsia"/>
        </w:rPr>
        <w:t>）</w:t>
      </w:r>
    </w:p>
    <w:p>
      <w:pPr>
        <w:tabs>
          <w:tab w:val="left" w:pos="284"/>
          <w:tab w:val="left" w:pos="567"/>
        </w:tabs>
        <w:spacing w:before="156" w:beforeLines="50" w:after="156" w:afterLines="50"/>
        <w:ind w:firstLine="420" w:firstLineChars="200"/>
        <w:jc w:val="left"/>
      </w:pPr>
      <m:oMath>
        <m:r>
          <m:rPr/>
          <w:rPr>
            <w:rFonts w:ascii="Cambria Math" w:hAnsi="Cambria Math"/>
          </w:rPr>
          <m:t>a</m:t>
        </m:r>
        <m:r>
          <m:rPr>
            <m:sty m:val="p"/>
          </m:rPr>
          <w:rPr>
            <w:rFonts w:ascii="Cambria Math" w:hAnsi="Cambria Math"/>
          </w:rPr>
          <m:t>=</m:t>
        </m:r>
        <m:d>
          <m:dPr>
            <m:ctrlPr>
              <w:rPr>
                <w:rFonts w:ascii="Cambria Math" w:hAnsi="Cambria Math"/>
                <w:szCs w:val="22"/>
              </w:rPr>
            </m:ctrlPr>
          </m:dPr>
          <m:e>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r>
                  <m:rPr/>
                  <w:rPr>
                    <w:rFonts w:ascii="Cambria Math" w:hAnsi="Cambria Math"/>
                  </w:rPr>
                  <m:t>y</m:t>
                </m:r>
                <m:ctrlPr>
                  <w:rPr>
                    <w:rFonts w:ascii="Cambria Math" w:hAnsi="Cambria Math"/>
                    <w:i/>
                    <w:szCs w:val="22"/>
                  </w:rPr>
                </m:ctrlPr>
              </m:e>
            </m:nary>
            <m:r>
              <m:rPr/>
              <w:rPr>
                <w:rFonts w:ascii="Cambria Math" w:hAnsi="Cambria Math"/>
              </w:rPr>
              <m:t>−b</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r>
                  <m:rPr/>
                  <w:rPr>
                    <w:rFonts w:ascii="Cambria Math" w:hAnsi="Cambria Math"/>
                  </w:rPr>
                  <m:t>x</m:t>
                </m:r>
                <m:ctrlPr>
                  <w:rPr>
                    <w:rFonts w:ascii="Cambria Math" w:hAnsi="Cambria Math"/>
                    <w:i/>
                    <w:szCs w:val="22"/>
                  </w:rPr>
                </m:ctrlPr>
              </m:e>
            </m:nary>
            <m:r>
              <m:rPr/>
              <w:rPr>
                <w:rFonts w:ascii="Cambria Math" w:hAnsi="Cambria Math"/>
              </w:rPr>
              <m:t>−c</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nary>
            <m:ctrlPr>
              <w:rPr>
                <w:rFonts w:ascii="Cambria Math" w:hAnsi="Cambria Math"/>
                <w:szCs w:val="22"/>
              </w:rPr>
            </m:ctrlPr>
          </m:e>
        </m:d>
        <m:r>
          <m:rPr/>
          <w:rPr>
            <w:rFonts w:ascii="Cambria Math" w:hAnsi="Cambria Math"/>
          </w:rPr>
          <m:t>/n</m:t>
        </m:r>
      </m:oMath>
      <w:r>
        <w:t xml:space="preserve">                 </w:t>
      </w:r>
      <w:r>
        <w:rPr>
          <w:rFonts w:hint="eastAsia"/>
        </w:rPr>
        <w:t xml:space="preserve">      </w:t>
      </w:r>
      <w:r>
        <w:t xml:space="preserve">                         </w:t>
      </w:r>
      <w:r>
        <w:rPr>
          <w:rFonts w:hint="eastAsia"/>
        </w:rPr>
        <w:t>（</w:t>
      </w:r>
      <w:r>
        <w:t>H.6</w:t>
      </w:r>
      <w:r>
        <w:rPr>
          <w:rFonts w:hint="eastAsia"/>
        </w:rPr>
        <w:t>）</w:t>
      </w:r>
    </w:p>
    <w:p>
      <w:pPr>
        <w:tabs>
          <w:tab w:val="left" w:pos="284"/>
          <w:tab w:val="left" w:pos="567"/>
        </w:tabs>
        <w:spacing w:before="156" w:beforeLines="50" w:after="156" w:afterLines="50"/>
        <w:ind w:firstLine="420" w:firstLineChars="200"/>
        <w:jc w:val="left"/>
      </w:pPr>
      <w:r>
        <w:rPr>
          <w:rFonts w:hint="eastAsia"/>
        </w:rPr>
        <w:t>为了检查方差比，确定回归线的显著程度，因子</w:t>
      </w:r>
      <w:r>
        <w:rPr>
          <w:i/>
        </w:rPr>
        <w:t>D</w:t>
      </w:r>
      <w:r>
        <w:rPr>
          <w:rFonts w:hint="eastAsia"/>
        </w:rPr>
        <w:t>用式（</w:t>
      </w:r>
      <w:r>
        <w:t>H.7</w:t>
      </w:r>
      <w:r>
        <w:rPr>
          <w:rFonts w:hint="eastAsia"/>
        </w:rPr>
        <w:t>）给出：</w:t>
      </w:r>
    </w:p>
    <w:p>
      <w:pPr>
        <w:tabs>
          <w:tab w:val="left" w:pos="284"/>
          <w:tab w:val="left" w:pos="567"/>
        </w:tabs>
        <w:spacing w:before="156" w:beforeLines="50" w:after="156" w:afterLines="50"/>
        <w:ind w:firstLine="420" w:firstLineChars="200"/>
        <w:jc w:val="left"/>
      </w:pPr>
      <m:oMath>
        <m:r>
          <m:rPr/>
          <w:rPr>
            <w:rFonts w:ascii="Cambria Math" w:hAnsi="Cambria Math"/>
          </w:rPr>
          <m:t>D</m:t>
        </m:r>
        <m:r>
          <m:rPr>
            <m:sty m:val="p"/>
          </m:rPr>
          <w:rPr>
            <w:rFonts w:ascii="Cambria Math" w:hAnsi="Cambria Math"/>
          </w:rPr>
          <m:t>=</m:t>
        </m:r>
        <m:r>
          <m:rPr/>
          <w:rPr>
            <w:rFonts w:ascii="Cambria Math" w:hAnsi="Cambria Math"/>
          </w:rPr>
          <m:t>b</m:t>
        </m:r>
        <m:sSub>
          <m:sSubPr>
            <m:ctrlPr>
              <w:rPr>
                <w:rFonts w:ascii="Cambria Math" w:hAnsi="Cambria Math"/>
                <w:szCs w:val="22"/>
              </w:rPr>
            </m:ctrlPr>
          </m:sSubPr>
          <m:e>
            <m:r>
              <m:rPr/>
              <w:rPr>
                <w:rFonts w:ascii="Cambria Math" w:hAnsi="Cambria Math"/>
              </w:rPr>
              <m:t>C</m:t>
            </m:r>
            <m:ctrlPr>
              <w:rPr>
                <w:rFonts w:ascii="Cambria Math" w:hAnsi="Cambria Math"/>
                <w:szCs w:val="22"/>
              </w:rPr>
            </m:ctrlPr>
          </m:e>
          <m:sub>
            <m:r>
              <m:rPr/>
              <w:rPr>
                <w:rFonts w:ascii="Cambria Math" w:hAnsi="Cambria Math"/>
              </w:rPr>
              <m:t>y1</m:t>
            </m:r>
            <m:ctrlPr>
              <w:rPr>
                <w:rFonts w:ascii="Cambria Math" w:hAnsi="Cambria Math"/>
                <w:szCs w:val="22"/>
              </w:rPr>
            </m:ctrlPr>
          </m:sub>
        </m:sSub>
        <m:r>
          <m:rPr/>
          <w:rPr>
            <w:rFonts w:ascii="Cambria Math" w:hAnsi="Cambria Math"/>
          </w:rPr>
          <m:t>+c</m:t>
        </m:r>
        <m:sSup>
          <m:sSupPr>
            <m:ctrlPr>
              <w:rPr>
                <w:rFonts w:ascii="Cambria Math" w:hAnsi="Cambria Math"/>
                <w:i/>
                <w:szCs w:val="22"/>
              </w:rPr>
            </m:ctrlPr>
          </m:sSupPr>
          <m:e>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y</m:t>
                </m:r>
                <m:ctrlPr>
                  <w:rPr>
                    <w:rFonts w:ascii="Cambria Math" w:hAnsi="Cambria Math"/>
                    <w:i/>
                    <w:szCs w:val="22"/>
                  </w:rPr>
                </m:ctrlPr>
              </m:sub>
            </m:sSub>
            <m:ctrlPr>
              <w:rPr>
                <w:rFonts w:ascii="Cambria Math" w:hAnsi="Cambria Math"/>
                <w:i/>
                <w:szCs w:val="22"/>
              </w:rPr>
            </m:ctrlPr>
          </m:e>
          <m:sup>
            <m:r>
              <m:rPr/>
              <w:rPr>
                <w:rFonts w:ascii="Cambria Math" w:hAnsi="Cambria Math"/>
              </w:rPr>
              <m:t>2</m:t>
            </m:r>
            <m:ctrlPr>
              <w:rPr>
                <w:rFonts w:ascii="Cambria Math" w:hAnsi="Cambria Math"/>
                <w:i/>
                <w:szCs w:val="22"/>
              </w:rPr>
            </m:ctrlPr>
          </m:sup>
        </m:sSup>
      </m:oMath>
      <w:r>
        <w:t xml:space="preserve">                             </w:t>
      </w:r>
      <w:r>
        <w:rPr>
          <w:rFonts w:hint="eastAsia"/>
        </w:rPr>
        <w:t xml:space="preserve">      </w:t>
      </w:r>
      <w:r>
        <w:t xml:space="preserve">                       </w:t>
      </w:r>
      <w:r>
        <w:rPr>
          <w:rFonts w:hint="eastAsia"/>
        </w:rPr>
        <w:t>（</w:t>
      </w:r>
      <w:r>
        <w:t>H.7</w:t>
      </w:r>
      <w:r>
        <w:rPr>
          <w:rFonts w:hint="eastAsia"/>
        </w:rPr>
        <w:t>）</w:t>
      </w:r>
    </w:p>
    <w:p>
      <w:pPr>
        <w:tabs>
          <w:tab w:val="left" w:pos="284"/>
          <w:tab w:val="left" w:pos="567"/>
        </w:tabs>
        <w:spacing w:before="156" w:beforeLines="50" w:after="156" w:afterLines="50"/>
        <w:ind w:firstLine="420" w:firstLineChars="200"/>
        <w:jc w:val="left"/>
      </w:pPr>
      <w:r>
        <w:rPr>
          <w:rFonts w:hint="eastAsia"/>
        </w:rPr>
        <w:t>且，</w:t>
      </w:r>
      <w:r>
        <w:rPr>
          <w:i/>
        </w:rPr>
        <w:t>F</w:t>
      </w:r>
      <w:r>
        <w:rPr>
          <w:rFonts w:hint="eastAsia"/>
        </w:rPr>
        <w:t>比如下计算：</w:t>
      </w:r>
    </w:p>
    <w:p>
      <w:pPr>
        <w:tabs>
          <w:tab w:val="left" w:pos="284"/>
          <w:tab w:val="left" w:pos="567"/>
        </w:tabs>
        <w:spacing w:before="156" w:beforeLines="50" w:after="156" w:afterLines="50"/>
        <w:ind w:firstLine="420" w:firstLineChars="200"/>
        <w:jc w:val="left"/>
      </w:pPr>
      <m:oMath>
        <m:sSub>
          <m:sSubPr>
            <m:ctrlPr>
              <w:rPr>
                <w:rFonts w:ascii="Cambria Math" w:hAnsi="Cambria Math"/>
                <w:szCs w:val="22"/>
              </w:rPr>
            </m:ctrlPr>
          </m:sSubPr>
          <m:e>
            <m:r>
              <m:rPr/>
              <w:rPr>
                <w:rFonts w:ascii="Cambria Math" w:hAnsi="Cambria Math"/>
              </w:rPr>
              <m:t>F</m:t>
            </m:r>
            <m:ctrlPr>
              <w:rPr>
                <w:rFonts w:ascii="Cambria Math" w:hAnsi="Cambria Math"/>
                <w:szCs w:val="22"/>
              </w:rPr>
            </m:ctrlPr>
          </m:e>
          <m:sub>
            <m:r>
              <m:rPr/>
              <w:rPr>
                <w:rFonts w:ascii="Cambria Math" w:hAnsi="Cambria Math"/>
              </w:rPr>
              <m:t>r</m:t>
            </m:r>
            <m:ctrlPr>
              <w:rPr>
                <w:rFonts w:ascii="Cambria Math" w:hAnsi="Cambria Math"/>
                <w:szCs w:val="22"/>
              </w:rPr>
            </m:ctrlPr>
          </m:sub>
        </m:sSub>
        <m:r>
          <m:rPr/>
          <w:rPr>
            <w:rFonts w:ascii="Cambria Math" w:hAnsi="Cambria Math"/>
          </w:rPr>
          <m:t>=</m:t>
        </m:r>
        <m:f>
          <m:fPr>
            <m:ctrlPr>
              <w:rPr>
                <w:rFonts w:ascii="Cambria Math" w:hAnsi="Cambria Math"/>
                <w:i/>
                <w:szCs w:val="22"/>
              </w:rPr>
            </m:ctrlPr>
          </m:fPr>
          <m:num>
            <m:r>
              <m:rPr/>
              <w:rPr>
                <w:rFonts w:ascii="Cambria Math" w:hAnsi="Cambria Math"/>
              </w:rPr>
              <m:t>D</m:t>
            </m:r>
            <m:ctrlPr>
              <w:rPr>
                <w:rFonts w:ascii="Cambria Math" w:hAnsi="Cambria Math"/>
                <w:i/>
                <w:szCs w:val="22"/>
              </w:rPr>
            </m:ctrlPr>
          </m:num>
          <m:den>
            <m:r>
              <m:rPr/>
              <w:rPr>
                <w:rFonts w:ascii="Cambria Math" w:hAnsi="Cambria Math"/>
              </w:rPr>
              <m:t>2</m:t>
            </m:r>
            <m:ctrlPr>
              <w:rPr>
                <w:rFonts w:ascii="Cambria Math" w:hAnsi="Cambria Math"/>
                <w:i/>
                <w:szCs w:val="22"/>
              </w:rPr>
            </m:ctrlPr>
          </m:den>
        </m:f>
        <m:r>
          <m:rPr/>
          <w:rPr>
            <w:rFonts w:ascii="Cambria Math" w:hAnsi="Cambria Math"/>
          </w:rPr>
          <m:t>×</m:t>
        </m:r>
        <m:f>
          <m:fPr>
            <m:ctrlPr>
              <w:rPr>
                <w:rFonts w:ascii="Cambria Math" w:hAnsi="Cambria Math"/>
                <w:i/>
                <w:szCs w:val="22"/>
              </w:rPr>
            </m:ctrlPr>
          </m:fPr>
          <m:num>
            <m:r>
              <m:rPr/>
              <w:rPr>
                <w:rFonts w:ascii="Cambria Math" w:hAnsi="Cambria Math"/>
              </w:rPr>
              <m:t>n−3</m:t>
            </m:r>
            <m:ctrlPr>
              <w:rPr>
                <w:rFonts w:ascii="Cambria Math" w:hAnsi="Cambria Math"/>
                <w:i/>
                <w:szCs w:val="22"/>
              </w:rPr>
            </m:ctrlPr>
          </m:num>
          <m:den>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yy</m:t>
                </m:r>
                <m:ctrlPr>
                  <w:rPr>
                    <w:rFonts w:ascii="Cambria Math" w:hAnsi="Cambria Math"/>
                    <w:i/>
                    <w:szCs w:val="22"/>
                  </w:rPr>
                </m:ctrlPr>
              </m:sub>
            </m:sSub>
            <m:r>
              <m:rPr/>
              <w:rPr>
                <w:rFonts w:ascii="Cambria Math" w:hAnsi="Cambria Math"/>
              </w:rPr>
              <m:t>−D</m:t>
            </m:r>
            <m:ctrlPr>
              <w:rPr>
                <w:rFonts w:ascii="Cambria Math" w:hAnsi="Cambria Math"/>
                <w:i/>
                <w:szCs w:val="22"/>
              </w:rPr>
            </m:ctrlPr>
          </m:den>
        </m:f>
      </m:oMath>
      <w:r>
        <w:t xml:space="preserve">                               </w:t>
      </w:r>
      <w:r>
        <w:rPr>
          <w:rFonts w:hint="eastAsia"/>
        </w:rPr>
        <w:t xml:space="preserve">      </w:t>
      </w:r>
      <w:r>
        <w:t xml:space="preserve">                       </w:t>
      </w:r>
      <w:r>
        <w:rPr>
          <w:rFonts w:hint="eastAsia"/>
        </w:rPr>
        <w:t>（</w:t>
      </w:r>
      <w:r>
        <w:t>H.8</w:t>
      </w:r>
      <w:r>
        <w:rPr>
          <w:rFonts w:hint="eastAsia"/>
        </w:rPr>
        <w:t>）</w:t>
      </w:r>
    </w:p>
    <w:p>
      <w:pPr>
        <w:pStyle w:val="102"/>
        <w:spacing w:before="312" w:after="312"/>
      </w:pPr>
      <w:bookmarkStart w:id="303" w:name="_Toc124173994"/>
      <w:r>
        <w:rPr>
          <w:rFonts w:hint="eastAsia"/>
        </w:rPr>
        <w:t>三次最小二乘回归分析</w:t>
      </w:r>
      <w:bookmarkEnd w:id="303"/>
    </w:p>
    <w:p>
      <w:pPr>
        <w:tabs>
          <w:tab w:val="left" w:pos="284"/>
          <w:tab w:val="left" w:pos="567"/>
        </w:tabs>
        <w:spacing w:before="156" w:beforeLines="50" w:after="156" w:afterLines="50"/>
        <w:ind w:firstLine="420" w:firstLineChars="200"/>
        <w:jc w:val="left"/>
      </w:pPr>
      <w:r>
        <w:rPr>
          <w:rFonts w:hint="eastAsia"/>
        </w:rPr>
        <w:t>计算线性和二次函数情况下的因子</w:t>
      </w:r>
      <w:r>
        <w:rPr>
          <w:i/>
        </w:rPr>
        <w:t>C</w:t>
      </w:r>
      <w:r>
        <w:rPr>
          <w:vertAlign w:val="subscript"/>
        </w:rPr>
        <w:t>11</w:t>
      </w:r>
      <w:r>
        <w:rPr>
          <w:rFonts w:hint="eastAsia"/>
        </w:rPr>
        <w:t>、</w:t>
      </w:r>
      <w:r>
        <w:rPr>
          <w:i/>
        </w:rPr>
        <w:t>C</w:t>
      </w:r>
      <w:r>
        <w:rPr>
          <w:vertAlign w:val="subscript"/>
        </w:rPr>
        <w:t>22</w:t>
      </w:r>
      <w:r>
        <w:rPr>
          <w:rFonts w:hint="eastAsia"/>
        </w:rPr>
        <w:t>、</w:t>
      </w:r>
      <w:r>
        <w:rPr>
          <w:i/>
        </w:rPr>
        <w:t>C</w:t>
      </w:r>
      <w:r>
        <w:rPr>
          <w:vertAlign w:val="subscript"/>
        </w:rPr>
        <w:t>12</w:t>
      </w:r>
      <w:r>
        <w:rPr>
          <w:rFonts w:hint="eastAsia"/>
        </w:rPr>
        <w:t>、</w:t>
      </w:r>
      <w:r>
        <w:rPr>
          <w:i/>
        </w:rPr>
        <w:t>C</w:t>
      </w:r>
      <w:r>
        <w:rPr>
          <w:vertAlign w:val="subscript"/>
        </w:rPr>
        <w:t>yy</w:t>
      </w:r>
      <w:r>
        <w:rPr>
          <w:rFonts w:hint="eastAsia"/>
        </w:rPr>
        <w:t>、</w:t>
      </w:r>
      <w:r>
        <w:rPr>
          <w:i/>
        </w:rPr>
        <w:t>C</w:t>
      </w:r>
      <w:r>
        <w:rPr>
          <w:vertAlign w:val="subscript"/>
        </w:rPr>
        <w:t>y1</w:t>
      </w:r>
      <w:r>
        <w:rPr>
          <w:rFonts w:hint="eastAsia"/>
        </w:rPr>
        <w:t>和</w:t>
      </w:r>
      <w:r>
        <w:rPr>
          <w:i/>
        </w:rPr>
        <w:t>C</w:t>
      </w:r>
      <w:r>
        <w:rPr>
          <w:vertAlign w:val="subscript"/>
        </w:rPr>
        <w:t>y2</w:t>
      </w:r>
      <w:r>
        <w:rPr>
          <w:rFonts w:hint="eastAsia"/>
        </w:rPr>
        <w:t>，然后计算下列因子：</w:t>
      </w:r>
    </w:p>
    <w:p>
      <w:pPr>
        <w:tabs>
          <w:tab w:val="left" w:pos="284"/>
          <w:tab w:val="left" w:pos="567"/>
        </w:tabs>
        <w:spacing w:before="156" w:beforeLines="50" w:after="156" w:afterLines="50"/>
        <w:ind w:firstLine="420" w:firstLineChars="200"/>
        <w:jc w:val="left"/>
      </w:pPr>
      <m:oMath>
        <m:sSub>
          <m:sSubPr>
            <m:ctrlPr>
              <w:rPr>
                <w:rFonts w:ascii="Cambria Math" w:hAnsi="Cambria Math"/>
                <w:szCs w:val="22"/>
              </w:rPr>
            </m:ctrlPr>
          </m:sSubPr>
          <m:e>
            <m:r>
              <m:rPr/>
              <w:rPr>
                <w:rFonts w:ascii="Cambria Math" w:hAnsi="Cambria Math"/>
              </w:rPr>
              <m:t>C</m:t>
            </m:r>
            <m:ctrlPr>
              <w:rPr>
                <w:rFonts w:ascii="Cambria Math" w:hAnsi="Cambria Math"/>
                <w:szCs w:val="22"/>
              </w:rPr>
            </m:ctrlPr>
          </m:e>
          <m:sub>
            <m:r>
              <m:rPr/>
              <w:rPr>
                <w:rFonts w:ascii="Cambria Math" w:hAnsi="Cambria Math"/>
              </w:rPr>
              <m:t>33</m:t>
            </m:r>
            <m:ctrlPr>
              <w:rPr>
                <w:rFonts w:ascii="Cambria Math" w:hAnsi="Cambria Math"/>
                <w:szCs w:val="22"/>
              </w:rPr>
            </m:ctrlPr>
          </m:sub>
        </m:sSub>
        <m:r>
          <m:rPr/>
          <w:rPr>
            <w:rFonts w:ascii="Cambria Math" w:hAnsi="Cambria Math"/>
          </w:rPr>
          <m:t>=</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6</m:t>
                </m:r>
                <m:ctrlPr>
                  <w:rPr>
                    <w:rFonts w:ascii="Cambria Math" w:hAnsi="Cambria Math"/>
                    <w:i/>
                    <w:szCs w:val="22"/>
                  </w:rPr>
                </m:ctrlPr>
              </m:sup>
            </m:sSup>
            <m:ctrlPr>
              <w:rPr>
                <w:rFonts w:ascii="Cambria Math" w:hAnsi="Cambria Math"/>
                <w:i/>
                <w:szCs w:val="22"/>
              </w:rPr>
            </m:ctrlPr>
          </m:e>
        </m:nary>
        <m:r>
          <m:rPr/>
          <w:rPr>
            <w:rFonts w:ascii="Cambria Math" w:hAnsi="Cambria Math"/>
          </w:rPr>
          <m:t>−</m:t>
        </m:r>
        <m:sSup>
          <m:sSupPr>
            <m:ctrlPr>
              <w:rPr>
                <w:rFonts w:ascii="Cambria Math" w:hAnsi="Cambria Math"/>
                <w:i/>
                <w:szCs w:val="22"/>
              </w:rPr>
            </m:ctrlPr>
          </m:sSupPr>
          <m:e>
            <m:d>
              <m:dPr>
                <m:ctrlPr>
                  <w:rPr>
                    <w:rFonts w:ascii="Cambria Math" w:hAnsi="Cambria Math"/>
                    <w:i/>
                    <w:szCs w:val="22"/>
                  </w:rPr>
                </m:ctrlPr>
              </m:dPr>
              <m:e>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3</m:t>
                        </m:r>
                        <m:ctrlPr>
                          <w:rPr>
                            <w:rFonts w:ascii="Cambria Math" w:hAnsi="Cambria Math"/>
                            <w:i/>
                            <w:szCs w:val="22"/>
                          </w:rPr>
                        </m:ctrlPr>
                      </m:sup>
                    </m:sSup>
                    <m:ctrlPr>
                      <w:rPr>
                        <w:rFonts w:ascii="Cambria Math" w:hAnsi="Cambria Math"/>
                        <w:i/>
                        <w:szCs w:val="22"/>
                      </w:rPr>
                    </m:ctrlPr>
                  </m:e>
                </m:nary>
                <m:ctrlPr>
                  <w:rPr>
                    <w:rFonts w:ascii="Cambria Math" w:hAnsi="Cambria Math"/>
                    <w:i/>
                    <w:szCs w:val="22"/>
                  </w:rPr>
                </m:ctrlPr>
              </m:e>
            </m:d>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/n</m:t>
        </m:r>
      </m:oMath>
      <w:r>
        <w:t xml:space="preserve">                    </w:t>
      </w:r>
      <w:r>
        <w:rPr>
          <w:rFonts w:hint="eastAsia"/>
        </w:rPr>
        <w:t xml:space="preserve">      </w:t>
      </w:r>
      <w:r>
        <w:t xml:space="preserve">                         </w:t>
      </w:r>
      <w:r>
        <w:rPr>
          <w:rFonts w:hint="eastAsia"/>
        </w:rPr>
        <w:t>（</w:t>
      </w:r>
      <w:r>
        <w:t>H.9</w:t>
      </w:r>
      <w:r>
        <w:rPr>
          <w:rFonts w:hint="eastAsia"/>
        </w:rPr>
        <w:t>）</w:t>
      </w:r>
    </w:p>
    <w:p>
      <w:pPr>
        <w:tabs>
          <w:tab w:val="left" w:pos="284"/>
          <w:tab w:val="left" w:pos="567"/>
        </w:tabs>
        <w:spacing w:before="156" w:beforeLines="50" w:after="156" w:afterLines="50"/>
        <w:ind w:firstLine="420" w:firstLineChars="200"/>
        <w:jc w:val="left"/>
      </w:pPr>
      <m:oMath>
        <m:sSub>
          <m:sSubPr>
            <m:ctrlPr>
              <w:rPr>
                <w:rFonts w:ascii="Cambria Math" w:hAnsi="Cambria Math"/>
                <w:szCs w:val="22"/>
              </w:rPr>
            </m:ctrlPr>
          </m:sSubPr>
          <m:e>
            <m:r>
              <m:rPr/>
              <w:rPr>
                <w:rFonts w:ascii="Cambria Math" w:hAnsi="Cambria Math"/>
              </w:rPr>
              <m:t>C</m:t>
            </m:r>
            <m:ctrlPr>
              <w:rPr>
                <w:rFonts w:ascii="Cambria Math" w:hAnsi="Cambria Math"/>
                <w:szCs w:val="22"/>
              </w:rPr>
            </m:ctrlPr>
          </m:e>
          <m:sub>
            <m:r>
              <m:rPr/>
              <w:rPr>
                <w:rFonts w:ascii="Cambria Math" w:hAnsi="Cambria Math"/>
              </w:rPr>
              <m:t>13</m:t>
            </m:r>
            <m:ctrlPr>
              <w:rPr>
                <w:rFonts w:ascii="Cambria Math" w:hAnsi="Cambria Math"/>
                <w:szCs w:val="22"/>
              </w:rPr>
            </m:ctrlPr>
          </m:sub>
        </m:sSub>
        <m:r>
          <m:rPr/>
          <w:rPr>
            <w:rFonts w:ascii="Cambria Math" w:hAnsi="Cambria Math"/>
          </w:rPr>
          <m:t>=</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4</m:t>
                </m:r>
                <m:ctrlPr>
                  <w:rPr>
                    <w:rFonts w:ascii="Cambria Math" w:hAnsi="Cambria Math"/>
                    <w:i/>
                    <w:szCs w:val="22"/>
                  </w:rPr>
                </m:ctrlPr>
              </m:sup>
            </m:sSup>
            <m:ctrlPr>
              <w:rPr>
                <w:rFonts w:ascii="Cambria Math" w:hAnsi="Cambria Math"/>
                <w:i/>
                <w:szCs w:val="22"/>
              </w:rPr>
            </m:ctrlPr>
          </m:e>
        </m:nary>
        <m:r>
          <m:rPr/>
          <w:rPr>
            <w:rFonts w:ascii="Cambria Math" w:hAnsi="Cambria Math"/>
          </w:rPr>
          <m:t>−</m:t>
        </m:r>
        <m:sSup>
          <m:sSupPr>
            <m:ctrlPr>
              <w:rPr>
                <w:rFonts w:ascii="Cambria Math" w:hAnsi="Cambria Math"/>
                <w:i/>
                <w:szCs w:val="22"/>
              </w:rPr>
            </m:ctrlPr>
          </m:sSupPr>
          <m:e>
            <m:d>
              <m:dPr>
                <m:ctrlPr>
                  <w:rPr>
                    <w:rFonts w:ascii="Cambria Math" w:hAnsi="Cambria Math"/>
                    <w:i/>
                    <w:szCs w:val="22"/>
                  </w:rPr>
                </m:ctrlPr>
              </m:dPr>
              <m:e>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r>
                      <m:rPr/>
                      <w:rPr>
                        <w:rFonts w:ascii="Cambria Math" w:hAnsi="Cambria Math"/>
                      </w:rPr>
                      <m:t>x</m:t>
                    </m:r>
                    <m:ctrlPr>
                      <w:rPr>
                        <w:rFonts w:ascii="Cambria Math" w:hAnsi="Cambria Math"/>
                        <w:i/>
                        <w:szCs w:val="22"/>
                      </w:rPr>
                    </m:ctrlPr>
                  </m:e>
                </m:nary>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3</m:t>
                        </m:r>
                        <m:ctrlPr>
                          <w:rPr>
                            <w:rFonts w:ascii="Cambria Math" w:hAnsi="Cambria Math"/>
                            <w:i/>
                            <w:szCs w:val="22"/>
                          </w:rPr>
                        </m:ctrlPr>
                      </m:sup>
                    </m:sSup>
                    <m:ctrlPr>
                      <w:rPr>
                        <w:rFonts w:ascii="Cambria Math" w:hAnsi="Cambria Math"/>
                        <w:i/>
                        <w:szCs w:val="22"/>
                      </w:rPr>
                    </m:ctrlPr>
                  </m:e>
                </m:nary>
                <m:ctrlPr>
                  <w:rPr>
                    <w:rFonts w:ascii="Cambria Math" w:hAnsi="Cambria Math"/>
                    <w:i/>
                    <w:szCs w:val="22"/>
                  </w:rPr>
                </m:ctrlPr>
              </m:e>
            </m:d>
            <m:ctrlPr>
              <w:rPr>
                <w:rFonts w:ascii="Cambria Math" w:hAnsi="Cambria Math"/>
                <w:i/>
                <w:szCs w:val="22"/>
              </w:rPr>
            </m:ctrlPr>
          </m:e>
          <m:sup>
            <m:r>
              <m:rPr/>
              <w:rPr>
                <w:rFonts w:ascii="Cambria Math" w:hAnsi="Cambria Math"/>
              </w:rPr>
              <m:t>2</m:t>
            </m:r>
            <m:ctrlPr>
              <w:rPr>
                <w:rFonts w:ascii="Cambria Math" w:hAnsi="Cambria Math"/>
                <w:i/>
                <w:szCs w:val="22"/>
              </w:rPr>
            </m:ctrlPr>
          </m:sup>
        </m:sSup>
        <m:r>
          <m:rPr/>
          <w:rPr>
            <w:rFonts w:ascii="Cambria Math" w:hAnsi="Cambria Math"/>
          </w:rPr>
          <m:t>/n</m:t>
        </m:r>
      </m:oMath>
      <w:r>
        <w:t xml:space="preserve">                </w:t>
      </w:r>
      <w:r>
        <w:rPr>
          <w:rFonts w:hint="eastAsia"/>
        </w:rPr>
        <w:t xml:space="preserve">      </w:t>
      </w:r>
      <w:r>
        <w:t xml:space="preserve">                          </w:t>
      </w:r>
      <w:r>
        <w:rPr>
          <w:rFonts w:hint="eastAsia"/>
        </w:rPr>
        <w:t>（</w:t>
      </w:r>
      <w:r>
        <w:t>H.10</w:t>
      </w:r>
      <w:r>
        <w:rPr>
          <w:rFonts w:hint="eastAsia"/>
        </w:rPr>
        <w:t>）</w:t>
      </w:r>
    </w:p>
    <w:p>
      <w:pPr>
        <w:tabs>
          <w:tab w:val="left" w:pos="284"/>
          <w:tab w:val="left" w:pos="567"/>
        </w:tabs>
        <w:spacing w:before="156" w:beforeLines="50" w:after="156" w:afterLines="50"/>
        <w:ind w:firstLine="420" w:firstLineChars="200"/>
        <w:jc w:val="left"/>
      </w:pPr>
      <m:oMath>
        <m:sSub>
          <m:sSubPr>
            <m:ctrlPr>
              <w:rPr>
                <w:rFonts w:ascii="Cambria Math" w:hAnsi="Cambria Math"/>
                <w:szCs w:val="22"/>
              </w:rPr>
            </m:ctrlPr>
          </m:sSubPr>
          <m:e>
            <m:r>
              <m:rPr/>
              <w:rPr>
                <w:rFonts w:ascii="Cambria Math" w:hAnsi="Cambria Math"/>
              </w:rPr>
              <m:t>C</m:t>
            </m:r>
            <m:ctrlPr>
              <w:rPr>
                <w:rFonts w:ascii="Cambria Math" w:hAnsi="Cambria Math"/>
                <w:szCs w:val="22"/>
              </w:rPr>
            </m:ctrlPr>
          </m:e>
          <m:sub>
            <m:r>
              <m:rPr/>
              <w:rPr>
                <w:rFonts w:ascii="Cambria Math" w:hAnsi="Cambria Math"/>
              </w:rPr>
              <m:t>23</m:t>
            </m:r>
            <m:ctrlPr>
              <w:rPr>
                <w:rFonts w:ascii="Cambria Math" w:hAnsi="Cambria Math"/>
                <w:szCs w:val="22"/>
              </w:rPr>
            </m:ctrlPr>
          </m:sub>
        </m:sSub>
        <m:r>
          <m:rPr/>
          <w:rPr>
            <w:rFonts w:ascii="Cambria Math" w:hAnsi="Cambria Math"/>
          </w:rPr>
          <m:t>=</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5</m:t>
                </m:r>
                <m:ctrlPr>
                  <w:rPr>
                    <w:rFonts w:ascii="Cambria Math" w:hAnsi="Cambria Math"/>
                    <w:i/>
                    <w:szCs w:val="22"/>
                  </w:rPr>
                </m:ctrlPr>
              </m:sup>
            </m:sSup>
            <m:ctrlPr>
              <w:rPr>
                <w:rFonts w:ascii="Cambria Math" w:hAnsi="Cambria Math"/>
                <w:i/>
                <w:szCs w:val="22"/>
              </w:rPr>
            </m:ctrlPr>
          </m:e>
        </m:nary>
        <m:r>
          <m:rPr/>
          <w:rPr>
            <w:rFonts w:ascii="Cambria Math" w:hAnsi="Cambria Math"/>
          </w:rPr>
          <m:t>−</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2</m:t>
                </m:r>
                <m:ctrlPr>
                  <w:rPr>
                    <w:rFonts w:ascii="Cambria Math" w:hAnsi="Cambria Math"/>
                    <w:i/>
                    <w:szCs w:val="22"/>
                  </w:rPr>
                </m:ctrlPr>
              </m:sup>
            </m:sSup>
            <m:ctrlPr>
              <w:rPr>
                <w:rFonts w:ascii="Cambria Math" w:hAnsi="Cambria Math"/>
                <w:i/>
                <w:szCs w:val="22"/>
              </w:rPr>
            </m:ctrlPr>
          </m:e>
        </m:nary>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3</m:t>
                </m:r>
                <m:ctrlPr>
                  <w:rPr>
                    <w:rFonts w:ascii="Cambria Math" w:hAnsi="Cambria Math"/>
                    <w:i/>
                    <w:szCs w:val="22"/>
                  </w:rPr>
                </m:ctrlPr>
              </m:sup>
            </m:sSup>
            <m:ctrlPr>
              <w:rPr>
                <w:rFonts w:ascii="Cambria Math" w:hAnsi="Cambria Math"/>
                <w:i/>
                <w:szCs w:val="22"/>
              </w:rPr>
            </m:ctrlPr>
          </m:e>
        </m:nary>
        <m:r>
          <m:rPr/>
          <w:rPr>
            <w:rFonts w:ascii="Cambria Math" w:hAnsi="Cambria Math"/>
          </w:rPr>
          <m:t>/n</m:t>
        </m:r>
      </m:oMath>
      <w:r>
        <w:t xml:space="preserve">                  </w:t>
      </w:r>
      <w:r>
        <w:rPr>
          <w:rFonts w:hint="eastAsia"/>
        </w:rPr>
        <w:t xml:space="preserve">      </w:t>
      </w:r>
      <w:r>
        <w:t xml:space="preserve">                         </w:t>
      </w:r>
      <w:r>
        <w:rPr>
          <w:rFonts w:hint="eastAsia"/>
        </w:rPr>
        <w:t>（</w:t>
      </w:r>
      <w:r>
        <w:t>H.11</w:t>
      </w:r>
      <w:r>
        <w:rPr>
          <w:rFonts w:hint="eastAsia"/>
        </w:rPr>
        <w:t>）</w:t>
      </w:r>
    </w:p>
    <w:p>
      <w:pPr>
        <w:tabs>
          <w:tab w:val="left" w:pos="284"/>
          <w:tab w:val="left" w:pos="567"/>
        </w:tabs>
        <w:spacing w:before="156" w:beforeLines="50" w:after="156" w:afterLines="50"/>
        <w:ind w:firstLine="420" w:firstLineChars="200"/>
        <w:jc w:val="left"/>
      </w:pPr>
      <m:oMath>
        <m:sSub>
          <m:sSubPr>
            <m:ctrlPr>
              <w:rPr>
                <w:rFonts w:ascii="Cambria Math" w:hAnsi="Cambria Math"/>
                <w:szCs w:val="22"/>
              </w:rPr>
            </m:ctrlPr>
          </m:sSubPr>
          <m:e>
            <m:r>
              <m:rPr/>
              <w:rPr>
                <w:rFonts w:ascii="Cambria Math" w:hAnsi="Cambria Math"/>
              </w:rPr>
              <m:t>C</m:t>
            </m:r>
            <m:ctrlPr>
              <w:rPr>
                <w:rFonts w:ascii="Cambria Math" w:hAnsi="Cambria Math"/>
                <w:szCs w:val="22"/>
              </w:rPr>
            </m:ctrlPr>
          </m:e>
          <m:sub>
            <m:r>
              <m:rPr/>
              <w:rPr>
                <w:rFonts w:ascii="Cambria Math" w:hAnsi="Cambria Math"/>
              </w:rPr>
              <m:t>y3</m:t>
            </m:r>
            <m:ctrlPr>
              <w:rPr>
                <w:rFonts w:ascii="Cambria Math" w:hAnsi="Cambria Math"/>
                <w:szCs w:val="22"/>
              </w:rPr>
            </m:ctrlPr>
          </m:sub>
        </m:sSub>
        <m:r>
          <m:rPr/>
          <w:rPr>
            <w:rFonts w:ascii="Cambria Math" w:hAnsi="Cambria Math"/>
          </w:rPr>
          <m:t>=</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r>
              <m:rPr/>
              <w:rPr>
                <w:rFonts w:ascii="Cambria Math" w:hAnsi="Cambria Math"/>
              </w:rPr>
              <m:t>(</m:t>
            </m:r>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3</m:t>
                </m:r>
                <m:ctrlPr>
                  <w:rPr>
                    <w:rFonts w:ascii="Cambria Math" w:hAnsi="Cambria Math"/>
                    <w:i/>
                    <w:szCs w:val="22"/>
                  </w:rPr>
                </m:ctrlPr>
              </m:sup>
            </m:sSup>
            <m:ctrlPr>
              <w:rPr>
                <w:rFonts w:ascii="Cambria Math" w:hAnsi="Cambria Math"/>
                <w:i/>
                <w:szCs w:val="22"/>
              </w:rPr>
            </m:ctrlPr>
          </m:e>
        </m:nary>
        <m:r>
          <m:rPr/>
          <w:rPr>
            <w:rFonts w:ascii="Cambria Math" w:hAnsi="Cambria Math"/>
          </w:rPr>
          <m:t>y)−</m:t>
        </m:r>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r>
              <m:rPr/>
              <w:rPr>
                <w:rFonts w:ascii="Cambria Math" w:hAnsi="Cambria Math"/>
              </w:rPr>
              <m:t>y</m:t>
            </m:r>
            <m:ctrlPr>
              <w:rPr>
                <w:rFonts w:ascii="Cambria Math" w:hAnsi="Cambria Math"/>
                <w:i/>
                <w:szCs w:val="22"/>
              </w:rPr>
            </m:ctrlPr>
          </m:e>
        </m:nary>
        <m:nary>
          <m:naryPr>
            <m:chr m:val="∑"/>
            <m:limLoc m:val="undOvr"/>
            <m:subHide m:val="1"/>
            <m:supHide m:val="1"/>
            <m:ctrlPr>
              <w:rPr>
                <w:rFonts w:ascii="Cambria Math" w:hAnsi="Cambria Math"/>
                <w:i/>
                <w:szCs w:val="22"/>
              </w:rPr>
            </m:ctrlPr>
          </m:naryPr>
          <m:sub>
            <m:ctrlPr>
              <w:rPr>
                <w:rFonts w:ascii="Cambria Math" w:hAnsi="Cambria Math"/>
                <w:i/>
                <w:szCs w:val="22"/>
              </w:rPr>
            </m:ctrlPr>
          </m:sub>
          <m:sup>
            <m:ctrlPr>
              <w:rPr>
                <w:rFonts w:ascii="Cambria Math" w:hAnsi="Cambria Math"/>
                <w:i/>
                <w:szCs w:val="22"/>
              </w:rPr>
            </m:ctrlPr>
          </m:sup>
          <m:e>
            <m:sSup>
              <m:sSupPr>
                <m:ctrlPr>
                  <w:rPr>
                    <w:rFonts w:ascii="Cambria Math" w:hAnsi="Cambria Math"/>
                    <w:i/>
                    <w:szCs w:val="22"/>
                  </w:rPr>
                </m:ctrlPr>
              </m:sSupPr>
              <m:e>
                <m:r>
                  <m:rPr/>
                  <w:rPr>
                    <w:rFonts w:ascii="Cambria Math" w:hAnsi="Cambria Math"/>
                  </w:rPr>
                  <m:t>x</m:t>
                </m:r>
                <m:ctrlPr>
                  <w:rPr>
                    <w:rFonts w:ascii="Cambria Math" w:hAnsi="Cambria Math"/>
                    <w:i/>
                    <w:szCs w:val="22"/>
                  </w:rPr>
                </m:ctrlPr>
              </m:e>
              <m:sup>
                <m:r>
                  <m:rPr/>
                  <w:rPr>
                    <w:rFonts w:ascii="Cambria Math" w:hAnsi="Cambria Math"/>
                  </w:rPr>
                  <m:t>3</m:t>
                </m:r>
                <m:ctrlPr>
                  <w:rPr>
                    <w:rFonts w:ascii="Cambria Math" w:hAnsi="Cambria Math"/>
                    <w:i/>
                    <w:szCs w:val="22"/>
                  </w:rPr>
                </m:ctrlPr>
              </m:sup>
            </m:sSup>
            <m:ctrlPr>
              <w:rPr>
                <w:rFonts w:ascii="Cambria Math" w:hAnsi="Cambria Math"/>
                <w:i/>
                <w:szCs w:val="22"/>
              </w:rPr>
            </m:ctrlPr>
          </m:e>
        </m:nary>
        <m:r>
          <m:rPr/>
          <w:rPr>
            <w:rFonts w:ascii="Cambria Math" w:hAnsi="Cambria Math"/>
          </w:rPr>
          <m:t>/n</m:t>
        </m:r>
      </m:oMath>
      <w:r>
        <w:t xml:space="preserve">                </w:t>
      </w:r>
      <w:r>
        <w:rPr>
          <w:rFonts w:hint="eastAsia"/>
        </w:rPr>
        <w:t xml:space="preserve">      </w:t>
      </w:r>
      <w:r>
        <w:t xml:space="preserve">                         </w:t>
      </w:r>
      <w:r>
        <w:rPr>
          <w:rFonts w:hint="eastAsia"/>
        </w:rPr>
        <w:t>（</w:t>
      </w:r>
      <w:r>
        <w:t>H.12</w:t>
      </w:r>
      <w:r>
        <w:rPr>
          <w:rFonts w:hint="eastAsia"/>
        </w:rPr>
        <w:t>）</w:t>
      </w:r>
    </w:p>
    <w:p>
      <w:pPr>
        <w:tabs>
          <w:tab w:val="left" w:pos="284"/>
          <w:tab w:val="left" w:pos="567"/>
        </w:tabs>
        <w:spacing w:before="156" w:beforeLines="50" w:after="156" w:afterLines="50"/>
        <w:ind w:firstLine="420" w:firstLineChars="200"/>
        <w:jc w:val="left"/>
      </w:pPr>
      <w:r>
        <w:rPr>
          <w:rFonts w:hint="eastAsia"/>
        </w:rPr>
        <w:t>界定一个分母，对于每个系数都是常数，如：</w:t>
      </w:r>
    </w:p>
    <w:p>
      <w:pPr>
        <w:tabs>
          <w:tab w:val="left" w:pos="284"/>
          <w:tab w:val="left" w:pos="567"/>
        </w:tabs>
        <w:spacing w:before="156" w:beforeLines="50" w:after="156" w:afterLines="50"/>
        <w:ind w:firstLine="210" w:firstLineChars="100"/>
        <w:jc w:val="left"/>
      </w:pPr>
      <m:oMath>
        <m:r>
          <m:rPr>
            <m:sty m:val="p"/>
          </m:rPr>
          <w:rPr>
            <w:rFonts w:ascii="Cambria Math" w:hAnsi="Cambria Math"/>
          </w:rPr>
          <m:t>Den=</m:t>
        </m:r>
        <m:sSub>
          <m:sSubPr>
            <m:ctrlPr>
              <w:rPr>
                <w:rFonts w:ascii="Cambria Math" w:hAnsi="Cambria Math"/>
                <w:szCs w:val="22"/>
              </w:rPr>
            </m:ctrlPr>
          </m:sSubPr>
          <m:e>
            <m:r>
              <m:rPr/>
              <w:rPr>
                <w:rFonts w:ascii="Cambria Math" w:hAnsi="Cambria Math"/>
              </w:rPr>
              <m:t>C</m:t>
            </m:r>
            <m:ctrlPr>
              <w:rPr>
                <w:rFonts w:ascii="Cambria Math" w:hAnsi="Cambria Math"/>
                <w:szCs w:val="22"/>
              </w:rPr>
            </m:ctrlPr>
          </m:e>
          <m:sub>
            <m:r>
              <m:rPr/>
              <w:rPr>
                <w:rFonts w:ascii="Cambria Math" w:hAnsi="Cambria Math"/>
              </w:rPr>
              <m:t>13</m:t>
            </m:r>
            <m:ctrlPr>
              <w:rPr>
                <w:rFonts w:ascii="Cambria Math" w:hAnsi="Cambria Math"/>
                <w:szCs w:val="22"/>
              </w:rPr>
            </m:ctrlPr>
          </m:sub>
        </m:sSub>
        <m:d>
          <m:dPr>
            <m:ctrlPr>
              <w:rPr>
                <w:rFonts w:ascii="Cambria Math" w:hAnsi="Cambria Math"/>
                <w:i/>
                <w:szCs w:val="22"/>
              </w:rPr>
            </m:ctrlPr>
          </m:dPr>
          <m:e>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13</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22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23</m:t>
                </m:r>
                <m:ctrlPr>
                  <w:rPr>
                    <w:rFonts w:ascii="Cambria Math" w:hAnsi="Cambria Math"/>
                    <w:i/>
                    <w:szCs w:val="22"/>
                  </w:rPr>
                </m:ctrlPr>
              </m:sub>
            </m:sSub>
            <m:ctrlPr>
              <w:rPr>
                <w:rFonts w:ascii="Cambria Math" w:hAnsi="Cambria Math"/>
                <w:i/>
                <w:szCs w:val="22"/>
              </w:rPr>
            </m:ctrlPr>
          </m:e>
        </m:d>
        <m:r>
          <m:rPr/>
          <w:rPr>
            <w:rFonts w:ascii="Cambria Math" w:hAnsi="Cambria Math"/>
          </w:rPr>
          <m:t>+</m:t>
        </m:r>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23</m:t>
            </m:r>
            <m:ctrlPr>
              <w:rPr>
                <w:rFonts w:ascii="Cambria Math" w:hAnsi="Cambria Math"/>
                <w:i/>
                <w:szCs w:val="22"/>
              </w:rPr>
            </m:ctrlPr>
          </m:sub>
        </m:sSub>
        <m:d>
          <m:dPr>
            <m:ctrlPr>
              <w:rPr>
                <w:rFonts w:ascii="Cambria Math" w:hAnsi="Cambria Math"/>
                <w:i/>
                <w:szCs w:val="22"/>
              </w:rPr>
            </m:ctrlPr>
          </m:dPr>
          <m:e>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11</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23</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13</m:t>
                </m:r>
                <m:ctrlPr>
                  <w:rPr>
                    <w:rFonts w:ascii="Cambria Math" w:hAnsi="Cambria Math"/>
                    <w:i/>
                    <w:szCs w:val="22"/>
                  </w:rPr>
                </m:ctrlPr>
              </m:sub>
            </m:sSub>
            <m:ctrlPr>
              <w:rPr>
                <w:rFonts w:ascii="Cambria Math" w:hAnsi="Cambria Math"/>
                <w:i/>
                <w:szCs w:val="22"/>
              </w:rPr>
            </m:ctrlPr>
          </m:e>
        </m:d>
        <m:r>
          <m:rPr/>
          <w:rPr>
            <w:rFonts w:ascii="Cambria Math" w:hAnsi="Cambria Math"/>
          </w:rPr>
          <m:t>+</m:t>
        </m:r>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33</m:t>
            </m:r>
            <m:ctrlPr>
              <w:rPr>
                <w:rFonts w:ascii="Cambria Math" w:hAnsi="Cambria Math"/>
                <w:i/>
                <w:szCs w:val="22"/>
              </w:rPr>
            </m:ctrlPr>
          </m:sub>
        </m:sSub>
        <m:d>
          <m:dPr>
            <m:ctrlPr>
              <w:rPr>
                <w:rFonts w:ascii="Cambria Math" w:hAnsi="Cambria Math"/>
                <w:i/>
                <w:szCs w:val="22"/>
              </w:rPr>
            </m:ctrlPr>
          </m:dPr>
          <m:e>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12</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12</m:t>
                </m:r>
                <m:ctrlPr>
                  <w:rPr>
                    <w:rFonts w:ascii="Cambria Math" w:hAnsi="Cambria Math"/>
                    <w:i/>
                    <w:szCs w:val="22"/>
                  </w:rPr>
                </m:ctrlPr>
              </m:sub>
            </m:sSub>
            <m:r>
              <m:rPr/>
              <w:rPr>
                <w:rFonts w:ascii="Cambria Math" w:hAnsi="Cambria Math"/>
              </w:rPr>
              <m:t>−</m:t>
            </m:r>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11</m:t>
                </m:r>
                <m:ctrlPr>
                  <w:rPr>
                    <w:rFonts w:ascii="Cambria Math" w:hAnsi="Cambria Math"/>
                    <w:i/>
                    <w:szCs w:val="22"/>
                  </w:rPr>
                </m:ctrlPr>
              </m:sub>
            </m:sSub>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22</m:t>
                </m:r>
                <m:ctrlPr>
                  <w:rPr>
                    <w:rFonts w:ascii="Cambria Math" w:hAnsi="Cambria Math"/>
                    <w:i/>
                    <w:szCs w:val="22"/>
                  </w:rPr>
                </m:ctrlPr>
              </m:sub>
            </m:sSub>
            <m:ctrlPr>
              <w:rPr>
                <w:rFonts w:ascii="Cambria Math" w:hAnsi="Cambria Math"/>
                <w:i/>
                <w:szCs w:val="22"/>
              </w:rPr>
            </m:ctrlPr>
          </m:e>
        </m:d>
      </m:oMath>
      <w:r>
        <w:t xml:space="preserve">  </w:t>
      </w:r>
      <w:r>
        <w:rPr>
          <w:rFonts w:hint="eastAsia"/>
        </w:rPr>
        <w:t xml:space="preserve">      （</w:t>
      </w:r>
      <w:r>
        <w:t>H.13</w:t>
      </w:r>
      <w:r>
        <w:rPr>
          <w:rFonts w:hint="eastAsia"/>
        </w:rPr>
        <w:t>）</w:t>
      </w:r>
    </w:p>
    <w:p>
      <w:pPr>
        <w:tabs>
          <w:tab w:val="left" w:pos="284"/>
          <w:tab w:val="left" w:pos="567"/>
        </w:tabs>
        <w:spacing w:before="156" w:beforeLines="50" w:after="156" w:afterLines="50"/>
        <w:ind w:firstLine="420" w:firstLineChars="200"/>
        <w:jc w:val="left"/>
      </w:pPr>
      <w:r>
        <w:rPr>
          <w:rFonts w:hint="eastAsia"/>
        </w:rPr>
        <w:t>那么，系数如下给出：</w:t>
      </w:r>
    </w:p>
    <w:p>
      <w:pPr>
        <w:tabs>
          <w:tab w:val="left" w:pos="284"/>
          <w:tab w:val="left" w:pos="567"/>
        </w:tabs>
        <w:spacing w:before="156" w:beforeLines="50" w:after="156" w:afterLines="50"/>
        <w:ind w:firstLine="360" w:firstLineChars="200"/>
        <w:jc w:val="left"/>
        <w:rPr>
          <w:sz w:val="18"/>
          <w:szCs w:val="18"/>
        </w:rPr>
      </w:pPr>
      <m:oMath>
        <m:r>
          <m:rPr/>
          <w:rPr>
            <w:rFonts w:ascii="Cambria Math" w:hAnsi="Cambria Math"/>
            <w:sz w:val="18"/>
            <w:szCs w:val="18"/>
          </w:rPr>
          <m:t>d</m:t>
        </m:r>
        <m:r>
          <m:rPr>
            <m:sty m:val="p"/>
          </m:rPr>
          <w:rPr>
            <w:rFonts w:ascii="Cambria Math" w:hAnsi="Cambria Math"/>
            <w:sz w:val="18"/>
            <w:szCs w:val="18"/>
          </w:rPr>
          <m:t>=</m:t>
        </m:r>
        <m:d>
          <m:dPr>
            <m:begChr m:val="["/>
            <m:endChr m:val="]"/>
            <m:ctrlPr>
              <w:rPr>
                <w:rFonts w:ascii="Cambria Math" w:hAnsi="Cambria Math"/>
                <w:sz w:val="18"/>
                <w:szCs w:val="18"/>
              </w:rPr>
            </m:ctrlPr>
          </m:dPr>
          <m:e>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y1</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13</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22</m:t>
                    </m:r>
                    <m:ctrlPr>
                      <w:rPr>
                        <w:rFonts w:ascii="Cambria Math" w:hAnsi="Cambria Math"/>
                        <w:i/>
                        <w:sz w:val="18"/>
                        <w:szCs w:val="18"/>
                      </w:rPr>
                    </m:ctrlPr>
                  </m:sub>
                </m:sSub>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12</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23</m:t>
                    </m:r>
                    <m:ctrlPr>
                      <w:rPr>
                        <w:rFonts w:ascii="Cambria Math" w:hAnsi="Cambria Math"/>
                        <w:i/>
                        <w:sz w:val="18"/>
                        <w:szCs w:val="18"/>
                      </w:rPr>
                    </m:ctrlPr>
                  </m:sub>
                </m:sSub>
                <m:ctrlPr>
                  <w:rPr>
                    <w:rFonts w:ascii="Cambria Math" w:hAnsi="Cambria Math"/>
                    <w:i/>
                    <w:sz w:val="18"/>
                    <w:szCs w:val="18"/>
                  </w:rPr>
                </m:ctrlPr>
              </m:e>
            </m:d>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y2</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11</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23</m:t>
                    </m:r>
                    <m:ctrlPr>
                      <w:rPr>
                        <w:rFonts w:ascii="Cambria Math" w:hAnsi="Cambria Math"/>
                        <w:i/>
                        <w:sz w:val="18"/>
                        <w:szCs w:val="18"/>
                      </w:rPr>
                    </m:ctrlPr>
                  </m:sub>
                </m:sSub>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12</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13</m:t>
                    </m:r>
                    <m:ctrlPr>
                      <w:rPr>
                        <w:rFonts w:ascii="Cambria Math" w:hAnsi="Cambria Math"/>
                        <w:i/>
                        <w:sz w:val="18"/>
                        <w:szCs w:val="18"/>
                      </w:rPr>
                    </m:ctrlPr>
                  </m:sub>
                </m:sSub>
                <m:ctrlPr>
                  <w:rPr>
                    <w:rFonts w:ascii="Cambria Math" w:hAnsi="Cambria Math"/>
                    <w:i/>
                    <w:sz w:val="18"/>
                    <w:szCs w:val="18"/>
                  </w:rPr>
                </m:ctrlPr>
              </m:e>
            </m:d>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y3</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12</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12</m:t>
                    </m:r>
                    <m:ctrlPr>
                      <w:rPr>
                        <w:rFonts w:ascii="Cambria Math" w:hAnsi="Cambria Math"/>
                        <w:i/>
                        <w:sz w:val="18"/>
                        <w:szCs w:val="18"/>
                      </w:rPr>
                    </m:ctrlPr>
                  </m:sub>
                </m:sSub>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11</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22</m:t>
                    </m:r>
                    <m:ctrlPr>
                      <w:rPr>
                        <w:rFonts w:ascii="Cambria Math" w:hAnsi="Cambria Math"/>
                        <w:i/>
                        <w:sz w:val="18"/>
                        <w:szCs w:val="18"/>
                      </w:rPr>
                    </m:ctrlPr>
                  </m:sub>
                </m:sSub>
                <m:ctrlPr>
                  <w:rPr>
                    <w:rFonts w:ascii="Cambria Math" w:hAnsi="Cambria Math"/>
                    <w:i/>
                    <w:sz w:val="18"/>
                    <w:szCs w:val="18"/>
                  </w:rPr>
                </m:ctrlPr>
              </m:e>
            </m:d>
            <m:ctrlPr>
              <w:rPr>
                <w:rFonts w:ascii="Cambria Math" w:hAnsi="Cambria Math"/>
                <w:sz w:val="18"/>
                <w:szCs w:val="18"/>
              </w:rPr>
            </m:ctrlPr>
          </m:e>
        </m:d>
        <m:r>
          <m:rPr/>
          <w:rPr>
            <w:rFonts w:ascii="Cambria Math" w:hAnsi="Cambria Math"/>
            <w:sz w:val="18"/>
            <w:szCs w:val="18"/>
          </w:rPr>
          <m:t>/</m:t>
        </m:r>
        <m:r>
          <m:rPr>
            <m:sty m:val="p"/>
          </m:rPr>
          <w:rPr>
            <w:rFonts w:ascii="Cambria Math" w:hAnsi="Cambria Math"/>
            <w:sz w:val="18"/>
            <w:szCs w:val="18"/>
          </w:rPr>
          <m:t>Den</m:t>
        </m:r>
      </m:oMath>
      <w:r>
        <w:rPr>
          <w:sz w:val="18"/>
          <w:szCs w:val="18"/>
        </w:rPr>
        <w:t xml:space="preserve">     </w:t>
      </w:r>
      <w:r>
        <w:rPr>
          <w:rFonts w:hint="eastAsia"/>
        </w:rPr>
        <w:t xml:space="preserve">      </w:t>
      </w:r>
      <w:r>
        <w:rPr>
          <w:sz w:val="18"/>
          <w:szCs w:val="18"/>
        </w:rPr>
        <w:t xml:space="preserve">    </w:t>
      </w:r>
      <w:r>
        <w:rPr>
          <w:szCs w:val="21"/>
        </w:rPr>
        <w:t>(H.14</w:t>
      </w:r>
      <w:r>
        <w:rPr>
          <w:rFonts w:hint="eastAsia"/>
          <w:szCs w:val="21"/>
        </w:rPr>
        <w:t>）</w:t>
      </w:r>
    </w:p>
    <w:p>
      <w:pPr>
        <w:tabs>
          <w:tab w:val="left" w:pos="284"/>
          <w:tab w:val="left" w:pos="567"/>
        </w:tabs>
        <w:spacing w:before="156" w:beforeLines="50" w:after="156" w:afterLines="50"/>
        <w:ind w:firstLine="360" w:firstLineChars="200"/>
        <w:jc w:val="left"/>
        <w:rPr>
          <w:sz w:val="18"/>
          <w:szCs w:val="18"/>
        </w:rPr>
      </w:pPr>
      <m:oMath>
        <m:r>
          <m:rPr/>
          <w:rPr>
            <w:rFonts w:ascii="Cambria Math" w:hAnsi="Cambria Math"/>
            <w:sz w:val="18"/>
            <w:szCs w:val="18"/>
          </w:rPr>
          <m:t>c</m:t>
        </m:r>
        <m:r>
          <m:rPr>
            <m:sty m:val="p"/>
          </m:rPr>
          <w:rPr>
            <w:rFonts w:ascii="Cambria Math" w:hAnsi="Cambria Math"/>
            <w:sz w:val="18"/>
            <w:szCs w:val="18"/>
          </w:rPr>
          <m:t>=</m:t>
        </m:r>
        <m:d>
          <m:dPr>
            <m:begChr m:val="["/>
            <m:endChr m:val="]"/>
            <m:ctrlPr>
              <w:rPr>
                <w:rFonts w:ascii="Cambria Math" w:hAnsi="Cambria Math"/>
                <w:sz w:val="18"/>
                <w:szCs w:val="18"/>
              </w:rPr>
            </m:ctrlPr>
          </m:dPr>
          <m:e>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y1</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12</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33</m:t>
                    </m:r>
                    <m:ctrlPr>
                      <w:rPr>
                        <w:rFonts w:ascii="Cambria Math" w:hAnsi="Cambria Math"/>
                        <w:i/>
                        <w:sz w:val="18"/>
                        <w:szCs w:val="18"/>
                      </w:rPr>
                    </m:ctrlPr>
                  </m:sub>
                </m:sSub>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13</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23</m:t>
                    </m:r>
                    <m:ctrlPr>
                      <w:rPr>
                        <w:rFonts w:ascii="Cambria Math" w:hAnsi="Cambria Math"/>
                        <w:i/>
                        <w:sz w:val="18"/>
                        <w:szCs w:val="18"/>
                      </w:rPr>
                    </m:ctrlPr>
                  </m:sub>
                </m:sSub>
                <m:ctrlPr>
                  <w:rPr>
                    <w:rFonts w:ascii="Cambria Math" w:hAnsi="Cambria Math"/>
                    <w:i/>
                    <w:sz w:val="18"/>
                    <w:szCs w:val="18"/>
                  </w:rPr>
                </m:ctrlPr>
              </m:e>
            </m:d>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y2</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13</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13</m:t>
                    </m:r>
                    <m:ctrlPr>
                      <w:rPr>
                        <w:rFonts w:ascii="Cambria Math" w:hAnsi="Cambria Math"/>
                        <w:i/>
                        <w:sz w:val="18"/>
                        <w:szCs w:val="18"/>
                      </w:rPr>
                    </m:ctrlPr>
                  </m:sub>
                </m:sSub>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11</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33</m:t>
                    </m:r>
                    <m:ctrlPr>
                      <w:rPr>
                        <w:rFonts w:ascii="Cambria Math" w:hAnsi="Cambria Math"/>
                        <w:i/>
                        <w:sz w:val="18"/>
                        <w:szCs w:val="18"/>
                      </w:rPr>
                    </m:ctrlPr>
                  </m:sub>
                </m:sSub>
                <m:ctrlPr>
                  <w:rPr>
                    <w:rFonts w:ascii="Cambria Math" w:hAnsi="Cambria Math"/>
                    <w:i/>
                    <w:sz w:val="18"/>
                    <w:szCs w:val="18"/>
                  </w:rPr>
                </m:ctrlPr>
              </m:e>
            </m:d>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y3</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11</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23</m:t>
                    </m:r>
                    <m:ctrlPr>
                      <w:rPr>
                        <w:rFonts w:ascii="Cambria Math" w:hAnsi="Cambria Math"/>
                        <w:i/>
                        <w:sz w:val="18"/>
                        <w:szCs w:val="18"/>
                      </w:rPr>
                    </m:ctrlPr>
                  </m:sub>
                </m:sSub>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12</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13</m:t>
                    </m:r>
                    <m:ctrlPr>
                      <w:rPr>
                        <w:rFonts w:ascii="Cambria Math" w:hAnsi="Cambria Math"/>
                        <w:i/>
                        <w:sz w:val="18"/>
                        <w:szCs w:val="18"/>
                      </w:rPr>
                    </m:ctrlPr>
                  </m:sub>
                </m:sSub>
                <m:ctrlPr>
                  <w:rPr>
                    <w:rFonts w:ascii="Cambria Math" w:hAnsi="Cambria Math"/>
                    <w:i/>
                    <w:sz w:val="18"/>
                    <w:szCs w:val="18"/>
                  </w:rPr>
                </m:ctrlPr>
              </m:e>
            </m:d>
            <m:ctrlPr>
              <w:rPr>
                <w:rFonts w:ascii="Cambria Math" w:hAnsi="Cambria Math"/>
                <w:sz w:val="18"/>
                <w:szCs w:val="18"/>
              </w:rPr>
            </m:ctrlPr>
          </m:e>
        </m:d>
        <m:r>
          <m:rPr>
            <m:sty m:val="p"/>
          </m:rPr>
          <w:rPr>
            <w:rFonts w:ascii="Cambria Math" w:hAnsi="Cambria Math"/>
            <w:sz w:val="18"/>
            <w:szCs w:val="18"/>
          </w:rPr>
          <m:t>/Den</m:t>
        </m:r>
      </m:oMath>
      <w:r>
        <w:rPr>
          <w:sz w:val="18"/>
          <w:szCs w:val="18"/>
        </w:rPr>
        <w:t xml:space="preserve">   </w:t>
      </w:r>
      <w:r>
        <w:rPr>
          <w:rFonts w:hint="eastAsia"/>
        </w:rPr>
        <w:t xml:space="preserve">       </w:t>
      </w:r>
      <w:r>
        <w:rPr>
          <w:sz w:val="18"/>
          <w:szCs w:val="18"/>
        </w:rPr>
        <w:t xml:space="preserve">     </w:t>
      </w:r>
      <w:r>
        <w:rPr>
          <w:szCs w:val="21"/>
        </w:rPr>
        <w:t>(H.15</w:t>
      </w:r>
      <w:r>
        <w:rPr>
          <w:rFonts w:hint="eastAsia"/>
          <w:szCs w:val="21"/>
        </w:rPr>
        <w:t>）</w:t>
      </w:r>
    </w:p>
    <w:p>
      <w:pPr>
        <w:tabs>
          <w:tab w:val="left" w:pos="284"/>
          <w:tab w:val="left" w:pos="567"/>
        </w:tabs>
        <w:spacing w:before="156" w:beforeLines="50" w:after="156" w:afterLines="50"/>
        <w:ind w:firstLine="360" w:firstLineChars="200"/>
        <w:jc w:val="left"/>
        <w:rPr>
          <w:szCs w:val="21"/>
        </w:rPr>
      </w:pPr>
      <m:oMath>
        <m:r>
          <m:rPr/>
          <w:rPr>
            <w:rFonts w:ascii="Cambria Math" w:hAnsi="Cambria Math"/>
            <w:sz w:val="18"/>
            <w:szCs w:val="18"/>
          </w:rPr>
          <m:t>b</m:t>
        </m:r>
        <m:r>
          <m:rPr>
            <m:sty m:val="p"/>
          </m:rPr>
          <w:rPr>
            <w:rFonts w:ascii="Cambria Math" w:hAnsi="Cambria Math"/>
            <w:sz w:val="18"/>
            <w:szCs w:val="18"/>
          </w:rPr>
          <m:t>=</m:t>
        </m:r>
        <m:d>
          <m:dPr>
            <m:begChr m:val="["/>
            <m:endChr m:val="]"/>
            <m:ctrlPr>
              <w:rPr>
                <w:rFonts w:ascii="Cambria Math" w:hAnsi="Cambria Math"/>
                <w:sz w:val="18"/>
                <w:szCs w:val="18"/>
              </w:rPr>
            </m:ctrlPr>
          </m:dPr>
          <m:e>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y1</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23</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23</m:t>
                    </m:r>
                    <m:ctrlPr>
                      <w:rPr>
                        <w:rFonts w:ascii="Cambria Math" w:hAnsi="Cambria Math"/>
                        <w:i/>
                        <w:sz w:val="18"/>
                        <w:szCs w:val="18"/>
                      </w:rPr>
                    </m:ctrlPr>
                  </m:sub>
                </m:sSub>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22</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33</m:t>
                    </m:r>
                    <m:ctrlPr>
                      <w:rPr>
                        <w:rFonts w:ascii="Cambria Math" w:hAnsi="Cambria Math"/>
                        <w:i/>
                        <w:sz w:val="18"/>
                        <w:szCs w:val="18"/>
                      </w:rPr>
                    </m:ctrlPr>
                  </m:sub>
                </m:sSub>
                <m:ctrlPr>
                  <w:rPr>
                    <w:rFonts w:ascii="Cambria Math" w:hAnsi="Cambria Math"/>
                    <w:i/>
                    <w:sz w:val="18"/>
                    <w:szCs w:val="18"/>
                  </w:rPr>
                </m:ctrlPr>
              </m:e>
            </m:d>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y2</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12</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33</m:t>
                    </m:r>
                    <m:ctrlPr>
                      <w:rPr>
                        <w:rFonts w:ascii="Cambria Math" w:hAnsi="Cambria Math"/>
                        <w:i/>
                        <w:sz w:val="18"/>
                        <w:szCs w:val="18"/>
                      </w:rPr>
                    </m:ctrlPr>
                  </m:sub>
                </m:sSub>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13</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23</m:t>
                    </m:r>
                    <m:ctrlPr>
                      <w:rPr>
                        <w:rFonts w:ascii="Cambria Math" w:hAnsi="Cambria Math"/>
                        <w:i/>
                        <w:sz w:val="18"/>
                        <w:szCs w:val="18"/>
                      </w:rPr>
                    </m:ctrlPr>
                  </m:sub>
                </m:sSub>
                <m:ctrlPr>
                  <w:rPr>
                    <w:rFonts w:ascii="Cambria Math" w:hAnsi="Cambria Math"/>
                    <w:i/>
                    <w:sz w:val="18"/>
                    <w:szCs w:val="18"/>
                  </w:rPr>
                </m:ctrlPr>
              </m:e>
            </m:d>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y3</m:t>
                </m:r>
                <m:ctrlPr>
                  <w:rPr>
                    <w:rFonts w:ascii="Cambria Math" w:hAnsi="Cambria Math"/>
                    <w:i/>
                    <w:sz w:val="18"/>
                    <w:szCs w:val="18"/>
                  </w:rPr>
                </m:ctrlPr>
              </m:sub>
            </m:sSub>
            <m:d>
              <m:dPr>
                <m:ctrlPr>
                  <w:rPr>
                    <w:rFonts w:ascii="Cambria Math" w:hAnsi="Cambria Math"/>
                    <w:i/>
                    <w:sz w:val="18"/>
                    <w:szCs w:val="18"/>
                  </w:rPr>
                </m:ctrlPr>
              </m:dPr>
              <m:e>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13</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22</m:t>
                    </m:r>
                    <m:ctrlPr>
                      <w:rPr>
                        <w:rFonts w:ascii="Cambria Math" w:hAnsi="Cambria Math"/>
                        <w:i/>
                        <w:sz w:val="18"/>
                        <w:szCs w:val="18"/>
                      </w:rPr>
                    </m:ctrlPr>
                  </m:sub>
                </m:sSub>
                <m:r>
                  <m:rPr/>
                  <w:rPr>
                    <w:rFonts w:ascii="Cambria Math" w:hAnsi="Cambria Math"/>
                    <w:sz w:val="18"/>
                    <w:szCs w:val="18"/>
                  </w:rPr>
                  <m:t>−</m:t>
                </m:r>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12</m:t>
                    </m:r>
                    <m:ctrlPr>
                      <w:rPr>
                        <w:rFonts w:ascii="Cambria Math" w:hAnsi="Cambria Math"/>
                        <w:i/>
                        <w:sz w:val="18"/>
                        <w:szCs w:val="18"/>
                      </w:rPr>
                    </m:ctrlPr>
                  </m:sub>
                </m:sSub>
                <m:sSub>
                  <m:sSubPr>
                    <m:ctrlPr>
                      <w:rPr>
                        <w:rFonts w:ascii="Cambria Math" w:hAnsi="Cambria Math"/>
                        <w:i/>
                        <w:sz w:val="18"/>
                        <w:szCs w:val="18"/>
                      </w:rPr>
                    </m:ctrlPr>
                  </m:sSubPr>
                  <m:e>
                    <m:r>
                      <m:rPr/>
                      <w:rPr>
                        <w:rFonts w:ascii="Cambria Math" w:hAnsi="Cambria Math"/>
                        <w:sz w:val="18"/>
                        <w:szCs w:val="18"/>
                      </w:rPr>
                      <m:t>C</m:t>
                    </m:r>
                    <m:ctrlPr>
                      <w:rPr>
                        <w:rFonts w:ascii="Cambria Math" w:hAnsi="Cambria Math"/>
                        <w:i/>
                        <w:sz w:val="18"/>
                        <w:szCs w:val="18"/>
                      </w:rPr>
                    </m:ctrlPr>
                  </m:e>
                  <m:sub>
                    <m:r>
                      <m:rPr/>
                      <w:rPr>
                        <w:rFonts w:ascii="Cambria Math" w:hAnsi="Cambria Math"/>
                        <w:sz w:val="18"/>
                        <w:szCs w:val="18"/>
                      </w:rPr>
                      <m:t>23</m:t>
                    </m:r>
                    <m:ctrlPr>
                      <w:rPr>
                        <w:rFonts w:ascii="Cambria Math" w:hAnsi="Cambria Math"/>
                        <w:i/>
                        <w:sz w:val="18"/>
                        <w:szCs w:val="18"/>
                      </w:rPr>
                    </m:ctrlPr>
                  </m:sub>
                </m:sSub>
                <m:ctrlPr>
                  <w:rPr>
                    <w:rFonts w:ascii="Cambria Math" w:hAnsi="Cambria Math"/>
                    <w:i/>
                    <w:sz w:val="18"/>
                    <w:szCs w:val="18"/>
                  </w:rPr>
                </m:ctrlPr>
              </m:e>
            </m:d>
            <m:ctrlPr>
              <w:rPr>
                <w:rFonts w:ascii="Cambria Math" w:hAnsi="Cambria Math"/>
                <w:sz w:val="18"/>
                <w:szCs w:val="18"/>
              </w:rPr>
            </m:ctrlPr>
          </m:e>
        </m:d>
        <m:r>
          <m:rPr/>
          <w:rPr>
            <w:rFonts w:ascii="Cambria Math" w:hAnsi="Cambria Math"/>
            <w:sz w:val="18"/>
            <w:szCs w:val="18"/>
          </w:rPr>
          <m:t>/</m:t>
        </m:r>
        <m:r>
          <m:rPr>
            <m:sty m:val="p"/>
          </m:rPr>
          <w:rPr>
            <w:rFonts w:ascii="Cambria Math" w:hAnsi="Cambria Math"/>
            <w:sz w:val="18"/>
            <w:szCs w:val="18"/>
          </w:rPr>
          <m:t>Den</m:t>
        </m:r>
      </m:oMath>
      <w:r>
        <w:rPr>
          <w:sz w:val="18"/>
          <w:szCs w:val="18"/>
        </w:rPr>
        <w:t xml:space="preserve">    </w:t>
      </w:r>
      <w:r>
        <w:rPr>
          <w:rFonts w:hint="eastAsia"/>
        </w:rPr>
        <w:t xml:space="preserve">       </w:t>
      </w:r>
      <w:r>
        <w:rPr>
          <w:sz w:val="18"/>
          <w:szCs w:val="18"/>
        </w:rPr>
        <w:t xml:space="preserve">    </w:t>
      </w:r>
      <w:r>
        <w:rPr>
          <w:szCs w:val="21"/>
        </w:rPr>
        <w:t>(H.16</w:t>
      </w:r>
      <w:r>
        <w:rPr>
          <w:rFonts w:hint="eastAsia"/>
          <w:szCs w:val="21"/>
        </w:rPr>
        <w:t>）</w:t>
      </w:r>
    </w:p>
    <w:p>
      <w:pPr>
        <w:tabs>
          <w:tab w:val="left" w:pos="284"/>
          <w:tab w:val="left" w:pos="567"/>
        </w:tabs>
        <w:spacing w:before="156" w:beforeLines="50" w:after="156" w:afterLines="50"/>
        <w:ind w:firstLine="360" w:firstLineChars="200"/>
        <w:jc w:val="left"/>
        <w:rPr>
          <w:sz w:val="18"/>
          <w:szCs w:val="18"/>
        </w:rPr>
      </w:pPr>
      <m:oMath>
        <m:r>
          <m:rPr/>
          <w:rPr>
            <w:rFonts w:ascii="Cambria Math" w:hAnsi="Cambria Math"/>
            <w:sz w:val="18"/>
            <w:szCs w:val="18"/>
          </w:rPr>
          <m:t>a</m:t>
        </m:r>
        <m:r>
          <m:rPr>
            <m:sty m:val="p"/>
          </m:rPr>
          <w:rPr>
            <w:rFonts w:ascii="Cambria Math" w:hAnsi="Cambria Math"/>
            <w:sz w:val="18"/>
            <w:szCs w:val="18"/>
          </w:rPr>
          <m:t>=</m:t>
        </m:r>
        <m:d>
          <m:dPr>
            <m:ctrlPr>
              <w:rPr>
                <w:rFonts w:ascii="Cambria Math" w:hAnsi="Cambria Math"/>
                <w:sz w:val="18"/>
                <w:szCs w:val="18"/>
              </w:rPr>
            </m:ctrlPr>
          </m:dPr>
          <m:e>
            <m:nary>
              <m:naryPr>
                <m:chr m:val="∑"/>
                <m:limLoc m:val="undOvr"/>
                <m:subHide m:val="1"/>
                <m:supHide m:val="1"/>
                <m:ctrlPr>
                  <w:rPr>
                    <w:rFonts w:ascii="Cambria Math" w:hAnsi="Cambria Math"/>
                    <w:i/>
                    <w:sz w:val="18"/>
                    <w:szCs w:val="18"/>
                  </w:rPr>
                </m:ctrlPr>
              </m:naryPr>
              <m:sub>
                <m:ctrlPr>
                  <w:rPr>
                    <w:rFonts w:ascii="Cambria Math" w:hAnsi="Cambria Math"/>
                    <w:i/>
                    <w:sz w:val="18"/>
                    <w:szCs w:val="18"/>
                  </w:rPr>
                </m:ctrlPr>
              </m:sub>
              <m:sup>
                <m:ctrlPr>
                  <w:rPr>
                    <w:rFonts w:ascii="Cambria Math" w:hAnsi="Cambria Math"/>
                    <w:i/>
                    <w:sz w:val="18"/>
                    <w:szCs w:val="18"/>
                  </w:rPr>
                </m:ctrlPr>
              </m:sup>
              <m:e>
                <m:r>
                  <m:rPr/>
                  <w:rPr>
                    <w:rFonts w:ascii="Cambria Math" w:hAnsi="Cambria Math"/>
                    <w:sz w:val="18"/>
                    <w:szCs w:val="18"/>
                  </w:rPr>
                  <m:t>y</m:t>
                </m:r>
                <m:ctrlPr>
                  <w:rPr>
                    <w:rFonts w:ascii="Cambria Math" w:hAnsi="Cambria Math"/>
                    <w:i/>
                    <w:sz w:val="18"/>
                    <w:szCs w:val="18"/>
                  </w:rPr>
                </m:ctrlPr>
              </m:e>
            </m:nary>
            <m:r>
              <m:rPr/>
              <w:rPr>
                <w:rFonts w:ascii="Cambria Math" w:hAnsi="Cambria Math"/>
                <w:sz w:val="18"/>
                <w:szCs w:val="18"/>
              </w:rPr>
              <m:t>−b</m:t>
            </m:r>
            <m:nary>
              <m:naryPr>
                <m:chr m:val="∑"/>
                <m:limLoc m:val="undOvr"/>
                <m:subHide m:val="1"/>
                <m:supHide m:val="1"/>
                <m:ctrlPr>
                  <w:rPr>
                    <w:rFonts w:ascii="Cambria Math" w:hAnsi="Cambria Math"/>
                    <w:i/>
                    <w:sz w:val="18"/>
                    <w:szCs w:val="18"/>
                  </w:rPr>
                </m:ctrlPr>
              </m:naryPr>
              <m:sub>
                <m:ctrlPr>
                  <w:rPr>
                    <w:rFonts w:ascii="Cambria Math" w:hAnsi="Cambria Math"/>
                    <w:i/>
                    <w:sz w:val="18"/>
                    <w:szCs w:val="18"/>
                  </w:rPr>
                </m:ctrlPr>
              </m:sub>
              <m:sup>
                <m:ctrlPr>
                  <w:rPr>
                    <w:rFonts w:ascii="Cambria Math" w:hAnsi="Cambria Math"/>
                    <w:i/>
                    <w:sz w:val="18"/>
                    <w:szCs w:val="18"/>
                  </w:rPr>
                </m:ctrlPr>
              </m:sup>
              <m:e>
                <m:r>
                  <m:rPr/>
                  <w:rPr>
                    <w:rFonts w:ascii="Cambria Math" w:hAnsi="Cambria Math"/>
                    <w:sz w:val="18"/>
                    <w:szCs w:val="18"/>
                  </w:rPr>
                  <m:t>x</m:t>
                </m:r>
                <m:ctrlPr>
                  <w:rPr>
                    <w:rFonts w:ascii="Cambria Math" w:hAnsi="Cambria Math"/>
                    <w:i/>
                    <w:sz w:val="18"/>
                    <w:szCs w:val="18"/>
                  </w:rPr>
                </m:ctrlPr>
              </m:e>
            </m:nary>
            <m:r>
              <m:rPr/>
              <w:rPr>
                <w:rFonts w:ascii="Cambria Math" w:hAnsi="Cambria Math"/>
                <w:sz w:val="18"/>
                <w:szCs w:val="18"/>
              </w:rPr>
              <m:t>−c</m:t>
            </m:r>
            <m:nary>
              <m:naryPr>
                <m:chr m:val="∑"/>
                <m:limLoc m:val="undOvr"/>
                <m:subHide m:val="1"/>
                <m:supHide m:val="1"/>
                <m:ctrlPr>
                  <w:rPr>
                    <w:rFonts w:ascii="Cambria Math" w:hAnsi="Cambria Math"/>
                    <w:i/>
                    <w:sz w:val="18"/>
                    <w:szCs w:val="18"/>
                  </w:rPr>
                </m:ctrlPr>
              </m:naryPr>
              <m:sub>
                <m:ctrlPr>
                  <w:rPr>
                    <w:rFonts w:ascii="Cambria Math" w:hAnsi="Cambria Math"/>
                    <w:i/>
                    <w:sz w:val="18"/>
                    <w:szCs w:val="18"/>
                  </w:rPr>
                </m:ctrlPr>
              </m:sub>
              <m:sup>
                <m:ctrlPr>
                  <w:rPr>
                    <w:rFonts w:ascii="Cambria Math" w:hAnsi="Cambria Math"/>
                    <w:i/>
                    <w:sz w:val="18"/>
                    <w:szCs w:val="18"/>
                  </w:rPr>
                </m:ctrlPr>
              </m:sup>
              <m:e>
                <m:sSup>
                  <m:sSupPr>
                    <m:ctrlPr>
                      <w:rPr>
                        <w:rFonts w:ascii="Cambria Math" w:hAnsi="Cambria Math"/>
                        <w:i/>
                        <w:sz w:val="18"/>
                        <w:szCs w:val="18"/>
                      </w:rPr>
                    </m:ctrlPr>
                  </m:sSupPr>
                  <m:e>
                    <m:r>
                      <m:rPr/>
                      <w:rPr>
                        <w:rFonts w:ascii="Cambria Math" w:hAnsi="Cambria Math"/>
                        <w:sz w:val="18"/>
                        <w:szCs w:val="18"/>
                      </w:rPr>
                      <m:t>x</m:t>
                    </m:r>
                    <m:ctrlPr>
                      <w:rPr>
                        <w:rFonts w:ascii="Cambria Math" w:hAnsi="Cambria Math"/>
                        <w:i/>
                        <w:sz w:val="18"/>
                        <w:szCs w:val="18"/>
                      </w:rPr>
                    </m:ctrlPr>
                  </m:e>
                  <m:sup>
                    <m:r>
                      <m:rPr/>
                      <w:rPr>
                        <w:rFonts w:ascii="Cambria Math" w:hAnsi="Cambria Math"/>
                        <w:sz w:val="18"/>
                        <w:szCs w:val="18"/>
                      </w:rPr>
                      <m:t>2</m:t>
                    </m:r>
                    <m:ctrlPr>
                      <w:rPr>
                        <w:rFonts w:ascii="Cambria Math" w:hAnsi="Cambria Math"/>
                        <w:i/>
                        <w:sz w:val="18"/>
                        <w:szCs w:val="18"/>
                      </w:rPr>
                    </m:ctrlPr>
                  </m:sup>
                </m:sSup>
                <m:ctrlPr>
                  <w:rPr>
                    <w:rFonts w:ascii="Cambria Math" w:hAnsi="Cambria Math"/>
                    <w:i/>
                    <w:sz w:val="18"/>
                    <w:szCs w:val="18"/>
                  </w:rPr>
                </m:ctrlPr>
              </m:e>
            </m:nary>
            <m:r>
              <m:rPr/>
              <w:rPr>
                <w:rFonts w:ascii="Cambria Math" w:hAnsi="Cambria Math"/>
                <w:sz w:val="18"/>
                <w:szCs w:val="18"/>
              </w:rPr>
              <m:t>−d</m:t>
            </m:r>
            <m:nary>
              <m:naryPr>
                <m:chr m:val="∑"/>
                <m:limLoc m:val="undOvr"/>
                <m:subHide m:val="1"/>
                <m:supHide m:val="1"/>
                <m:ctrlPr>
                  <w:rPr>
                    <w:rFonts w:ascii="Cambria Math" w:hAnsi="Cambria Math"/>
                    <w:i/>
                    <w:sz w:val="18"/>
                    <w:szCs w:val="18"/>
                  </w:rPr>
                </m:ctrlPr>
              </m:naryPr>
              <m:sub>
                <m:ctrlPr>
                  <w:rPr>
                    <w:rFonts w:ascii="Cambria Math" w:hAnsi="Cambria Math"/>
                    <w:i/>
                    <w:sz w:val="18"/>
                    <w:szCs w:val="18"/>
                  </w:rPr>
                </m:ctrlPr>
              </m:sub>
              <m:sup>
                <m:ctrlPr>
                  <w:rPr>
                    <w:rFonts w:ascii="Cambria Math" w:hAnsi="Cambria Math"/>
                    <w:i/>
                    <w:sz w:val="18"/>
                    <w:szCs w:val="18"/>
                  </w:rPr>
                </m:ctrlPr>
              </m:sup>
              <m:e>
                <m:sSup>
                  <m:sSupPr>
                    <m:ctrlPr>
                      <w:rPr>
                        <w:rFonts w:ascii="Cambria Math" w:hAnsi="Cambria Math"/>
                        <w:i/>
                        <w:sz w:val="18"/>
                        <w:szCs w:val="18"/>
                      </w:rPr>
                    </m:ctrlPr>
                  </m:sSupPr>
                  <m:e>
                    <m:r>
                      <m:rPr/>
                      <w:rPr>
                        <w:rFonts w:ascii="Cambria Math" w:hAnsi="Cambria Math"/>
                        <w:sz w:val="18"/>
                        <w:szCs w:val="18"/>
                      </w:rPr>
                      <m:t>x</m:t>
                    </m:r>
                    <m:ctrlPr>
                      <w:rPr>
                        <w:rFonts w:ascii="Cambria Math" w:hAnsi="Cambria Math"/>
                        <w:i/>
                        <w:sz w:val="18"/>
                        <w:szCs w:val="18"/>
                      </w:rPr>
                    </m:ctrlPr>
                  </m:e>
                  <m:sup>
                    <m:r>
                      <m:rPr/>
                      <w:rPr>
                        <w:rFonts w:ascii="Cambria Math" w:hAnsi="Cambria Math"/>
                        <w:sz w:val="18"/>
                        <w:szCs w:val="18"/>
                      </w:rPr>
                      <m:t>3</m:t>
                    </m:r>
                    <m:ctrlPr>
                      <w:rPr>
                        <w:rFonts w:ascii="Cambria Math" w:hAnsi="Cambria Math"/>
                        <w:i/>
                        <w:sz w:val="18"/>
                        <w:szCs w:val="18"/>
                      </w:rPr>
                    </m:ctrlPr>
                  </m:sup>
                </m:sSup>
                <m:ctrlPr>
                  <w:rPr>
                    <w:rFonts w:ascii="Cambria Math" w:hAnsi="Cambria Math"/>
                    <w:i/>
                    <w:sz w:val="18"/>
                    <w:szCs w:val="18"/>
                  </w:rPr>
                </m:ctrlPr>
              </m:e>
            </m:nary>
            <m:ctrlPr>
              <w:rPr>
                <w:rFonts w:ascii="Cambria Math" w:hAnsi="Cambria Math"/>
                <w:sz w:val="18"/>
                <w:szCs w:val="18"/>
              </w:rPr>
            </m:ctrlPr>
          </m:e>
        </m:d>
        <m:r>
          <m:rPr/>
          <w:rPr>
            <w:rFonts w:ascii="Cambria Math" w:hAnsi="Cambria Math"/>
            <w:sz w:val="18"/>
            <w:szCs w:val="18"/>
          </w:rPr>
          <m:t>/n</m:t>
        </m:r>
      </m:oMath>
      <w:r>
        <w:rPr>
          <w:sz w:val="18"/>
          <w:szCs w:val="18"/>
        </w:rPr>
        <w:t xml:space="preserve">                                  </w:t>
      </w:r>
      <w:r>
        <w:rPr>
          <w:rFonts w:hint="eastAsia"/>
        </w:rPr>
        <w:t xml:space="preserve">       </w:t>
      </w:r>
      <w:r>
        <w:rPr>
          <w:sz w:val="18"/>
          <w:szCs w:val="18"/>
        </w:rPr>
        <w:t xml:space="preserve">          </w:t>
      </w:r>
      <w:r>
        <w:rPr>
          <w:szCs w:val="21"/>
        </w:rPr>
        <w:t>(H.17</w:t>
      </w:r>
      <w:r>
        <w:rPr>
          <w:rFonts w:hint="eastAsia"/>
          <w:szCs w:val="21"/>
        </w:rPr>
        <w:t>）</w:t>
      </w:r>
    </w:p>
    <w:p>
      <w:pPr>
        <w:tabs>
          <w:tab w:val="left" w:pos="284"/>
          <w:tab w:val="left" w:pos="567"/>
        </w:tabs>
        <w:spacing w:before="156" w:beforeLines="50" w:after="156" w:afterLines="50"/>
        <w:ind w:firstLine="420" w:firstLineChars="200"/>
        <w:jc w:val="left"/>
        <w:rPr>
          <w:szCs w:val="21"/>
        </w:rPr>
      </w:pPr>
      <w:r>
        <w:rPr>
          <w:rFonts w:hint="eastAsia"/>
          <w:szCs w:val="21"/>
        </w:rPr>
        <w:t>为了检查方差比，看看回归线的显著程度，因子</w:t>
      </w:r>
      <w:r>
        <w:rPr>
          <w:i/>
          <w:szCs w:val="21"/>
        </w:rPr>
        <w:t>D</w:t>
      </w:r>
      <w:r>
        <w:rPr>
          <w:rFonts w:hint="eastAsia"/>
          <w:szCs w:val="21"/>
        </w:rPr>
        <w:t>用下式给出：</w:t>
      </w:r>
    </w:p>
    <w:p>
      <w:pPr>
        <w:tabs>
          <w:tab w:val="left" w:pos="284"/>
          <w:tab w:val="left" w:pos="567"/>
        </w:tabs>
        <w:spacing w:before="156" w:beforeLines="50" w:after="156" w:afterLines="50"/>
        <w:ind w:firstLine="420" w:firstLineChars="200"/>
        <w:jc w:val="left"/>
        <w:rPr>
          <w:szCs w:val="21"/>
        </w:rPr>
      </w:pPr>
      <m:oMath>
        <m:r>
          <m:rPr/>
          <w:rPr>
            <w:rFonts w:ascii="Cambria Math" w:hAnsi="Cambria Math"/>
            <w:szCs w:val="21"/>
          </w:rPr>
          <m:t>D</m:t>
        </m:r>
        <m:r>
          <m:rPr>
            <m:sty m:val="p"/>
          </m:rPr>
          <w:rPr>
            <w:rFonts w:ascii="Cambria Math" w:hAnsi="Cambria Math"/>
            <w:szCs w:val="21"/>
          </w:rPr>
          <m:t>=</m:t>
        </m:r>
        <m:r>
          <m:rPr/>
          <w:rPr>
            <w:rFonts w:ascii="Cambria Math" w:hAnsi="Cambria Math"/>
            <w:szCs w:val="21"/>
          </w:rPr>
          <m:t>b</m:t>
        </m:r>
        <m:sSub>
          <m:sSubPr>
            <m:ctrlPr>
              <w:rPr>
                <w:rFonts w:ascii="Cambria Math" w:hAnsi="Cambria Math"/>
                <w:szCs w:val="21"/>
              </w:rPr>
            </m:ctrlPr>
          </m:sSubPr>
          <m:e>
            <m:r>
              <m:rPr/>
              <w:rPr>
                <w:rFonts w:ascii="Cambria Math" w:hAnsi="Cambria Math"/>
                <w:szCs w:val="21"/>
              </w:rPr>
              <m:t>C</m:t>
            </m:r>
            <m:ctrlPr>
              <w:rPr>
                <w:rFonts w:ascii="Cambria Math" w:hAnsi="Cambria Math"/>
                <w:szCs w:val="21"/>
              </w:rPr>
            </m:ctrlPr>
          </m:e>
          <m:sub>
            <m:r>
              <m:rPr/>
              <w:rPr>
                <w:rFonts w:ascii="Cambria Math" w:hAnsi="Cambria Math"/>
                <w:szCs w:val="21"/>
              </w:rPr>
              <m:t>y1</m:t>
            </m:r>
            <m:ctrlPr>
              <w:rPr>
                <w:rFonts w:ascii="Cambria Math" w:hAnsi="Cambria Math"/>
                <w:szCs w:val="21"/>
              </w:rPr>
            </m:ctrlPr>
          </m:sub>
        </m:sSub>
        <m:r>
          <m:rPr/>
          <w:rPr>
            <w:rFonts w:ascii="Cambria Math" w:hAnsi="Cambria Math"/>
            <w:szCs w:val="21"/>
          </w:rPr>
          <m:t>+c</m:t>
        </m:r>
        <m:sSub>
          <m:sSubPr>
            <m:ctrlPr>
              <w:rPr>
                <w:rFonts w:ascii="Cambria Math" w:hAnsi="Cambria Math"/>
                <w:i/>
                <w:szCs w:val="21"/>
              </w:rPr>
            </m:ctrlPr>
          </m:sSubPr>
          <m:e>
            <m:r>
              <m:rPr/>
              <w:rPr>
                <w:rFonts w:ascii="Cambria Math" w:hAnsi="Cambria Math"/>
                <w:szCs w:val="21"/>
              </w:rPr>
              <m:t>C</m:t>
            </m:r>
            <m:ctrlPr>
              <w:rPr>
                <w:rFonts w:ascii="Cambria Math" w:hAnsi="Cambria Math"/>
                <w:i/>
                <w:szCs w:val="21"/>
              </w:rPr>
            </m:ctrlPr>
          </m:e>
          <m:sub>
            <m:r>
              <m:rPr/>
              <w:rPr>
                <w:rFonts w:ascii="Cambria Math" w:hAnsi="Cambria Math"/>
                <w:szCs w:val="21"/>
              </w:rPr>
              <m:t>y2</m:t>
            </m:r>
            <m:ctrlPr>
              <w:rPr>
                <w:rFonts w:ascii="Cambria Math" w:hAnsi="Cambria Math"/>
                <w:i/>
                <w:szCs w:val="21"/>
              </w:rPr>
            </m:ctrlPr>
          </m:sub>
        </m:sSub>
        <m:r>
          <m:rPr/>
          <w:rPr>
            <w:rFonts w:ascii="Cambria Math" w:hAnsi="Cambria Math"/>
            <w:szCs w:val="21"/>
          </w:rPr>
          <m:t>d</m:t>
        </m:r>
        <m:sSub>
          <m:sSubPr>
            <m:ctrlPr>
              <w:rPr>
                <w:rFonts w:ascii="Cambria Math" w:hAnsi="Cambria Math"/>
                <w:i/>
                <w:szCs w:val="21"/>
              </w:rPr>
            </m:ctrlPr>
          </m:sSubPr>
          <m:e>
            <m:r>
              <m:rPr/>
              <w:rPr>
                <w:rFonts w:ascii="Cambria Math" w:hAnsi="Cambria Math"/>
                <w:szCs w:val="21"/>
              </w:rPr>
              <m:t>C</m:t>
            </m:r>
            <m:ctrlPr>
              <w:rPr>
                <w:rFonts w:ascii="Cambria Math" w:hAnsi="Cambria Math"/>
                <w:i/>
                <w:szCs w:val="21"/>
              </w:rPr>
            </m:ctrlPr>
          </m:e>
          <m:sub>
            <m:r>
              <m:rPr/>
              <w:rPr>
                <w:rFonts w:ascii="Cambria Math" w:hAnsi="Cambria Math"/>
                <w:szCs w:val="21"/>
              </w:rPr>
              <m:t>y3</m:t>
            </m:r>
            <m:ctrlPr>
              <w:rPr>
                <w:rFonts w:ascii="Cambria Math" w:hAnsi="Cambria Math"/>
                <w:i/>
                <w:szCs w:val="21"/>
              </w:rPr>
            </m:ctrlPr>
          </m:sub>
        </m:sSub>
      </m:oMath>
      <w:r>
        <w:rPr>
          <w:szCs w:val="21"/>
        </w:rPr>
        <w:t xml:space="preserve">                                      </w:t>
      </w:r>
      <w:r>
        <w:rPr>
          <w:rFonts w:hint="eastAsia"/>
        </w:rPr>
        <w:t xml:space="preserve">      </w:t>
      </w:r>
      <w:r>
        <w:rPr>
          <w:szCs w:val="21"/>
        </w:rPr>
        <w:t xml:space="preserve">         (H.18</w:t>
      </w:r>
      <w:r>
        <w:rPr>
          <w:rFonts w:hint="eastAsia"/>
          <w:szCs w:val="21"/>
        </w:rPr>
        <w:t>）</w:t>
      </w:r>
    </w:p>
    <w:p>
      <w:pPr>
        <w:tabs>
          <w:tab w:val="left" w:pos="284"/>
          <w:tab w:val="left" w:pos="567"/>
        </w:tabs>
        <w:spacing w:before="156" w:beforeLines="50" w:after="156" w:afterLines="50"/>
        <w:ind w:firstLine="420" w:firstLineChars="200"/>
        <w:jc w:val="left"/>
        <w:rPr>
          <w:szCs w:val="22"/>
        </w:rPr>
      </w:pPr>
      <w:r>
        <w:rPr>
          <w:rFonts w:hint="eastAsia"/>
        </w:rPr>
        <w:t>且用下式计算</w:t>
      </w:r>
      <w:r>
        <w:rPr>
          <w:i/>
        </w:rPr>
        <w:t>F</w:t>
      </w:r>
      <w:r>
        <w:rPr>
          <w:rFonts w:hint="eastAsia"/>
        </w:rPr>
        <w:t>比：</w:t>
      </w:r>
    </w:p>
    <w:p>
      <w:pPr>
        <w:tabs>
          <w:tab w:val="left" w:pos="284"/>
          <w:tab w:val="left" w:pos="567"/>
        </w:tabs>
        <w:spacing w:before="156" w:beforeLines="50" w:after="156" w:afterLines="50"/>
        <w:ind w:firstLine="420" w:firstLineChars="200"/>
        <w:jc w:val="left"/>
        <w:rPr>
          <w:szCs w:val="21"/>
        </w:rPr>
      </w:pPr>
      <m:oMath>
        <m:sSub>
          <m:sSubPr>
            <m:ctrlPr>
              <w:rPr>
                <w:rFonts w:ascii="Cambria Math" w:hAnsi="Cambria Math"/>
                <w:szCs w:val="22"/>
              </w:rPr>
            </m:ctrlPr>
          </m:sSubPr>
          <m:e>
            <m:r>
              <m:rPr/>
              <w:rPr>
                <w:rFonts w:ascii="Cambria Math" w:hAnsi="Cambria Math"/>
              </w:rPr>
              <m:t>F</m:t>
            </m:r>
            <m:ctrlPr>
              <w:rPr>
                <w:rFonts w:ascii="Cambria Math" w:hAnsi="Cambria Math"/>
                <w:szCs w:val="22"/>
              </w:rPr>
            </m:ctrlPr>
          </m:e>
          <m:sub>
            <m:r>
              <m:rPr/>
              <w:rPr>
                <w:rFonts w:ascii="Cambria Math" w:hAnsi="Cambria Math"/>
              </w:rPr>
              <m:t>r</m:t>
            </m:r>
            <m:ctrlPr>
              <w:rPr>
                <w:rFonts w:ascii="Cambria Math" w:hAnsi="Cambria Math"/>
                <w:szCs w:val="22"/>
              </w:rPr>
            </m:ctrlPr>
          </m:sub>
        </m:sSub>
        <m:r>
          <m:rPr/>
          <w:rPr>
            <w:rFonts w:ascii="Cambria Math" w:hAnsi="Cambria Math"/>
          </w:rPr>
          <m:t>=</m:t>
        </m:r>
        <m:f>
          <m:fPr>
            <m:ctrlPr>
              <w:rPr>
                <w:rFonts w:ascii="Cambria Math" w:hAnsi="Cambria Math"/>
                <w:i/>
                <w:szCs w:val="22"/>
              </w:rPr>
            </m:ctrlPr>
          </m:fPr>
          <m:num>
            <m:r>
              <m:rPr/>
              <w:rPr>
                <w:rFonts w:ascii="Cambria Math" w:hAnsi="Cambria Math"/>
              </w:rPr>
              <m:t>D</m:t>
            </m:r>
            <m:ctrlPr>
              <w:rPr>
                <w:rFonts w:ascii="Cambria Math" w:hAnsi="Cambria Math"/>
                <w:i/>
                <w:szCs w:val="22"/>
              </w:rPr>
            </m:ctrlPr>
          </m:num>
          <m:den>
            <m:r>
              <m:rPr/>
              <w:rPr>
                <w:rFonts w:ascii="Cambria Math" w:hAnsi="Cambria Math"/>
              </w:rPr>
              <m:t>3</m:t>
            </m:r>
            <m:ctrlPr>
              <w:rPr>
                <w:rFonts w:ascii="Cambria Math" w:hAnsi="Cambria Math"/>
                <w:i/>
                <w:szCs w:val="22"/>
              </w:rPr>
            </m:ctrlPr>
          </m:den>
        </m:f>
        <m:r>
          <m:rPr/>
          <w:rPr>
            <w:rFonts w:ascii="Cambria Math" w:hAnsi="Cambria Math"/>
          </w:rPr>
          <m:t>×</m:t>
        </m:r>
        <m:f>
          <m:fPr>
            <m:ctrlPr>
              <w:rPr>
                <w:rFonts w:ascii="Cambria Math" w:hAnsi="Cambria Math"/>
                <w:i/>
                <w:szCs w:val="22"/>
              </w:rPr>
            </m:ctrlPr>
          </m:fPr>
          <m:num>
            <m:r>
              <m:rPr/>
              <w:rPr>
                <w:rFonts w:ascii="Cambria Math" w:hAnsi="Cambria Math"/>
              </w:rPr>
              <m:t>n−4</m:t>
            </m:r>
            <m:ctrlPr>
              <w:rPr>
                <w:rFonts w:ascii="Cambria Math" w:hAnsi="Cambria Math"/>
                <w:i/>
                <w:szCs w:val="22"/>
              </w:rPr>
            </m:ctrlPr>
          </m:num>
          <m:den>
            <m:sSub>
              <m:sSubPr>
                <m:ctrlPr>
                  <w:rPr>
                    <w:rFonts w:ascii="Cambria Math" w:hAnsi="Cambria Math"/>
                    <w:i/>
                    <w:szCs w:val="22"/>
                  </w:rPr>
                </m:ctrlPr>
              </m:sSubPr>
              <m:e>
                <m:r>
                  <m:rPr/>
                  <w:rPr>
                    <w:rFonts w:ascii="Cambria Math" w:hAnsi="Cambria Math"/>
                  </w:rPr>
                  <m:t>C</m:t>
                </m:r>
                <m:ctrlPr>
                  <w:rPr>
                    <w:rFonts w:ascii="Cambria Math" w:hAnsi="Cambria Math"/>
                    <w:i/>
                    <w:szCs w:val="22"/>
                  </w:rPr>
                </m:ctrlPr>
              </m:e>
              <m:sub>
                <m:r>
                  <m:rPr/>
                  <w:rPr>
                    <w:rFonts w:ascii="Cambria Math" w:hAnsi="Cambria Math"/>
                  </w:rPr>
                  <m:t>yy</m:t>
                </m:r>
                <m:ctrlPr>
                  <w:rPr>
                    <w:rFonts w:ascii="Cambria Math" w:hAnsi="Cambria Math"/>
                    <w:i/>
                    <w:szCs w:val="22"/>
                  </w:rPr>
                </m:ctrlPr>
              </m:sub>
            </m:sSub>
            <m:r>
              <m:rPr/>
              <w:rPr>
                <w:rFonts w:ascii="Cambria Math" w:hAnsi="Cambria Math"/>
              </w:rPr>
              <m:t>−D</m:t>
            </m:r>
            <m:ctrlPr>
              <w:rPr>
                <w:rFonts w:ascii="Cambria Math" w:hAnsi="Cambria Math"/>
                <w:i/>
                <w:szCs w:val="22"/>
              </w:rPr>
            </m:ctrlPr>
          </m:den>
        </m:f>
      </m:oMath>
      <w:r>
        <w:t xml:space="preserve">                                   </w:t>
      </w:r>
      <w:r>
        <w:rPr>
          <w:rFonts w:hint="eastAsia"/>
        </w:rPr>
        <w:t xml:space="preserve">      </w:t>
      </w:r>
      <w:r>
        <w:t xml:space="preserve">                 </w:t>
      </w:r>
      <w:r>
        <w:rPr>
          <w:szCs w:val="21"/>
        </w:rPr>
        <w:t xml:space="preserve"> (H.19</w:t>
      </w:r>
      <w:r>
        <w:rPr>
          <w:rFonts w:hint="eastAsia"/>
          <w:szCs w:val="21"/>
        </w:rPr>
        <w:t>）</w:t>
      </w:r>
    </w:p>
    <w:p>
      <w:pPr>
        <w:pStyle w:val="102"/>
        <w:tabs>
          <w:tab w:val="left" w:pos="360"/>
        </w:tabs>
        <w:spacing w:before="312" w:after="312"/>
      </w:pPr>
      <w:bookmarkStart w:id="304" w:name="_Toc124173995"/>
      <w:r>
        <w:rPr>
          <w:rFonts w:hint="eastAsia"/>
        </w:rPr>
        <w:t>利用excel计算多元函数回归的方法</w:t>
      </w:r>
      <w:bookmarkEnd w:id="304"/>
    </w:p>
    <w:p>
      <w:pPr>
        <w:pStyle w:val="30"/>
        <w:spacing w:before="0" w:beforeAutospacing="0" w:after="0" w:afterAutospacing="0"/>
        <w:ind w:firstLine="440"/>
      </w:pPr>
      <w:r>
        <w:rPr>
          <w:rFonts w:hint="eastAsia"/>
        </w:rPr>
        <w:t>在excel功能区“数据”区中添加“数据分析”功能。Excel选项→加载项→分析工具库→管理excel加载项→转到→选择“分析工具库”，完成“数据分析”功能添加。</w:t>
      </w:r>
    </w:p>
    <w:p>
      <w:pPr>
        <w:pStyle w:val="30"/>
        <w:spacing w:before="0" w:beforeAutospacing="0" w:after="0" w:afterAutospacing="0"/>
        <w:ind w:firstLine="440"/>
      </w:pPr>
      <w:r>
        <w:rPr>
          <w:rFonts w:hint="eastAsia"/>
        </w:rPr>
        <w:t>利用excel计算多元函数回归的方法</w:t>
      </w:r>
      <w:r>
        <w:rPr>
          <w:rFonts w:hint="eastAsia" w:asciiTheme="minorHAnsi" w:eastAsiaTheme="minorEastAsia" w:cstheme="minorBidi"/>
          <w:color w:val="000000" w:themeColor="dark1"/>
          <w:sz w:val="22"/>
          <w:szCs w:val="22"/>
          <w14:textFill>
            <w14:solidFill>
              <w14:schemeClr w14:val="dk1"/>
            </w14:solidFill>
          </w14:textFill>
        </w:rPr>
        <w:t>进行二次或三次回归分析，其关键是定义输入</w:t>
      </w:r>
      <w:r>
        <w:rPr>
          <w:rFonts w:ascii="Times New Roman" w:hAnsi="Times New Roman" w:cs="Times New Roman" w:eastAsiaTheme="minorEastAsia"/>
          <w:color w:val="000000" w:themeColor="dark1"/>
          <w:sz w:val="22"/>
          <w:szCs w:val="22"/>
          <w14:textFill>
            <w14:solidFill>
              <w14:schemeClr w14:val="dk1"/>
            </w14:solidFill>
          </w14:textFill>
        </w:rPr>
        <w:t>X的</w:t>
      </w:r>
      <w:r>
        <w:rPr>
          <w:rFonts w:hint="eastAsia" w:asciiTheme="minorHAnsi" w:eastAsiaTheme="minorEastAsia" w:cstheme="minorBidi"/>
          <w:color w:val="000000" w:themeColor="dark1"/>
          <w:sz w:val="22"/>
          <w:szCs w:val="22"/>
          <w14:textFill>
            <w14:solidFill>
              <w14:schemeClr w14:val="dk1"/>
            </w14:solidFill>
          </w14:textFill>
        </w:rPr>
        <w:t>范围。</w:t>
      </w:r>
    </w:p>
    <w:p>
      <w:pPr>
        <w:pStyle w:val="30"/>
        <w:spacing w:before="0" w:beforeAutospacing="0" w:after="0" w:afterAutospacing="0"/>
        <w:ind w:firstLine="440"/>
        <w:rPr>
          <w:rFonts w:asciiTheme="minorHAnsi" w:eastAsiaTheme="minorEastAsia" w:cstheme="minorBidi"/>
          <w:color w:val="000000" w:themeColor="dark1"/>
          <w:sz w:val="22"/>
          <w:szCs w:val="22"/>
          <w14:textFill>
            <w14:solidFill>
              <w14:schemeClr w14:val="dk1"/>
            </w14:solidFill>
          </w14:textFill>
        </w:rPr>
      </w:pPr>
      <w:r>
        <w:rPr>
          <w:rFonts w:hint="eastAsia" w:asciiTheme="minorHAnsi" w:eastAsiaTheme="minorEastAsia" w:cstheme="minorBidi"/>
          <w:color w:val="000000" w:themeColor="dark1"/>
          <w:sz w:val="22"/>
          <w:szCs w:val="22"/>
          <w14:textFill>
            <w14:solidFill>
              <w14:schemeClr w14:val="dk1"/>
            </w14:solidFill>
          </w14:textFill>
        </w:rPr>
        <w:t>如果做一个简单的线性回归，</w:t>
      </w:r>
      <w:r>
        <w:rPr>
          <w:rFonts w:ascii="Times New Roman"/>
          <w:i/>
        </w:rPr>
        <w:t>y</w:t>
      </w:r>
      <w:r>
        <w:rPr>
          <w:rFonts w:ascii="Times New Roman"/>
        </w:rPr>
        <w:t xml:space="preserve"> = </w:t>
      </w:r>
      <w:r>
        <w:rPr>
          <w:rFonts w:ascii="Times New Roman"/>
          <w:i/>
        </w:rPr>
        <w:t>a</w:t>
      </w:r>
      <w:r>
        <w:rPr>
          <w:rFonts w:ascii="Times New Roman"/>
        </w:rPr>
        <w:t xml:space="preserve"> + </w:t>
      </w:r>
      <w:r>
        <w:rPr>
          <w:rFonts w:ascii="Times New Roman"/>
          <w:i/>
        </w:rPr>
        <w:t>bx</w:t>
      </w:r>
      <w:r>
        <w:rPr>
          <w:rFonts w:hint="eastAsia" w:ascii="Times New Roman"/>
        </w:rPr>
        <w:t>，</w:t>
      </w:r>
      <w:r>
        <w:rPr>
          <w:rFonts w:hint="eastAsia" w:asciiTheme="minorHAnsi" w:eastAsiaTheme="minorEastAsia" w:cstheme="minorBidi"/>
          <w:color w:val="000000" w:themeColor="dark1"/>
          <w:sz w:val="22"/>
          <w:szCs w:val="22"/>
          <w14:textFill>
            <w14:solidFill>
              <w14:schemeClr w14:val="dk1"/>
            </w14:solidFill>
          </w14:textFill>
        </w:rPr>
        <w:t>只需要</w:t>
      </w:r>
      <w:r>
        <w:rPr>
          <w:rFonts w:hAnsi="Calibri" w:asciiTheme="minorHAnsi" w:eastAsiaTheme="minorEastAsia" w:cstheme="minorBidi"/>
          <w:color w:val="000000" w:themeColor="dark1"/>
          <w:sz w:val="22"/>
          <w:szCs w:val="22"/>
          <w14:textFill>
            <w14:solidFill>
              <w14:schemeClr w14:val="dk1"/>
            </w14:solidFill>
          </w14:textFill>
        </w:rPr>
        <w:t>二</w:t>
      </w:r>
      <w:r>
        <w:rPr>
          <w:rFonts w:hint="eastAsia" w:asciiTheme="minorHAnsi" w:eastAsiaTheme="minorEastAsia" w:cstheme="minorBidi"/>
          <w:color w:val="000000" w:themeColor="dark1"/>
          <w:sz w:val="22"/>
          <w:szCs w:val="22"/>
          <w14:textFill>
            <w14:solidFill>
              <w14:schemeClr w14:val="dk1"/>
            </w14:solidFill>
          </w14:textFill>
        </w:rPr>
        <w:t>列</w:t>
      </w:r>
      <w:r>
        <w:rPr>
          <w:rFonts w:hAnsi="Calibri" w:asciiTheme="minorHAnsi" w:eastAsiaTheme="minorEastAsia" w:cstheme="minorBidi"/>
          <w:color w:val="000000" w:themeColor="dark1"/>
          <w:sz w:val="22"/>
          <w:szCs w:val="22"/>
          <w14:textFill>
            <w14:solidFill>
              <w14:schemeClr w14:val="dk1"/>
            </w14:solidFill>
          </w14:textFill>
        </w:rPr>
        <w:t>, Y</w:t>
      </w:r>
      <w:r>
        <w:rPr>
          <w:rFonts w:hint="eastAsia" w:asciiTheme="minorHAnsi" w:eastAsiaTheme="minorEastAsia" w:cstheme="minorBidi"/>
          <w:color w:val="000000" w:themeColor="dark1"/>
          <w:sz w:val="22"/>
          <w:szCs w:val="22"/>
          <w14:textFill>
            <w14:solidFill>
              <w14:schemeClr w14:val="dk1"/>
            </w14:solidFill>
          </w14:textFill>
        </w:rPr>
        <w:t>和</w:t>
      </w:r>
      <w:r>
        <w:rPr>
          <w:rFonts w:hAnsi="Calibri" w:asciiTheme="minorHAnsi" w:eastAsiaTheme="minorEastAsia" w:cstheme="minorBidi"/>
          <w:color w:val="000000" w:themeColor="dark1"/>
          <w:sz w:val="22"/>
          <w:szCs w:val="22"/>
          <w14:textFill>
            <w14:solidFill>
              <w14:schemeClr w14:val="dk1"/>
            </w14:solidFill>
          </w14:textFill>
        </w:rPr>
        <w:t>X</w:t>
      </w:r>
      <w:r>
        <w:rPr>
          <w:rFonts w:hint="eastAsia" w:asciiTheme="minorHAnsi" w:eastAsiaTheme="minorEastAsia" w:cstheme="minorBidi"/>
          <w:color w:val="000000" w:themeColor="dark1"/>
          <w:sz w:val="22"/>
          <w:szCs w:val="22"/>
          <w14:textFill>
            <w14:solidFill>
              <w14:schemeClr w14:val="dk1"/>
            </w14:solidFill>
          </w14:textFill>
        </w:rPr>
        <w:t>，即表H.1的A、B</w:t>
      </w:r>
      <w:r>
        <w:rPr>
          <w:rFonts w:asciiTheme="minorHAnsi" w:eastAsiaTheme="minorEastAsia" w:cstheme="minorBidi"/>
          <w:color w:val="000000" w:themeColor="dark1"/>
          <w:sz w:val="22"/>
          <w:szCs w:val="22"/>
          <w14:textFill>
            <w14:solidFill>
              <w14:schemeClr w14:val="dk1"/>
            </w14:solidFill>
          </w14:textFill>
        </w:rPr>
        <w:t>列。</w:t>
      </w:r>
    </w:p>
    <w:p>
      <w:pPr>
        <w:pStyle w:val="30"/>
        <w:spacing w:before="0" w:beforeAutospacing="0" w:after="0" w:afterAutospacing="0"/>
        <w:ind w:firstLine="440"/>
        <w:rPr>
          <w:rFonts w:asciiTheme="minorHAnsi" w:eastAsiaTheme="minorEastAsia" w:cstheme="minorBidi"/>
          <w:color w:val="000000" w:themeColor="dark1"/>
          <w:sz w:val="22"/>
          <w:szCs w:val="22"/>
          <w14:textFill>
            <w14:solidFill>
              <w14:schemeClr w14:val="dk1"/>
            </w14:solidFill>
          </w14:textFill>
        </w:rPr>
      </w:pPr>
      <w:r>
        <w:rPr>
          <w:rFonts w:hint="eastAsia" w:asciiTheme="minorHAnsi" w:eastAsiaTheme="minorEastAsia" w:cstheme="minorBidi"/>
          <w:color w:val="000000" w:themeColor="dark1"/>
          <w:sz w:val="22"/>
          <w:szCs w:val="22"/>
          <w14:textFill>
            <w14:solidFill>
              <w14:schemeClr w14:val="dk1"/>
            </w14:solidFill>
          </w14:textFill>
        </w:rPr>
        <w:t>如果要做一元二次方程回归，</w:t>
      </w:r>
      <w:r>
        <w:rPr>
          <w:rFonts w:ascii="Times New Roman"/>
          <w:i/>
        </w:rPr>
        <w:t>y</w:t>
      </w:r>
      <w:r>
        <w:rPr>
          <w:rFonts w:ascii="Times New Roman"/>
        </w:rPr>
        <w:t xml:space="preserve"> = </w:t>
      </w:r>
      <w:r>
        <w:rPr>
          <w:rFonts w:ascii="Times New Roman"/>
          <w:i/>
        </w:rPr>
        <w:t>a</w:t>
      </w:r>
      <w:r>
        <w:rPr>
          <w:rFonts w:ascii="Times New Roman"/>
        </w:rPr>
        <w:t xml:space="preserve"> + </w:t>
      </w:r>
      <w:r>
        <w:rPr>
          <w:rFonts w:ascii="Times New Roman"/>
          <w:i/>
        </w:rPr>
        <w:t>bx+cx</w:t>
      </w:r>
      <w:r>
        <w:rPr>
          <w:rFonts w:ascii="Times New Roman"/>
          <w:vertAlign w:val="superscript"/>
        </w:rPr>
        <w:t>2</w:t>
      </w:r>
      <w:r>
        <w:rPr>
          <w:rFonts w:hint="eastAsia" w:asciiTheme="minorHAnsi" w:eastAsiaTheme="minorEastAsia" w:cstheme="minorBidi"/>
          <w:color w:val="000000" w:themeColor="dark1"/>
          <w:sz w:val="22"/>
          <w:szCs w:val="22"/>
          <w14:textFill>
            <w14:solidFill>
              <w14:schemeClr w14:val="dk1"/>
            </w14:solidFill>
          </w14:textFill>
        </w:rPr>
        <w:t>，则需要</w:t>
      </w:r>
      <w:r>
        <w:rPr>
          <w:rFonts w:hAnsi="Calibri" w:asciiTheme="minorHAnsi" w:eastAsiaTheme="minorEastAsia" w:cstheme="minorBidi"/>
          <w:color w:val="000000" w:themeColor="dark1"/>
          <w:sz w:val="22"/>
          <w:szCs w:val="22"/>
          <w14:textFill>
            <w14:solidFill>
              <w14:schemeClr w14:val="dk1"/>
            </w14:solidFill>
          </w14:textFill>
        </w:rPr>
        <w:t>Y</w:t>
      </w:r>
      <w:r>
        <w:rPr>
          <w:rFonts w:hint="eastAsia" w:asciiTheme="minorHAnsi" w:eastAsiaTheme="minorEastAsia" w:cstheme="minorBidi"/>
          <w:color w:val="000000" w:themeColor="dark1"/>
          <w:sz w:val="22"/>
          <w:szCs w:val="22"/>
          <w14:textFill>
            <w14:solidFill>
              <w14:schemeClr w14:val="dk1"/>
            </w14:solidFill>
          </w14:textFill>
        </w:rPr>
        <w:t>和</w:t>
      </w:r>
      <w:r>
        <w:rPr>
          <w:rFonts w:hAnsi="Calibri" w:asciiTheme="minorHAnsi" w:eastAsiaTheme="minorEastAsia" w:cstheme="minorBidi"/>
          <w:color w:val="000000" w:themeColor="dark1"/>
          <w:sz w:val="22"/>
          <w:szCs w:val="22"/>
          <w14:textFill>
            <w14:solidFill>
              <w14:schemeClr w14:val="dk1"/>
            </w14:solidFill>
          </w14:textFill>
        </w:rPr>
        <w:t>X1</w:t>
      </w:r>
      <w:r>
        <w:rPr>
          <w:rFonts w:hint="eastAsia" w:hAnsi="Calibri" w:asciiTheme="minorHAnsi" w:eastAsiaTheme="minorEastAsia" w:cstheme="minorBidi"/>
          <w:color w:val="000000" w:themeColor="dark1"/>
          <w:sz w:val="22"/>
          <w:szCs w:val="22"/>
          <w14:textFill>
            <w14:solidFill>
              <w14:schemeClr w14:val="dk1"/>
            </w14:solidFill>
          </w14:textFill>
        </w:rPr>
        <w:t>、</w:t>
      </w:r>
      <w:r>
        <w:rPr>
          <w:rFonts w:hAnsi="Calibri" w:asciiTheme="minorHAnsi" w:eastAsiaTheme="minorEastAsia" w:cstheme="minorBidi"/>
          <w:color w:val="000000" w:themeColor="dark1"/>
          <w:sz w:val="22"/>
          <w:szCs w:val="22"/>
          <w14:textFill>
            <w14:solidFill>
              <w14:schemeClr w14:val="dk1"/>
            </w14:solidFill>
          </w14:textFill>
        </w:rPr>
        <w:t>X2</w:t>
      </w:r>
      <w:r>
        <w:rPr>
          <w:rFonts w:hint="eastAsia" w:asciiTheme="minorHAnsi" w:eastAsiaTheme="minorEastAsia" w:cstheme="minorBidi"/>
          <w:color w:val="000000" w:themeColor="dark1"/>
          <w:sz w:val="22"/>
          <w:szCs w:val="22"/>
          <w14:textFill>
            <w14:solidFill>
              <w14:schemeClr w14:val="dk1"/>
            </w14:solidFill>
          </w14:textFill>
        </w:rPr>
        <w:t>，即表H.1的A、B、C</w:t>
      </w:r>
      <w:r>
        <w:rPr>
          <w:rFonts w:asciiTheme="minorHAnsi" w:eastAsiaTheme="minorEastAsia" w:cstheme="minorBidi"/>
          <w:color w:val="000000" w:themeColor="dark1"/>
          <w:sz w:val="22"/>
          <w:szCs w:val="22"/>
          <w14:textFill>
            <w14:solidFill>
              <w14:schemeClr w14:val="dk1"/>
            </w14:solidFill>
          </w14:textFill>
        </w:rPr>
        <w:t>列</w:t>
      </w:r>
      <w:r>
        <w:rPr>
          <w:rFonts w:hint="eastAsia" w:asciiTheme="minorHAnsi" w:eastAsiaTheme="minorEastAsia" w:cstheme="minorBidi"/>
          <w:color w:val="000000" w:themeColor="dark1"/>
          <w:sz w:val="22"/>
          <w:szCs w:val="22"/>
          <w14:textFill>
            <w14:solidFill>
              <w14:schemeClr w14:val="dk1"/>
            </w14:solidFill>
          </w14:textFill>
        </w:rPr>
        <w:t>，其中</w:t>
      </w:r>
      <w:r>
        <w:rPr>
          <w:rFonts w:hAnsi="Calibri" w:asciiTheme="minorHAnsi" w:eastAsiaTheme="minorEastAsia" w:cstheme="minorBidi"/>
          <w:color w:val="000000" w:themeColor="dark1"/>
          <w:sz w:val="22"/>
          <w:szCs w:val="22"/>
          <w14:textFill>
            <w14:solidFill>
              <w14:schemeClr w14:val="dk1"/>
            </w14:solidFill>
          </w14:textFill>
        </w:rPr>
        <w:t>X1</w:t>
      </w:r>
      <w:r>
        <w:rPr>
          <w:rFonts w:hint="eastAsia" w:asciiTheme="minorHAnsi" w:eastAsiaTheme="minorEastAsia" w:cstheme="minorBidi"/>
          <w:color w:val="000000" w:themeColor="dark1"/>
          <w:sz w:val="22"/>
          <w:szCs w:val="22"/>
          <w14:textFill>
            <w14:solidFill>
              <w14:schemeClr w14:val="dk1"/>
            </w14:solidFill>
          </w14:textFill>
        </w:rPr>
        <w:t>是变量</w:t>
      </w:r>
      <w:r>
        <w:rPr>
          <w:rFonts w:ascii="Times New Roman"/>
          <w:i/>
        </w:rPr>
        <w:t>x</w:t>
      </w:r>
      <w:r>
        <w:rPr>
          <w:rFonts w:hint="eastAsia" w:asciiTheme="minorHAnsi" w:eastAsiaTheme="minorEastAsia" w:cstheme="minorBidi"/>
          <w:color w:val="000000" w:themeColor="dark1"/>
          <w:sz w:val="22"/>
          <w:szCs w:val="22"/>
          <w14:textFill>
            <w14:solidFill>
              <w14:schemeClr w14:val="dk1"/>
            </w14:solidFill>
          </w14:textFill>
        </w:rPr>
        <w:t>，</w:t>
      </w:r>
      <w:r>
        <w:rPr>
          <w:rFonts w:hAnsi="Calibri" w:asciiTheme="minorHAnsi" w:eastAsiaTheme="minorEastAsia" w:cstheme="minorBidi"/>
          <w:color w:val="000000" w:themeColor="dark1"/>
          <w:sz w:val="22"/>
          <w:szCs w:val="22"/>
          <w14:textFill>
            <w14:solidFill>
              <w14:schemeClr w14:val="dk1"/>
            </w14:solidFill>
          </w14:textFill>
        </w:rPr>
        <w:t>X2</w:t>
      </w:r>
      <w:r>
        <w:rPr>
          <w:rFonts w:hint="eastAsia" w:asciiTheme="minorHAnsi" w:eastAsiaTheme="minorEastAsia" w:cstheme="minorBidi"/>
          <w:color w:val="000000" w:themeColor="dark1"/>
          <w:sz w:val="22"/>
          <w:szCs w:val="22"/>
          <w14:textFill>
            <w14:solidFill>
              <w14:schemeClr w14:val="dk1"/>
            </w14:solidFill>
          </w14:textFill>
        </w:rPr>
        <w:t>是变量</w:t>
      </w:r>
      <w:r>
        <w:rPr>
          <w:rFonts w:ascii="Times New Roman"/>
          <w:i/>
        </w:rPr>
        <w:t>x</w:t>
      </w:r>
      <w:r>
        <w:rPr>
          <w:rFonts w:hAnsi="Calibri" w:asciiTheme="minorHAnsi" w:eastAsiaTheme="minorEastAsia" w:cstheme="minorBidi"/>
          <w:b/>
          <w:bCs/>
          <w:color w:val="000000" w:themeColor="dark1"/>
          <w:sz w:val="22"/>
          <w:szCs w:val="22"/>
          <w14:textFill>
            <w14:solidFill>
              <w14:schemeClr w14:val="dk1"/>
            </w14:solidFill>
          </w14:textFill>
        </w:rPr>
        <w:t xml:space="preserve"> </w:t>
      </w:r>
      <w:r>
        <w:rPr>
          <w:rFonts w:hAnsi="Calibri" w:asciiTheme="minorHAnsi" w:eastAsiaTheme="minorEastAsia" w:cstheme="minorBidi"/>
          <w:b/>
          <w:bCs/>
          <w:color w:val="000000" w:themeColor="dark1"/>
          <w:sz w:val="22"/>
          <w:szCs w:val="22"/>
          <w:vertAlign w:val="superscript"/>
          <w14:textFill>
            <w14:solidFill>
              <w14:schemeClr w14:val="dk1"/>
            </w14:solidFill>
          </w14:textFill>
        </w:rPr>
        <w:t>2</w:t>
      </w:r>
      <w:r>
        <w:rPr>
          <w:rFonts w:hAnsi="Calibri" w:asciiTheme="minorHAnsi" w:eastAsiaTheme="minorEastAsia" w:cstheme="minorBidi"/>
          <w:color w:val="000000" w:themeColor="dark1"/>
          <w:sz w:val="22"/>
          <w:szCs w:val="22"/>
          <w14:textFill>
            <w14:solidFill>
              <w14:schemeClr w14:val="dk1"/>
            </w14:solidFill>
          </w14:textFill>
        </w:rPr>
        <w:t> </w:t>
      </w:r>
      <w:r>
        <w:rPr>
          <w:rFonts w:hint="eastAsia" w:asciiTheme="minorHAnsi" w:eastAsiaTheme="minorEastAsia" w:cstheme="minorBidi"/>
          <w:color w:val="000000" w:themeColor="dark1"/>
          <w:sz w:val="22"/>
          <w:szCs w:val="22"/>
          <w14:textFill>
            <w14:solidFill>
              <w14:schemeClr w14:val="dk1"/>
            </w14:solidFill>
          </w14:textFill>
        </w:rPr>
        <w:t>。</w:t>
      </w:r>
    </w:p>
    <w:p>
      <w:pPr>
        <w:pStyle w:val="30"/>
        <w:spacing w:before="0" w:beforeAutospacing="0" w:after="0" w:afterAutospacing="0"/>
        <w:ind w:firstLine="440"/>
        <w:rPr>
          <w:rFonts w:asciiTheme="minorHAnsi" w:eastAsiaTheme="minorEastAsia" w:cstheme="minorBidi"/>
          <w:color w:val="000000" w:themeColor="dark1"/>
          <w:sz w:val="22"/>
          <w:szCs w:val="22"/>
          <w14:textFill>
            <w14:solidFill>
              <w14:schemeClr w14:val="dk1"/>
            </w14:solidFill>
          </w14:textFill>
        </w:rPr>
      </w:pPr>
    </w:p>
    <w:p>
      <w:pPr>
        <w:pStyle w:val="30"/>
        <w:spacing w:before="0" w:beforeAutospacing="0" w:after="0" w:afterAutospacing="0"/>
        <w:ind w:firstLine="440"/>
        <w:jc w:val="center"/>
      </w:pPr>
      <w:r>
        <w:rPr>
          <w:rFonts w:hint="eastAsia" w:asciiTheme="minorHAnsi" w:eastAsiaTheme="minorEastAsia" w:cstheme="minorBidi"/>
          <w:color w:val="000000" w:themeColor="dark1"/>
          <w:sz w:val="22"/>
          <w:szCs w:val="22"/>
          <w14:textFill>
            <w14:solidFill>
              <w14:schemeClr w14:val="dk1"/>
            </w14:solidFill>
          </w14:textFill>
        </w:rPr>
        <w:t>表H.1</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2"/>
        <w:gridCol w:w="2393"/>
        <w:gridCol w:w="2980"/>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0" w:type="pct"/>
            <w:vAlign w:val="center"/>
          </w:tcPr>
          <w:p>
            <w:pPr>
              <w:widowControl/>
              <w:jc w:val="center"/>
              <w:rPr>
                <w:rFonts w:ascii="宋体" w:hAnsi="宋体" w:cs="宋体"/>
                <w:color w:val="000000"/>
                <w:kern w:val="0"/>
                <w:sz w:val="18"/>
                <w:szCs w:val="18"/>
              </w:rPr>
            </w:pPr>
          </w:p>
        </w:tc>
        <w:tc>
          <w:tcPr>
            <w:tcW w:w="1250"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A</w:t>
            </w:r>
          </w:p>
        </w:tc>
        <w:tc>
          <w:tcPr>
            <w:tcW w:w="1557"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943"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250" w:type="pct"/>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250" w:type="pct"/>
            <w:shd w:val="clear" w:color="auto" w:fill="auto"/>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中位数</w:t>
            </w:r>
          </w:p>
        </w:tc>
        <w:tc>
          <w:tcPr>
            <w:tcW w:w="1557" w:type="pct"/>
            <w:shd w:val="clear" w:color="auto" w:fill="auto"/>
            <w:noWrap/>
            <w:vAlign w:val="center"/>
          </w:tcPr>
          <w:p>
            <w:pPr>
              <w:widowControl/>
              <w:spacing w:line="0" w:lineRule="atLeast"/>
              <w:jc w:val="center"/>
              <w:rPr>
                <w:rFonts w:ascii="宋体" w:hAnsi="宋体" w:cs="宋体"/>
                <w:color w:val="000000"/>
                <w:kern w:val="0"/>
                <w:sz w:val="18"/>
                <w:szCs w:val="18"/>
              </w:rPr>
            </w:pPr>
            <w:r>
              <w:rPr>
                <w:rFonts w:hint="eastAsia" w:ascii="宋体" w:hAnsi="宋体" w:cs="宋体"/>
                <w:color w:val="000000"/>
                <w:kern w:val="0"/>
                <w:sz w:val="18"/>
                <w:szCs w:val="18"/>
              </w:rPr>
              <w:t>老化时间/d</w:t>
            </w:r>
          </w:p>
        </w:tc>
        <w:tc>
          <w:tcPr>
            <w:tcW w:w="943" w:type="pct"/>
            <w:shd w:val="clear" w:color="auto" w:fill="auto"/>
            <w:noWrap/>
            <w:vAlign w:val="center"/>
          </w:tcPr>
          <w:p>
            <w:pPr>
              <w:spacing w:line="0" w:lineRule="atLeast"/>
              <w:jc w:val="center"/>
              <w:rPr>
                <w:rFonts w:ascii="宋体" w:hAnsi="宋体"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0" w:type="pct"/>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250" w:type="pct"/>
            <w:shd w:val="clear" w:color="auto" w:fill="auto"/>
            <w:noWrap/>
            <w:vAlign w:val="center"/>
          </w:tcPr>
          <w:p>
            <w:pPr>
              <w:widowControl/>
              <w:jc w:val="center"/>
              <w:rPr>
                <w:i/>
                <w:color w:val="000000"/>
                <w:kern w:val="0"/>
                <w:sz w:val="18"/>
                <w:szCs w:val="18"/>
              </w:rPr>
            </w:pPr>
            <w:r>
              <w:rPr>
                <w:i/>
                <w:color w:val="000000"/>
                <w:kern w:val="0"/>
                <w:sz w:val="18"/>
                <w:szCs w:val="18"/>
              </w:rPr>
              <w:t>y</w:t>
            </w:r>
          </w:p>
        </w:tc>
        <w:tc>
          <w:tcPr>
            <w:tcW w:w="1557" w:type="pct"/>
            <w:shd w:val="clear" w:color="auto" w:fill="auto"/>
            <w:noWrap/>
            <w:vAlign w:val="center"/>
          </w:tcPr>
          <w:p>
            <w:pPr>
              <w:widowControl/>
              <w:jc w:val="center"/>
              <w:rPr>
                <w:i/>
                <w:color w:val="000000"/>
                <w:kern w:val="0"/>
                <w:sz w:val="18"/>
                <w:szCs w:val="18"/>
              </w:rPr>
            </w:pPr>
            <w:r>
              <w:rPr>
                <w:i/>
                <w:color w:val="000000"/>
                <w:kern w:val="0"/>
                <w:sz w:val="18"/>
                <w:szCs w:val="18"/>
              </w:rPr>
              <w:t>x</w:t>
            </w:r>
          </w:p>
        </w:tc>
        <w:tc>
          <w:tcPr>
            <w:tcW w:w="943" w:type="pct"/>
            <w:shd w:val="clear" w:color="auto" w:fill="auto"/>
            <w:noWrap/>
            <w:vAlign w:val="center"/>
          </w:tcPr>
          <w:p>
            <w:pPr>
              <w:widowControl/>
              <w:jc w:val="center"/>
              <w:rPr>
                <w:rFonts w:ascii="宋体" w:hAnsi="宋体" w:cs="宋体"/>
                <w:color w:val="000000"/>
                <w:kern w:val="0"/>
                <w:sz w:val="18"/>
                <w:szCs w:val="18"/>
              </w:rPr>
            </w:pPr>
            <w:r>
              <w:rPr>
                <w:i/>
                <w:color w:val="000000"/>
                <w:kern w:val="0"/>
                <w:sz w:val="18"/>
                <w:szCs w:val="18"/>
              </w:rPr>
              <w:t>x</w:t>
            </w:r>
            <w:r>
              <w:rPr>
                <w:rFonts w:hint="eastAsia" w:ascii="宋体" w:hAnsi="宋体" w:cs="宋体"/>
                <w:color w:val="000000"/>
                <w:kern w:val="0"/>
                <w:sz w:val="22"/>
                <w:szCs w:val="22"/>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0" w:type="pct"/>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250"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11.6</w:t>
            </w:r>
          </w:p>
        </w:tc>
        <w:tc>
          <w:tcPr>
            <w:tcW w:w="1557"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943"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0" w:type="pct"/>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250"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17.3</w:t>
            </w:r>
          </w:p>
        </w:tc>
        <w:tc>
          <w:tcPr>
            <w:tcW w:w="1557"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943"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0" w:type="pct"/>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250"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17.5</w:t>
            </w:r>
          </w:p>
        </w:tc>
        <w:tc>
          <w:tcPr>
            <w:tcW w:w="1557"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943"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0" w:type="pct"/>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250"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13.7</w:t>
            </w:r>
          </w:p>
        </w:tc>
        <w:tc>
          <w:tcPr>
            <w:tcW w:w="1557"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21</w:t>
            </w:r>
          </w:p>
        </w:tc>
        <w:tc>
          <w:tcPr>
            <w:tcW w:w="943"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0" w:type="pct"/>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250"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3.87</w:t>
            </w:r>
          </w:p>
        </w:tc>
        <w:tc>
          <w:tcPr>
            <w:tcW w:w="1557"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28</w:t>
            </w:r>
          </w:p>
        </w:tc>
        <w:tc>
          <w:tcPr>
            <w:tcW w:w="943"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784</w:t>
            </w:r>
          </w:p>
        </w:tc>
      </w:tr>
    </w:tbl>
    <w:p>
      <w:pPr>
        <w:tabs>
          <w:tab w:val="left" w:pos="284"/>
          <w:tab w:val="left" w:pos="567"/>
        </w:tabs>
        <w:spacing w:before="156" w:beforeLines="50" w:after="156" w:afterLines="50"/>
        <w:ind w:firstLine="440" w:firstLineChars="200"/>
        <w:jc w:val="left"/>
        <w:rPr>
          <w:rFonts w:asciiTheme="minorHAnsi" w:eastAsiaTheme="minorEastAsia" w:cstheme="minorBidi"/>
          <w:b/>
          <w:bCs/>
          <w:color w:val="FF0000"/>
          <w:sz w:val="22"/>
          <w:szCs w:val="22"/>
        </w:rPr>
      </w:pPr>
      <w:r>
        <w:rPr>
          <w:rFonts w:asciiTheme="minorHAnsi" w:eastAsiaTheme="minorEastAsia" w:cstheme="minorBidi"/>
          <w:color w:val="000000" w:themeColor="dark1"/>
          <w:sz w:val="22"/>
          <w:szCs w:val="22"/>
          <w14:textFill>
            <w14:solidFill>
              <w14:schemeClr w14:val="dk1"/>
            </w14:solidFill>
          </w14:textFill>
        </w:rPr>
        <w:t>计算时，点击“</w:t>
      </w:r>
      <w:r>
        <w:rPr>
          <w:rFonts w:hint="eastAsia" w:asciiTheme="minorHAnsi" w:eastAsiaTheme="minorEastAsia" w:cstheme="minorBidi"/>
          <w:color w:val="000000" w:themeColor="dark1"/>
          <w:sz w:val="22"/>
          <w:szCs w:val="22"/>
          <w14:textFill>
            <w14:solidFill>
              <w14:schemeClr w14:val="dk1"/>
            </w14:solidFill>
          </w14:textFill>
        </w:rPr>
        <w:t>数据分析”→回归→输入Y和X</w:t>
      </w:r>
      <w:r>
        <w:rPr>
          <w:rFonts w:asciiTheme="minorHAnsi" w:eastAsiaTheme="minorEastAsia" w:cstheme="minorBidi"/>
          <w:color w:val="000000" w:themeColor="dark1"/>
          <w:sz w:val="22"/>
          <w:szCs w:val="22"/>
          <w14:textFill>
            <w14:solidFill>
              <w14:schemeClr w14:val="dk1"/>
            </w14:solidFill>
          </w14:textFill>
        </w:rPr>
        <w:t>的范围。</w:t>
      </w:r>
      <w:r>
        <w:rPr>
          <w:rFonts w:hint="eastAsia" w:asciiTheme="minorHAnsi" w:eastAsiaTheme="minorEastAsia" w:cstheme="minorBidi"/>
          <w:color w:val="000000" w:themeColor="dark1"/>
          <w:sz w:val="22"/>
          <w:szCs w:val="22"/>
          <w14:textFill>
            <w14:solidFill>
              <w14:schemeClr w14:val="dk1"/>
            </w14:solidFill>
          </w14:textFill>
        </w:rPr>
        <w:t>Y</w:t>
      </w:r>
      <w:r>
        <w:rPr>
          <w:rFonts w:asciiTheme="minorHAnsi" w:eastAsiaTheme="minorEastAsia" w:cstheme="minorBidi"/>
          <w:color w:val="000000" w:themeColor="dark1"/>
          <w:sz w:val="22"/>
          <w:szCs w:val="22"/>
          <w14:textFill>
            <w14:solidFill>
              <w14:schemeClr w14:val="dk1"/>
            </w14:solidFill>
          </w14:textFill>
        </w:rPr>
        <w:t>的输入范围是从</w:t>
      </w:r>
      <w:r>
        <w:rPr>
          <w:rFonts w:hint="eastAsia" w:asciiTheme="minorHAnsi" w:eastAsiaTheme="minorEastAsia" w:cstheme="minorBidi"/>
          <w:color w:val="000000" w:themeColor="dark1"/>
          <w:sz w:val="22"/>
          <w:szCs w:val="22"/>
          <w14:textFill>
            <w14:solidFill>
              <w14:schemeClr w14:val="dk1"/>
            </w14:solidFill>
          </w14:textFill>
        </w:rPr>
        <w:t>A3到A7；X</w:t>
      </w:r>
      <w:r>
        <w:rPr>
          <w:rFonts w:asciiTheme="minorHAnsi" w:eastAsiaTheme="minorEastAsia" w:cstheme="minorBidi"/>
          <w:color w:val="000000" w:themeColor="dark1"/>
          <w:sz w:val="22"/>
          <w:szCs w:val="22"/>
          <w14:textFill>
            <w14:solidFill>
              <w14:schemeClr w14:val="dk1"/>
            </w14:solidFill>
          </w14:textFill>
        </w:rPr>
        <w:t>的</w:t>
      </w:r>
      <w:r>
        <w:rPr>
          <w:rFonts w:hint="eastAsia" w:asciiTheme="minorHAnsi" w:eastAsiaTheme="minorEastAsia" w:cstheme="minorBidi"/>
          <w:b/>
          <w:bCs/>
          <w:color w:val="000000" w:themeColor="dark1"/>
          <w:sz w:val="22"/>
          <w:szCs w:val="22"/>
          <w14:textFill>
            <w14:solidFill>
              <w14:schemeClr w14:val="dk1"/>
            </w14:solidFill>
          </w14:textFill>
        </w:rPr>
        <w:t>输入范围</w:t>
      </w:r>
      <w:r>
        <w:rPr>
          <w:rFonts w:hint="eastAsia" w:asciiTheme="minorHAnsi" w:eastAsiaTheme="minorEastAsia" w:cstheme="minorBidi"/>
          <w:color w:val="000000" w:themeColor="dark1"/>
          <w:sz w:val="22"/>
          <w:szCs w:val="22"/>
          <w14:textFill>
            <w14:solidFill>
              <w14:schemeClr w14:val="dk1"/>
            </w14:solidFill>
          </w14:textFill>
        </w:rPr>
        <w:t>是从</w:t>
      </w:r>
      <w:r>
        <w:rPr>
          <w:rFonts w:hAnsi="Calibri" w:asciiTheme="minorHAnsi" w:eastAsiaTheme="minorEastAsia" w:cstheme="minorBidi"/>
          <w:color w:val="000000" w:themeColor="dark1"/>
          <w:sz w:val="22"/>
          <w:szCs w:val="22"/>
          <w14:textFill>
            <w14:solidFill>
              <w14:schemeClr w14:val="dk1"/>
            </w14:solidFill>
          </w14:textFill>
        </w:rPr>
        <w:t>B3</w:t>
      </w:r>
      <w:r>
        <w:rPr>
          <w:rFonts w:hint="eastAsia" w:asciiTheme="minorHAnsi" w:eastAsiaTheme="minorEastAsia" w:cstheme="minorBidi"/>
          <w:color w:val="000000" w:themeColor="dark1"/>
          <w:sz w:val="22"/>
          <w:szCs w:val="22"/>
          <w14:textFill>
            <w14:solidFill>
              <w14:schemeClr w14:val="dk1"/>
            </w14:solidFill>
          </w14:textFill>
        </w:rPr>
        <w:t>到</w:t>
      </w:r>
      <w:r>
        <w:rPr>
          <w:rFonts w:hint="eastAsia" w:hAnsi="Calibri" w:asciiTheme="minorHAnsi" w:eastAsiaTheme="minorEastAsia" w:cstheme="minorBidi"/>
          <w:color w:val="000000" w:themeColor="dark1"/>
          <w:sz w:val="22"/>
          <w:szCs w:val="22"/>
          <w14:textFill>
            <w14:solidFill>
              <w14:schemeClr w14:val="dk1"/>
            </w14:solidFill>
          </w14:textFill>
        </w:rPr>
        <w:t>C</w:t>
      </w:r>
      <w:r>
        <w:rPr>
          <w:rFonts w:hAnsi="Calibri" w:asciiTheme="minorHAnsi" w:eastAsiaTheme="minorEastAsia" w:cstheme="minorBidi"/>
          <w:color w:val="000000" w:themeColor="dark1"/>
          <w:sz w:val="22"/>
          <w:szCs w:val="22"/>
          <w14:textFill>
            <w14:solidFill>
              <w14:schemeClr w14:val="dk1"/>
            </w14:solidFill>
          </w14:textFill>
        </w:rPr>
        <w:t>7</w:t>
      </w:r>
      <w:r>
        <w:rPr>
          <w:rFonts w:hint="eastAsia" w:asciiTheme="minorHAnsi" w:eastAsiaTheme="minorEastAsia" w:cstheme="minorBidi"/>
          <w:color w:val="000000" w:themeColor="dark1"/>
          <w:sz w:val="22"/>
          <w:szCs w:val="22"/>
          <w14:textFill>
            <w14:solidFill>
              <w14:schemeClr w14:val="dk1"/>
            </w14:solidFill>
          </w14:textFill>
        </w:rPr>
        <w:t>，跨越</w:t>
      </w:r>
      <w:r>
        <w:rPr>
          <w:rFonts w:asciiTheme="minorHAnsi" w:eastAsiaTheme="minorEastAsia" w:cstheme="minorBidi"/>
          <w:color w:val="000000" w:themeColor="dark1"/>
          <w:sz w:val="22"/>
          <w:szCs w:val="22"/>
          <w14:textFill>
            <w14:solidFill>
              <w14:schemeClr w14:val="dk1"/>
            </w14:solidFill>
          </w14:textFill>
        </w:rPr>
        <w:t>2</w:t>
      </w:r>
      <w:r>
        <w:rPr>
          <w:rFonts w:hint="eastAsia" w:asciiTheme="minorHAnsi" w:eastAsiaTheme="minorEastAsia" w:cstheme="minorBidi"/>
          <w:color w:val="000000" w:themeColor="dark1"/>
          <w:sz w:val="22"/>
          <w:szCs w:val="22"/>
          <w14:textFill>
            <w14:solidFill>
              <w14:schemeClr w14:val="dk1"/>
            </w14:solidFill>
          </w14:textFill>
        </w:rPr>
        <w:t>列。由输出计算结果得：</w:t>
      </w:r>
    </w:p>
    <w:p>
      <w:pPr>
        <w:tabs>
          <w:tab w:val="left" w:pos="284"/>
          <w:tab w:val="left" w:pos="567"/>
        </w:tabs>
        <w:spacing w:line="0" w:lineRule="atLeast"/>
        <w:ind w:firstLine="420" w:firstLineChars="200"/>
        <w:jc w:val="left"/>
        <w:rPr>
          <w:rFonts w:eastAsiaTheme="minorEastAsia"/>
          <w:color w:val="000000" w:themeColor="dark1"/>
          <w:szCs w:val="21"/>
          <w14:textFill>
            <w14:solidFill>
              <w14:schemeClr w14:val="dk1"/>
            </w14:solidFill>
          </w14:textFill>
        </w:rPr>
      </w:pPr>
      <w:r>
        <w:rPr>
          <w:rFonts w:eastAsiaTheme="minorEastAsia"/>
          <w:i/>
          <w:color w:val="000000" w:themeColor="dark1"/>
          <w:szCs w:val="21"/>
          <w14:textFill>
            <w14:solidFill>
              <w14:schemeClr w14:val="dk1"/>
            </w14:solidFill>
          </w14:textFill>
        </w:rPr>
        <w:t>a</w:t>
      </w:r>
      <w:r>
        <w:rPr>
          <w:rFonts w:eastAsiaTheme="minorEastAsia"/>
          <w:color w:val="000000" w:themeColor="dark1"/>
          <w:szCs w:val="21"/>
          <w14:textFill>
            <w14:solidFill>
              <w14:schemeClr w14:val="dk1"/>
            </w14:solidFill>
          </w14:textFill>
        </w:rPr>
        <w:t>=</w:t>
      </w:r>
      <w:r>
        <w:rPr>
          <w:color w:val="000000"/>
          <w:kern w:val="0"/>
          <w:szCs w:val="21"/>
        </w:rPr>
        <w:t>11.59742857，</w:t>
      </w:r>
      <w:r>
        <w:rPr>
          <w:i/>
          <w:color w:val="000000"/>
          <w:kern w:val="0"/>
          <w:szCs w:val="21"/>
        </w:rPr>
        <w:t>b</w:t>
      </w:r>
      <w:r>
        <w:rPr>
          <w:color w:val="000000"/>
          <w:kern w:val="0"/>
          <w:szCs w:val="21"/>
        </w:rPr>
        <w:t>=1.158734694，</w:t>
      </w:r>
      <w:r>
        <w:rPr>
          <w:i/>
          <w:color w:val="000000"/>
          <w:kern w:val="0"/>
          <w:szCs w:val="21"/>
        </w:rPr>
        <w:t>c</w:t>
      </w:r>
      <w:r>
        <w:rPr>
          <w:color w:val="000000"/>
          <w:kern w:val="0"/>
          <w:szCs w:val="21"/>
        </w:rPr>
        <w:t>=-0.051107872。</w:t>
      </w:r>
    </w:p>
    <w:p>
      <w:pPr>
        <w:tabs>
          <w:tab w:val="left" w:pos="284"/>
          <w:tab w:val="left" w:pos="567"/>
        </w:tabs>
        <w:spacing w:before="156" w:beforeLines="50" w:after="156" w:afterLines="50"/>
        <w:ind w:firstLine="440" w:firstLineChars="200"/>
        <w:jc w:val="left"/>
        <w:rPr>
          <w:szCs w:val="21"/>
        </w:rPr>
      </w:pPr>
      <w:r>
        <w:rPr>
          <w:rFonts w:hint="eastAsia" w:asciiTheme="minorHAnsi" w:eastAsiaTheme="minorEastAsia" w:cstheme="minorBidi"/>
          <w:color w:val="000000" w:themeColor="dark1"/>
          <w:sz w:val="22"/>
          <w:szCs w:val="22"/>
          <w14:textFill>
            <w14:solidFill>
              <w14:schemeClr w14:val="dk1"/>
            </w14:solidFill>
          </w14:textFill>
        </w:rPr>
        <w:t>同样，如果做一个三次方程回归，就需要</w:t>
      </w:r>
      <w:r>
        <w:rPr>
          <w:rFonts w:hAnsi="Calibri" w:asciiTheme="minorHAnsi" w:eastAsiaTheme="minorEastAsia" w:cstheme="minorBidi"/>
          <w:color w:val="000000" w:themeColor="dark1"/>
          <w:sz w:val="22"/>
          <w:szCs w:val="22"/>
          <w14:textFill>
            <w14:solidFill>
              <w14:schemeClr w14:val="dk1"/>
            </w14:solidFill>
          </w14:textFill>
        </w:rPr>
        <w:t>Y</w:t>
      </w:r>
      <w:r>
        <w:rPr>
          <w:rFonts w:hint="eastAsia" w:asciiTheme="minorHAnsi" w:eastAsiaTheme="minorEastAsia" w:cstheme="minorBidi"/>
          <w:color w:val="000000" w:themeColor="dark1"/>
          <w:sz w:val="22"/>
          <w:szCs w:val="22"/>
          <w14:textFill>
            <w14:solidFill>
              <w14:schemeClr w14:val="dk1"/>
            </w14:solidFill>
          </w14:textFill>
        </w:rPr>
        <w:t>和</w:t>
      </w:r>
      <w:r>
        <w:rPr>
          <w:rFonts w:hAnsi="Calibri" w:asciiTheme="minorHAnsi" w:eastAsiaTheme="minorEastAsia" w:cstheme="minorBidi"/>
          <w:color w:val="000000" w:themeColor="dark1"/>
          <w:sz w:val="22"/>
          <w:szCs w:val="22"/>
          <w14:textFill>
            <w14:solidFill>
              <w14:schemeClr w14:val="dk1"/>
            </w14:solidFill>
          </w14:textFill>
        </w:rPr>
        <w:t>X1</w:t>
      </w:r>
      <w:r>
        <w:rPr>
          <w:rFonts w:hint="eastAsia" w:asciiTheme="minorHAnsi" w:eastAsiaTheme="minorEastAsia" w:cstheme="minorBidi"/>
          <w:color w:val="000000" w:themeColor="dark1"/>
          <w:sz w:val="22"/>
          <w:szCs w:val="22"/>
          <w14:textFill>
            <w14:solidFill>
              <w14:schemeClr w14:val="dk1"/>
            </w14:solidFill>
          </w14:textFill>
        </w:rPr>
        <w:t>、</w:t>
      </w:r>
      <w:r>
        <w:rPr>
          <w:rFonts w:hAnsi="Calibri" w:asciiTheme="minorHAnsi" w:eastAsiaTheme="minorEastAsia" w:cstheme="minorBidi"/>
          <w:color w:val="000000" w:themeColor="dark1"/>
          <w:sz w:val="22"/>
          <w:szCs w:val="22"/>
          <w14:textFill>
            <w14:solidFill>
              <w14:schemeClr w14:val="dk1"/>
            </w14:solidFill>
          </w14:textFill>
        </w:rPr>
        <w:t>X2</w:t>
      </w:r>
      <w:r>
        <w:rPr>
          <w:rFonts w:hint="eastAsia" w:asciiTheme="minorHAnsi" w:eastAsiaTheme="minorEastAsia" w:cstheme="minorBidi"/>
          <w:color w:val="000000" w:themeColor="dark1"/>
          <w:sz w:val="22"/>
          <w:szCs w:val="22"/>
          <w14:textFill>
            <w14:solidFill>
              <w14:schemeClr w14:val="dk1"/>
            </w14:solidFill>
          </w14:textFill>
        </w:rPr>
        <w:t>、</w:t>
      </w:r>
      <w:r>
        <w:rPr>
          <w:rFonts w:hAnsi="Calibri" w:asciiTheme="minorHAnsi" w:eastAsiaTheme="minorEastAsia" w:cstheme="minorBidi"/>
          <w:color w:val="000000" w:themeColor="dark1"/>
          <w:sz w:val="22"/>
          <w:szCs w:val="22"/>
          <w14:textFill>
            <w14:solidFill>
              <w14:schemeClr w14:val="dk1"/>
            </w14:solidFill>
          </w14:textFill>
        </w:rPr>
        <w:t>X3</w:t>
      </w:r>
      <w:r>
        <w:rPr>
          <w:rFonts w:hint="eastAsia" w:asciiTheme="minorHAnsi" w:eastAsiaTheme="minorEastAsia" w:cstheme="minorBidi"/>
          <w:color w:val="000000" w:themeColor="dark1"/>
          <w:sz w:val="22"/>
          <w:szCs w:val="22"/>
          <w14:textFill>
            <w14:solidFill>
              <w14:schemeClr w14:val="dk1"/>
            </w14:solidFill>
          </w14:textFill>
        </w:rPr>
        <w:t>，并在表H</w:t>
      </w:r>
      <w:r>
        <w:rPr>
          <w:rFonts w:asciiTheme="minorHAnsi" w:eastAsiaTheme="minorEastAsia" w:cstheme="minorBidi"/>
          <w:color w:val="000000" w:themeColor="dark1"/>
          <w:sz w:val="22"/>
          <w:szCs w:val="22"/>
          <w14:textFill>
            <w14:solidFill>
              <w14:schemeClr w14:val="dk1"/>
            </w14:solidFill>
          </w14:textFill>
        </w:rPr>
        <w:t>.1中增加</w:t>
      </w:r>
      <w:r>
        <w:rPr>
          <w:rFonts w:hAnsi="Calibri" w:asciiTheme="minorHAnsi" w:eastAsiaTheme="minorEastAsia" w:cstheme="minorBidi"/>
          <w:color w:val="000000" w:themeColor="dark1"/>
          <w:sz w:val="22"/>
          <w:szCs w:val="22"/>
          <w14:textFill>
            <w14:solidFill>
              <w14:schemeClr w14:val="dk1"/>
            </w14:solidFill>
          </w14:textFill>
        </w:rPr>
        <w:t>X3的</w:t>
      </w:r>
      <w:r>
        <w:rPr>
          <w:rFonts w:asciiTheme="minorHAnsi" w:eastAsiaTheme="minorEastAsia" w:cstheme="minorBidi"/>
          <w:color w:val="000000" w:themeColor="dark1"/>
          <w:sz w:val="22"/>
          <w:szCs w:val="22"/>
          <w14:textFill>
            <w14:solidFill>
              <w14:schemeClr w14:val="dk1"/>
            </w14:solidFill>
          </w14:textFill>
        </w:rPr>
        <w:t>一列，</w:t>
      </w:r>
      <w:r>
        <w:rPr>
          <w:rFonts w:hint="eastAsia" w:asciiTheme="minorHAnsi" w:eastAsiaTheme="minorEastAsia" w:cstheme="minorBidi"/>
          <w:color w:val="000000" w:themeColor="dark1"/>
          <w:sz w:val="22"/>
          <w:szCs w:val="22"/>
          <w14:textFill>
            <w14:solidFill>
              <w14:schemeClr w14:val="dk1"/>
            </w14:solidFill>
          </w14:textFill>
        </w:rPr>
        <w:t>其中</w:t>
      </w:r>
      <w:r>
        <w:rPr>
          <w:rFonts w:hAnsi="Calibri" w:asciiTheme="minorHAnsi" w:eastAsiaTheme="minorEastAsia" w:cstheme="minorBidi"/>
          <w:color w:val="000000" w:themeColor="dark1"/>
          <w:sz w:val="22"/>
          <w:szCs w:val="22"/>
          <w14:textFill>
            <w14:solidFill>
              <w14:schemeClr w14:val="dk1"/>
            </w14:solidFill>
          </w14:textFill>
        </w:rPr>
        <w:t>X1</w:t>
      </w:r>
      <w:r>
        <w:rPr>
          <w:rFonts w:hint="eastAsia" w:asciiTheme="minorHAnsi" w:eastAsiaTheme="minorEastAsia" w:cstheme="minorBidi"/>
          <w:color w:val="000000" w:themeColor="dark1"/>
          <w:sz w:val="22"/>
          <w:szCs w:val="22"/>
          <w14:textFill>
            <w14:solidFill>
              <w14:schemeClr w14:val="dk1"/>
            </w14:solidFill>
          </w14:textFill>
        </w:rPr>
        <w:t>是变量</w:t>
      </w:r>
      <w:r>
        <w:rPr>
          <w:rFonts w:eastAsiaTheme="minorEastAsia"/>
          <w:bCs/>
          <w:i/>
          <w:color w:val="000000" w:themeColor="dark1"/>
          <w:sz w:val="22"/>
          <w:szCs w:val="22"/>
          <w14:textFill>
            <w14:solidFill>
              <w14:schemeClr w14:val="dk1"/>
            </w14:solidFill>
          </w14:textFill>
        </w:rPr>
        <w:t>x</w:t>
      </w:r>
      <w:r>
        <w:rPr>
          <w:rFonts w:hint="eastAsia" w:asciiTheme="minorHAnsi" w:eastAsiaTheme="minorEastAsia" w:cstheme="minorBidi"/>
          <w:color w:val="000000" w:themeColor="dark1"/>
          <w:sz w:val="22"/>
          <w:szCs w:val="22"/>
          <w14:textFill>
            <w14:solidFill>
              <w14:schemeClr w14:val="dk1"/>
            </w14:solidFill>
          </w14:textFill>
        </w:rPr>
        <w:t>，</w:t>
      </w:r>
      <w:r>
        <w:rPr>
          <w:rFonts w:hAnsi="Calibri" w:asciiTheme="minorHAnsi" w:eastAsiaTheme="minorEastAsia" w:cstheme="minorBidi"/>
          <w:color w:val="000000" w:themeColor="dark1"/>
          <w:sz w:val="22"/>
          <w:szCs w:val="22"/>
          <w14:textFill>
            <w14:solidFill>
              <w14:schemeClr w14:val="dk1"/>
            </w14:solidFill>
          </w14:textFill>
        </w:rPr>
        <w:t>X2</w:t>
      </w:r>
      <w:r>
        <w:rPr>
          <w:rFonts w:hint="eastAsia" w:asciiTheme="minorHAnsi" w:eastAsiaTheme="minorEastAsia" w:cstheme="minorBidi"/>
          <w:color w:val="000000" w:themeColor="dark1"/>
          <w:sz w:val="22"/>
          <w:szCs w:val="22"/>
          <w14:textFill>
            <w14:solidFill>
              <w14:schemeClr w14:val="dk1"/>
            </w14:solidFill>
          </w14:textFill>
        </w:rPr>
        <w:t>是</w:t>
      </w:r>
      <w:r>
        <w:rPr>
          <w:rFonts w:hAnsi="宋体" w:cs="宋体"/>
          <w:i/>
          <w:sz w:val="24"/>
        </w:rPr>
        <w:t>x</w:t>
      </w:r>
      <w:r>
        <w:rPr>
          <w:rFonts w:hAnsi="Calibri" w:asciiTheme="minorHAnsi" w:eastAsiaTheme="minorEastAsia" w:cstheme="minorBidi"/>
          <w:b/>
          <w:bCs/>
          <w:color w:val="000000" w:themeColor="dark1"/>
          <w:sz w:val="22"/>
          <w:szCs w:val="22"/>
          <w14:textFill>
            <w14:solidFill>
              <w14:schemeClr w14:val="dk1"/>
            </w14:solidFill>
          </w14:textFill>
        </w:rPr>
        <w:t xml:space="preserve"> </w:t>
      </w:r>
      <w:r>
        <w:rPr>
          <w:rFonts w:hAnsi="Calibri" w:asciiTheme="minorHAnsi" w:eastAsiaTheme="minorEastAsia" w:cstheme="minorBidi"/>
          <w:b/>
          <w:bCs/>
          <w:color w:val="000000" w:themeColor="dark1"/>
          <w:sz w:val="22"/>
          <w:szCs w:val="22"/>
          <w:vertAlign w:val="superscript"/>
          <w14:textFill>
            <w14:solidFill>
              <w14:schemeClr w14:val="dk1"/>
            </w14:solidFill>
          </w14:textFill>
        </w:rPr>
        <w:t>2</w:t>
      </w:r>
      <w:r>
        <w:rPr>
          <w:rFonts w:hint="eastAsia" w:asciiTheme="minorHAnsi" w:eastAsiaTheme="minorEastAsia" w:cstheme="minorBidi"/>
          <w:color w:val="000000" w:themeColor="dark1"/>
          <w:sz w:val="22"/>
          <w:szCs w:val="22"/>
          <w14:textFill>
            <w14:solidFill>
              <w14:schemeClr w14:val="dk1"/>
            </w14:solidFill>
          </w14:textFill>
        </w:rPr>
        <w:t>，</w:t>
      </w:r>
      <w:r>
        <w:rPr>
          <w:rFonts w:hAnsi="Calibri" w:asciiTheme="minorHAnsi" w:eastAsiaTheme="minorEastAsia" w:cstheme="minorBidi"/>
          <w:color w:val="000000" w:themeColor="dark1"/>
          <w:sz w:val="22"/>
          <w:szCs w:val="22"/>
          <w14:textFill>
            <w14:solidFill>
              <w14:schemeClr w14:val="dk1"/>
            </w14:solidFill>
          </w14:textFill>
        </w:rPr>
        <w:t>X3</w:t>
      </w:r>
      <w:r>
        <w:rPr>
          <w:rFonts w:hint="eastAsia" w:asciiTheme="minorHAnsi" w:eastAsiaTheme="minorEastAsia" w:cstheme="minorBidi"/>
          <w:color w:val="000000" w:themeColor="dark1"/>
          <w:sz w:val="22"/>
          <w:szCs w:val="22"/>
          <w14:textFill>
            <w14:solidFill>
              <w14:schemeClr w14:val="dk1"/>
            </w14:solidFill>
          </w14:textFill>
        </w:rPr>
        <w:t>是</w:t>
      </w:r>
      <w:r>
        <w:rPr>
          <w:rFonts w:hAnsi="宋体" w:cs="宋体"/>
          <w:i/>
          <w:sz w:val="24"/>
        </w:rPr>
        <w:t>x</w:t>
      </w:r>
      <w:r>
        <w:rPr>
          <w:rFonts w:hAnsi="Calibri" w:asciiTheme="minorHAnsi" w:eastAsiaTheme="minorEastAsia" w:cstheme="minorBidi"/>
          <w:b/>
          <w:bCs/>
          <w:color w:val="000000" w:themeColor="dark1"/>
          <w:sz w:val="22"/>
          <w:szCs w:val="22"/>
          <w:vertAlign w:val="superscript"/>
          <w14:textFill>
            <w14:solidFill>
              <w14:schemeClr w14:val="dk1"/>
            </w14:solidFill>
          </w14:textFill>
        </w:rPr>
        <w:t>3</w:t>
      </w:r>
      <w:r>
        <w:rPr>
          <w:rFonts w:hint="eastAsia" w:asciiTheme="minorHAnsi" w:eastAsiaTheme="minorEastAsia" w:cstheme="minorBidi"/>
          <w:color w:val="000000" w:themeColor="dark1"/>
          <w:sz w:val="22"/>
          <w:szCs w:val="22"/>
          <w14:textFill>
            <w14:solidFill>
              <w14:schemeClr w14:val="dk1"/>
            </w14:solidFill>
          </w14:textFill>
        </w:rPr>
        <w:t>。</w:t>
      </w:r>
    </w:p>
    <w:p>
      <w:pPr>
        <w:tabs>
          <w:tab w:val="left" w:pos="284"/>
          <w:tab w:val="left" w:pos="567"/>
        </w:tabs>
        <w:spacing w:before="156" w:beforeLines="50" w:after="156" w:afterLines="50"/>
        <w:ind w:firstLine="420" w:firstLineChars="200"/>
        <w:jc w:val="left"/>
        <w:rPr>
          <w:szCs w:val="21"/>
        </w:rPr>
      </w:pPr>
    </w:p>
    <w:p>
      <w:pPr>
        <w:pStyle w:val="23"/>
      </w:pPr>
    </w:p>
    <w:p>
      <w:pPr>
        <w:pStyle w:val="84"/>
      </w:pPr>
      <w:r>
        <w:br w:type="textWrapping"/>
      </w:r>
      <w:bookmarkStart w:id="305" w:name="_Toc124173996"/>
      <w:r>
        <w:rPr>
          <w:rFonts w:hint="eastAsia"/>
        </w:rPr>
        <w:t>（资料性）</w:t>
      </w:r>
      <w:r>
        <w:br w:type="textWrapping"/>
      </w:r>
      <w:r>
        <w:rPr>
          <w:rFonts w:hint="eastAsia"/>
        </w:rPr>
        <w:t>Intercal法</w:t>
      </w:r>
      <w:r>
        <w:rPr>
          <w:rFonts w:ascii="Segoe UI" w:hAnsi="Segoe UI" w:cs="Segoe UI"/>
          <w:color w:val="101214"/>
          <w:szCs w:val="21"/>
          <w:shd w:val="clear" w:color="auto" w:fill="FFFFFF"/>
        </w:rPr>
        <w:t>实验室间校准</w:t>
      </w:r>
      <w:bookmarkEnd w:id="305"/>
    </w:p>
    <w:p>
      <w:pPr>
        <w:pStyle w:val="23"/>
        <w:jc w:val="center"/>
      </w:pPr>
      <w:r>
        <w:t>拟删除</w:t>
      </w:r>
    </w:p>
    <w:p>
      <w:pPr>
        <w:pStyle w:val="138"/>
        <w:numPr>
          <w:ilvl w:val="0"/>
          <w:numId w:val="63"/>
        </w:numPr>
        <w:tabs>
          <w:tab w:val="left" w:pos="284"/>
          <w:tab w:val="left" w:pos="567"/>
        </w:tabs>
        <w:spacing w:before="156" w:beforeLines="50" w:after="156" w:afterLines="50"/>
        <w:ind w:firstLineChars="0"/>
        <w:jc w:val="left"/>
        <w:rPr>
          <w:rFonts w:ascii="宋体" w:hAnsi="宋体"/>
        </w:rPr>
      </w:pPr>
      <w:r>
        <w:rPr>
          <w:rFonts w:hint="eastAsia" w:ascii="宋体" w:hAnsi="宋体"/>
        </w:rPr>
        <w:t>实验室间的检验试验经常产生令人惊讶的大的重现性</w:t>
      </w:r>
      <w:r>
        <w:rPr>
          <w:rFonts w:ascii="Times New Roman" w:hAnsi="Times New Roman"/>
          <w:i/>
        </w:rPr>
        <w:t>R</w:t>
      </w:r>
      <w:r>
        <w:rPr>
          <w:rFonts w:hint="eastAsia" w:ascii="宋体" w:hAnsi="宋体"/>
        </w:rPr>
        <w:t>值。并且，经验表明，相对于整个试验的总平均值，一个特定的实验室倾向于为一个特定试验持续地产生低或高的平均值。换言之，那个实验室在其响应中倾向于产生一致的偏倚。（例子参见W.J. Youden [10] 至 [12]。)</w:t>
      </w:r>
    </w:p>
    <w:p>
      <w:pPr>
        <w:pStyle w:val="138"/>
        <w:numPr>
          <w:ilvl w:val="0"/>
          <w:numId w:val="63"/>
        </w:numPr>
        <w:tabs>
          <w:tab w:val="left" w:pos="284"/>
          <w:tab w:val="left" w:pos="567"/>
        </w:tabs>
        <w:spacing w:before="156" w:beforeLines="50" w:after="156" w:afterLines="50"/>
        <w:ind w:firstLineChars="0"/>
        <w:jc w:val="left"/>
        <w:rPr>
          <w:rFonts w:ascii="宋体" w:hAnsi="宋体"/>
        </w:rPr>
      </w:pPr>
      <w:r>
        <w:rPr>
          <w:rFonts w:hint="eastAsia" w:ascii="宋体" w:hAnsi="宋体"/>
        </w:rPr>
        <w:t>在此基础上，可以为每个实验室的每种试验型式产生一个校准曲线，然后使用该校准曲线来校正实验室的偏倚，这与校准校正应用于试验仪器的方式大致相同。</w:t>
      </w:r>
    </w:p>
    <w:p>
      <w:pPr>
        <w:pStyle w:val="138"/>
        <w:numPr>
          <w:ilvl w:val="0"/>
          <w:numId w:val="63"/>
        </w:numPr>
        <w:tabs>
          <w:tab w:val="left" w:pos="284"/>
          <w:tab w:val="left" w:pos="567"/>
        </w:tabs>
        <w:spacing w:before="156" w:beforeLines="50" w:after="156" w:afterLines="50"/>
        <w:ind w:firstLineChars="0"/>
        <w:jc w:val="left"/>
        <w:rPr>
          <w:rFonts w:ascii="Times New Roman" w:hAnsi="Times New Roman"/>
        </w:rPr>
      </w:pPr>
      <w:r>
        <w:rPr>
          <w:rFonts w:ascii="Times New Roman" w:hAnsi="Times New Roman"/>
        </w:rPr>
        <w:t xml:space="preserve">  </w:t>
      </w:r>
      <w:r>
        <w:rPr>
          <w:rFonts w:hint="eastAsia" w:ascii="Times New Roman" w:hAnsi="Times New Roman"/>
        </w:rPr>
        <w:t>向参与实验室提供一系列涵盖所测性能要求范围的校准材料，这些实验室对这些材料进行测量</w:t>
      </w:r>
      <w:r>
        <w:rPr>
          <w:rFonts w:ascii="Times New Roman" w:hAnsi="Times New Roman"/>
        </w:rPr>
        <w:t>[每种材料取一次</w:t>
      </w:r>
      <w:r>
        <w:rPr>
          <w:rFonts w:hint="eastAsia" w:ascii="Times New Roman" w:hAnsi="Times New Roman"/>
        </w:rPr>
        <w:t>测试结果或跟参与者先前商定的一样取多次重复的平均值</w:t>
      </w:r>
      <w:r>
        <w:rPr>
          <w:rFonts w:ascii="Times New Roman" w:hAnsi="Times New Roman"/>
        </w:rPr>
        <w:t>(</w:t>
      </w:r>
      <w:r>
        <w:rPr>
          <w:rFonts w:hint="eastAsia" w:ascii="Times New Roman" w:hAnsi="Times New Roman"/>
        </w:rPr>
        <w:t>中位数</w:t>
      </w:r>
      <w:r>
        <w:rPr>
          <w:rFonts w:ascii="Times New Roman" w:hAnsi="Times New Roman"/>
        </w:rPr>
        <w:t>)]</w:t>
      </w:r>
      <w:r>
        <w:rPr>
          <w:rFonts w:hint="eastAsia" w:ascii="Times New Roman" w:hAnsi="Times New Roman"/>
        </w:rPr>
        <w:t>。</w:t>
      </w:r>
    </w:p>
    <w:p>
      <w:pPr>
        <w:pStyle w:val="138"/>
        <w:numPr>
          <w:ilvl w:val="0"/>
          <w:numId w:val="63"/>
        </w:numPr>
        <w:tabs>
          <w:tab w:val="left" w:pos="284"/>
          <w:tab w:val="left" w:pos="567"/>
        </w:tabs>
        <w:spacing w:before="156" w:beforeLines="50" w:after="156" w:afterLines="50"/>
        <w:ind w:firstLineChars="0"/>
        <w:jc w:val="left"/>
        <w:rPr>
          <w:rFonts w:ascii="Times New Roman" w:hAnsi="Times New Roman"/>
        </w:rPr>
      </w:pPr>
      <w:r>
        <w:rPr>
          <w:rFonts w:ascii="Times New Roman" w:hAnsi="Times New Roman"/>
        </w:rPr>
        <w:t xml:space="preserve">  </w:t>
      </w:r>
      <w:r>
        <w:rPr>
          <w:rFonts w:hint="eastAsia" w:ascii="Times New Roman" w:hAnsi="Times New Roman"/>
        </w:rPr>
        <w:t>找出所有实验室中每种材料的平均值</w:t>
      </w:r>
      <w:r>
        <w:rPr>
          <w:rFonts w:ascii="Times New Roman" w:hAnsi="Times New Roman"/>
          <w:i/>
        </w:rPr>
        <w:t>M</w:t>
      </w:r>
      <w:r>
        <w:rPr>
          <w:rFonts w:hint="eastAsia" w:ascii="Times New Roman" w:hAnsi="Times New Roman"/>
        </w:rPr>
        <w:t>，然后计算每个实验室</w:t>
      </w:r>
      <w:r>
        <w:rPr>
          <w:rFonts w:ascii="Times New Roman" w:hAnsi="Times New Roman"/>
        </w:rPr>
        <w:t>(</w:t>
      </w:r>
      <w:r>
        <w:rPr>
          <w:rFonts w:ascii="Times New Roman" w:hAnsi="Times New Roman"/>
          <w:i/>
        </w:rPr>
        <w:t>m</w:t>
      </w:r>
      <w:r>
        <w:rPr>
          <w:rFonts w:ascii="Times New Roman" w:hAnsi="Times New Roman"/>
        </w:rPr>
        <w:t>)</w:t>
      </w:r>
      <w:r>
        <w:rPr>
          <w:rFonts w:hint="eastAsia" w:ascii="Times New Roman" w:hAnsi="Times New Roman"/>
        </w:rPr>
        <w:t>与该平均值之间的偏差</w:t>
      </w:r>
      <w:r>
        <w:rPr>
          <w:rFonts w:ascii="Times New Roman" w:hAnsi="Times New Roman"/>
        </w:rPr>
        <w:t>(</w:t>
      </w:r>
      <w:r>
        <w:rPr>
          <w:rFonts w:ascii="Times New Roman" w:hAnsi="Times New Roman"/>
          <w:i/>
        </w:rPr>
        <w:t>d</w:t>
      </w:r>
      <w:r>
        <w:rPr>
          <w:rFonts w:ascii="Times New Roman" w:hAnsi="Times New Roman"/>
        </w:rPr>
        <w:t xml:space="preserve"> = </w:t>
      </w:r>
      <w:r>
        <w:rPr>
          <w:rFonts w:ascii="Times New Roman" w:hAnsi="Times New Roman"/>
          <w:i/>
        </w:rPr>
        <w:t>m</w:t>
      </w:r>
      <w:r>
        <w:rPr>
          <w:rFonts w:ascii="Times New Roman" w:hAnsi="Times New Roman"/>
        </w:rPr>
        <w:t>−</w:t>
      </w:r>
      <w:r>
        <w:rPr>
          <w:rFonts w:ascii="Times New Roman" w:hAnsi="Times New Roman"/>
          <w:i/>
        </w:rPr>
        <w:t>M</w:t>
      </w:r>
      <w:r>
        <w:rPr>
          <w:rFonts w:ascii="Times New Roman" w:hAnsi="Times New Roman"/>
        </w:rPr>
        <w:t>)</w:t>
      </w:r>
      <w:r>
        <w:rPr>
          <w:rFonts w:hint="eastAsia" w:ascii="Times New Roman" w:hAnsi="Times New Roman"/>
        </w:rPr>
        <w:t>。</w:t>
      </w:r>
    </w:p>
    <w:p>
      <w:pPr>
        <w:pStyle w:val="138"/>
        <w:numPr>
          <w:ilvl w:val="0"/>
          <w:numId w:val="63"/>
        </w:numPr>
        <w:tabs>
          <w:tab w:val="left" w:pos="567"/>
        </w:tabs>
        <w:spacing w:before="156" w:beforeLines="50" w:after="156" w:afterLines="50"/>
        <w:ind w:firstLineChars="0"/>
        <w:jc w:val="left"/>
        <w:rPr>
          <w:rFonts w:ascii="Times New Roman" w:hAnsi="Times New Roman"/>
        </w:rPr>
      </w:pPr>
      <w:r>
        <w:rPr>
          <w:rFonts w:hint="eastAsia" w:ascii="Times New Roman" w:hAnsi="Times New Roman"/>
        </w:rPr>
        <w:t>对于每个实验室，其</w:t>
      </w:r>
      <w:r>
        <w:rPr>
          <w:rFonts w:ascii="Times New Roman" w:hAnsi="Times New Roman"/>
          <w:i/>
        </w:rPr>
        <w:t>d</w:t>
      </w:r>
      <w:r>
        <w:rPr>
          <w:rFonts w:hint="eastAsia" w:ascii="Times New Roman" w:hAnsi="Times New Roman"/>
        </w:rPr>
        <w:t>值对每种材料的</w:t>
      </w:r>
      <w:r>
        <w:rPr>
          <w:rFonts w:hint="eastAsia" w:ascii="Times New Roman" w:hAnsi="Times New Roman"/>
          <w:i/>
        </w:rPr>
        <w:t>M</w:t>
      </w:r>
      <w:r>
        <w:rPr>
          <w:rFonts w:hint="eastAsia" w:ascii="Times New Roman" w:hAnsi="Times New Roman"/>
        </w:rPr>
        <w:t>值作图，并确定线性最小二乘回归，从而给出该实验室对给定试验的斜率和截距值特征。这些特征可以解释如下</w:t>
      </w:r>
      <w:r>
        <w:rPr>
          <w:rFonts w:ascii="Times New Roman" w:hAnsi="Times New Roman"/>
        </w:rPr>
        <w:t>:</w:t>
      </w:r>
    </w:p>
    <w:p>
      <w:pPr>
        <w:tabs>
          <w:tab w:val="left" w:pos="567"/>
        </w:tabs>
        <w:spacing w:before="156" w:beforeLines="50" w:after="156" w:afterLines="50"/>
        <w:ind w:firstLine="420" w:firstLineChars="200"/>
        <w:jc w:val="left"/>
      </w:pPr>
      <w:r>
        <w:t>a)</w:t>
      </w:r>
      <w:r>
        <w:rPr>
          <w:rFonts w:hint="eastAsia"/>
        </w:rPr>
        <w:t>（近似于）零的斜率和截距说明该实验室在整个性能范围内接近于总体平均值；</w:t>
      </w:r>
    </w:p>
    <w:p>
      <w:pPr>
        <w:tabs>
          <w:tab w:val="left" w:pos="567"/>
        </w:tabs>
        <w:spacing w:before="156" w:beforeLines="50" w:after="156" w:afterLines="50"/>
        <w:ind w:firstLine="420" w:firstLineChars="200"/>
        <w:jc w:val="left"/>
      </w:pPr>
      <w:r>
        <w:t xml:space="preserve">b) </w:t>
      </w:r>
      <w:r>
        <w:rPr>
          <w:rFonts w:hint="eastAsia"/>
        </w:rPr>
        <w:t>非零截距和零斜率表明实验室在该范围有一致的偏倚</w:t>
      </w:r>
      <w:r>
        <w:t>;</w:t>
      </w:r>
    </w:p>
    <w:p>
      <w:pPr>
        <w:tabs>
          <w:tab w:val="left" w:pos="567"/>
        </w:tabs>
        <w:spacing w:before="156" w:beforeLines="50" w:after="156" w:afterLines="50"/>
        <w:ind w:firstLine="420" w:firstLineChars="200"/>
        <w:jc w:val="left"/>
      </w:pPr>
      <w:r>
        <w:t xml:space="preserve">c) </w:t>
      </w:r>
      <w:r>
        <w:rPr>
          <w:rFonts w:hint="eastAsia"/>
        </w:rPr>
        <w:t>非零斜率表明实验室在该范围有一个系统变化的偏倚。</w:t>
      </w:r>
    </w:p>
    <w:p>
      <w:pPr>
        <w:tabs>
          <w:tab w:val="left" w:pos="567"/>
        </w:tabs>
        <w:spacing w:before="156" w:beforeLines="50" w:after="156" w:afterLines="50"/>
        <w:ind w:firstLine="420" w:firstLineChars="200"/>
        <w:jc w:val="left"/>
      </w:pPr>
    </w:p>
    <w:p>
      <w:pPr>
        <w:pStyle w:val="138"/>
        <w:numPr>
          <w:ilvl w:val="0"/>
          <w:numId w:val="63"/>
        </w:numPr>
        <w:tabs>
          <w:tab w:val="left" w:pos="567"/>
        </w:tabs>
        <w:spacing w:before="156" w:beforeLines="50" w:after="156" w:afterLines="50"/>
        <w:ind w:firstLineChars="0"/>
        <w:jc w:val="left"/>
        <w:rPr>
          <w:rFonts w:ascii="Times New Roman" w:hAnsi="Times New Roman"/>
        </w:rPr>
      </w:pPr>
      <w:r>
        <w:rPr>
          <w:rFonts w:hint="eastAsia" w:ascii="Times New Roman" w:hAnsi="Times New Roman"/>
        </w:rPr>
        <w:t>一旦已知斜率和截距因子，就可以假设它们在实验室中是常数</w:t>
      </w:r>
      <w:r>
        <w:rPr>
          <w:rFonts w:ascii="Times New Roman" w:hAnsi="Times New Roman"/>
        </w:rPr>
        <w:t>(</w:t>
      </w:r>
      <w:r>
        <w:rPr>
          <w:rFonts w:hint="eastAsia" w:ascii="Times New Roman" w:hAnsi="Times New Roman"/>
        </w:rPr>
        <w:t>就所讨论的测试而言</w:t>
      </w:r>
      <w:r>
        <w:rPr>
          <w:rFonts w:ascii="Times New Roman" w:hAnsi="Times New Roman"/>
        </w:rPr>
        <w:t>)</w:t>
      </w:r>
      <w:r>
        <w:rPr>
          <w:rFonts w:hint="eastAsia" w:ascii="Times New Roman" w:hAnsi="Times New Roman"/>
        </w:rPr>
        <w:t>。因此，对于进一步的检验结果，可以根据公式</w:t>
      </w:r>
      <w:r>
        <w:t>(I.1)</w:t>
      </w:r>
      <w:r>
        <w:rPr>
          <w:rFonts w:hint="eastAsia" w:ascii="Times New Roman" w:hAnsi="Times New Roman"/>
        </w:rPr>
        <w:t>对其正常值进行修正：</w:t>
      </w:r>
    </w:p>
    <w:p>
      <w:pPr>
        <w:tabs>
          <w:tab w:val="left" w:pos="567"/>
        </w:tabs>
        <w:spacing w:before="156" w:beforeLines="50" w:after="156" w:afterLines="50"/>
        <w:ind w:left="420" w:leftChars="200"/>
        <w:jc w:val="left"/>
      </w:pPr>
      <w:r>
        <w:rPr>
          <w:rFonts w:hint="eastAsia"/>
        </w:rPr>
        <w:t>校正值</w:t>
      </w:r>
      <w:r>
        <w:t xml:space="preserve"> = </w:t>
      </w:r>
      <w:r>
        <w:rPr>
          <w:rFonts w:hint="eastAsia"/>
        </w:rPr>
        <w:t>观测值</w:t>
      </w:r>
      <w:r>
        <w:t xml:space="preserve"> -</w:t>
      </w:r>
      <w:r>
        <w:rPr>
          <w:rFonts w:hint="eastAsia"/>
        </w:rPr>
        <w:t>（截距</w:t>
      </w:r>
      <w:r>
        <w:t>+</w:t>
      </w:r>
      <w:r>
        <w:rPr>
          <w:rFonts w:hint="eastAsia"/>
        </w:rPr>
        <w:t>斜率</w:t>
      </w:r>
      <w:r>
        <w:t>-</w:t>
      </w:r>
      <w:r>
        <w:rPr>
          <w:rFonts w:hint="eastAsia"/>
        </w:rPr>
        <w:t>观测值）</w:t>
      </w:r>
      <w:r>
        <w:t xml:space="preserve">                             (I.1)</w:t>
      </w:r>
    </w:p>
    <w:p>
      <w:pPr>
        <w:pStyle w:val="138"/>
        <w:numPr>
          <w:ilvl w:val="0"/>
          <w:numId w:val="63"/>
        </w:numPr>
        <w:tabs>
          <w:tab w:val="left" w:pos="567"/>
        </w:tabs>
        <w:spacing w:before="156" w:beforeLines="50" w:after="156" w:afterLines="50"/>
        <w:ind w:firstLineChars="0"/>
        <w:jc w:val="left"/>
        <w:rPr>
          <w:rFonts w:ascii="Times New Roman" w:hAnsi="Times New Roman"/>
        </w:rPr>
      </w:pPr>
      <w:r>
        <w:rPr>
          <w:rFonts w:hint="eastAsia" w:ascii="Times New Roman" w:hAnsi="Times New Roman"/>
        </w:rPr>
        <w:t>这些校正值可以用于实验室间测试程序的分析，也可以用于日常商业用途，如供应商</w:t>
      </w:r>
      <w:r>
        <w:rPr>
          <w:rFonts w:ascii="Times New Roman" w:hAnsi="Times New Roman"/>
        </w:rPr>
        <w:t>/</w:t>
      </w:r>
      <w:r>
        <w:rPr>
          <w:rFonts w:hint="eastAsia" w:ascii="Times New Roman" w:hAnsi="Times New Roman"/>
        </w:rPr>
        <w:t>买方试验方案。</w:t>
      </w:r>
    </w:p>
    <w:p>
      <w:pPr>
        <w:tabs>
          <w:tab w:val="left" w:pos="567"/>
        </w:tabs>
        <w:spacing w:before="156" w:beforeLines="50" w:after="156" w:afterLines="50"/>
        <w:jc w:val="left"/>
      </w:pPr>
    </w:p>
    <w:p>
      <w:pPr>
        <w:pStyle w:val="23"/>
      </w:pPr>
    </w:p>
    <w:p>
      <w:pPr>
        <w:pStyle w:val="23"/>
      </w:pPr>
    </w:p>
    <w:p>
      <w:pPr>
        <w:pStyle w:val="71"/>
      </w:pPr>
      <w:bookmarkStart w:id="306" w:name="BKCKWX"/>
      <w:bookmarkStart w:id="307" w:name="_Toc124173997"/>
      <w:r>
        <w:rPr>
          <w:rFonts w:hint="eastAsia"/>
        </w:rPr>
        <w:t>参</w:t>
      </w:r>
      <w:r>
        <w:rPr>
          <w:rFonts w:hint="eastAsia" w:ascii="MS Mincho" w:hAnsi="MS Mincho" w:eastAsia="MS Mincho" w:cs="MS Mincho"/>
        </w:rPr>
        <w:t> </w:t>
      </w:r>
      <w:r>
        <w:rPr>
          <w:rFonts w:hint="eastAsia"/>
        </w:rPr>
        <w:t>考</w:t>
      </w:r>
      <w:r>
        <w:rPr>
          <w:rFonts w:hint="eastAsia" w:ascii="MS Mincho" w:hAnsi="MS Mincho" w:eastAsia="MS Mincho" w:cs="MS Mincho"/>
        </w:rPr>
        <w:t> </w:t>
      </w:r>
      <w:r>
        <w:rPr>
          <w:rFonts w:hint="eastAsia"/>
        </w:rPr>
        <w:t>文</w:t>
      </w:r>
      <w:r>
        <w:rPr>
          <w:rFonts w:hint="eastAsia" w:ascii="MS Mincho" w:hAnsi="MS Mincho" w:eastAsia="MS Mincho" w:cs="MS Mincho"/>
        </w:rPr>
        <w:t> </w:t>
      </w:r>
      <w:r>
        <w:rPr>
          <w:rFonts w:hint="eastAsia"/>
        </w:rPr>
        <w:t>献</w:t>
      </w:r>
      <w:bookmarkEnd w:id="306"/>
      <w:bookmarkEnd w:id="307"/>
    </w:p>
    <w:p>
      <w:pPr>
        <w:tabs>
          <w:tab w:val="left" w:pos="567"/>
        </w:tabs>
        <w:spacing w:before="156" w:beforeLines="50" w:after="156" w:afterLines="50"/>
        <w:jc w:val="left"/>
        <w:outlineLvl w:val="1"/>
        <w:rPr>
          <w:rFonts w:ascii="黑体" w:hAnsi="黑体" w:eastAsia="黑体"/>
        </w:rPr>
      </w:pPr>
      <w:bookmarkStart w:id="308" w:name="_Toc124173998"/>
      <w:bookmarkStart w:id="309" w:name="_Toc117245115"/>
      <w:r>
        <w:rPr>
          <w:rFonts w:hint="eastAsia" w:ascii="黑体" w:hAnsi="黑体" w:eastAsia="黑体"/>
        </w:rPr>
        <w:t>文献</w:t>
      </w:r>
      <w:bookmarkEnd w:id="308"/>
      <w:bookmarkEnd w:id="309"/>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F</w:t>
      </w:r>
      <w:r>
        <w:rPr>
          <w:rFonts w:ascii="Arial" w:hAnsi="Arial" w:cs="Arial"/>
          <w:kern w:val="0"/>
          <w:sz w:val="16"/>
          <w:szCs w:val="16"/>
        </w:rPr>
        <w:t>ISHER</w:t>
      </w:r>
      <w:r>
        <w:rPr>
          <w:rFonts w:ascii="Arial" w:hAnsi="Arial" w:cs="Arial"/>
          <w:kern w:val="0"/>
          <w:sz w:val="20"/>
          <w:szCs w:val="20"/>
        </w:rPr>
        <w:t>, R.H., and T</w:t>
      </w:r>
      <w:r>
        <w:rPr>
          <w:rFonts w:ascii="Arial" w:hAnsi="Arial" w:cs="Arial"/>
          <w:kern w:val="0"/>
          <w:sz w:val="16"/>
          <w:szCs w:val="16"/>
        </w:rPr>
        <w:t>IPPET</w:t>
      </w:r>
      <w:r>
        <w:rPr>
          <w:rFonts w:ascii="Arial" w:hAnsi="Arial" w:cs="Arial"/>
          <w:kern w:val="0"/>
          <w:sz w:val="20"/>
          <w:szCs w:val="20"/>
        </w:rPr>
        <w:t xml:space="preserve">, L.H.C.: Limiting forms of the frequency-distribution of the largest or smallest member of a sample, </w:t>
      </w:r>
      <w:r>
        <w:rPr>
          <w:rFonts w:ascii="Arial,Italic" w:hAnsi="Arial,Italic" w:cs="Arial,Italic"/>
          <w:i/>
          <w:iCs/>
          <w:kern w:val="0"/>
          <w:sz w:val="20"/>
          <w:szCs w:val="20"/>
        </w:rPr>
        <w:t>Proceedings of the Cambridge Philosophical Society</w:t>
      </w:r>
      <w:r>
        <w:rPr>
          <w:rFonts w:ascii="Arial" w:hAnsi="Arial" w:cs="Arial"/>
          <w:kern w:val="0"/>
          <w:sz w:val="20"/>
          <w:szCs w:val="20"/>
        </w:rPr>
        <w:t>, 1928, 24/2, 180</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KASE, S.A.: A theoretical analysis of the distribution of tensile strength of vulcanized rubber, Journal of Polymer Science, 1953, 11, 425-431</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KASE, S.: How to treat tensile data of rubber — II. A computational method, Journal of Polymer Science, 1954, 14, 497-501</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KASE, S.: How to treat tensile data of rubber — I. Graphical method, Rubber World, 1955, 131,504-506</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MAY, W.: Zugfestigkeit von Vulkanisation aus Styrol/Butadienkautschuk — Wert und Streuung, Kautschuk Gummi Kunststoffe, 1964, 17, 640-646</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MAY, W.: Level and variation of tensile strength in relation to dispersion of compounding ingredients, Transactions of the Institution of the Rubber Industry, 1964, 40, T109-T122</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HEAP, R.D.: Distribution of tensile strength data, Transactions of the Institution of the Rubber Industry, 1965, 41, T127-T135</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BARKER, L.R., and SMITH, J.F.: The use of the doubly exponential distribution for tensile strength of rubbers, Polymer Testing, 1985, 5, 427-438</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NIS 3003, Expression of uncertainty and confidence in measurements, 8th edition, May 1995, published by the NAMAS Executive, National Physical Laboratory, available from the United Kingdom Accreditation Service</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YOUDEN, W.J.: Graphical diagnosis of interlaboratory test results, Industrial Quality Control, May 1959, 24-28</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YOUDEN, W.J.: Ranking laboratory by round robin tests, Materials Research and Standards, 1963, 3(1), 9-13</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YOUDEN, W.J., and STEINER, E.H.: Statistical Manual of the Association of Official Analytical Chemists, 1975</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Alan G. Veith，A New Approach to Evaluating Inter-laboratory Testing Precision，Polymer Testing，1993，12，113-184</w:t>
      </w:r>
    </w:p>
    <w:p>
      <w:pPr>
        <w:pStyle w:val="23"/>
        <w:numPr>
          <w:ilvl w:val="0"/>
          <w:numId w:val="64"/>
        </w:numPr>
        <w:ind w:firstLineChars="0"/>
        <w:jc w:val="left"/>
        <w:rPr>
          <w:rFonts w:ascii="Times New Roman"/>
          <w:color w:val="000000"/>
          <w:szCs w:val="21"/>
        </w:rPr>
      </w:pPr>
      <w:r>
        <w:rPr>
          <w:rFonts w:ascii="Times New Roman"/>
          <w:color w:val="000000"/>
          <w:szCs w:val="21"/>
        </w:rPr>
        <w:t>Veith, A. G., 'INTERCAL'--A Proposed Program to Eliminate Poor Test Reproducibility in the Rubber Industry. Presented to ISO Technical Committee 45, October 1989, Kuala Lumpur, Malaysia and to ASTM Committee Dll, December 1989, Orlando, FL, USA.</w:t>
      </w:r>
    </w:p>
    <w:p>
      <w:pPr>
        <w:pStyle w:val="23"/>
        <w:numPr>
          <w:ilvl w:val="0"/>
          <w:numId w:val="64"/>
        </w:numPr>
        <w:adjustRightInd w:val="0"/>
        <w:ind w:firstLineChars="0"/>
        <w:jc w:val="left"/>
        <w:rPr>
          <w:rFonts w:ascii="Arial" w:hAnsi="Arial" w:cs="Arial"/>
          <w:sz w:val="20"/>
        </w:rPr>
      </w:pPr>
      <w:r>
        <w:rPr>
          <w:rFonts w:ascii="Times New Roman"/>
          <w:color w:val="000000"/>
          <w:szCs w:val="21"/>
        </w:rPr>
        <w:t>Veith, A. G., The 'INTERCAL' Concept--a Test Case Using ASTM Test D-623 (Flexometer) Testing. Presented to ASTM Committee Dll, June 1990, Philadelphia, PA, USA and to ISO Technical Committee 45, October 1990, The Hague, The Netherlands.</w:t>
      </w:r>
    </w:p>
    <w:p>
      <w:pPr>
        <w:pStyle w:val="138"/>
        <w:numPr>
          <w:ilvl w:val="0"/>
          <w:numId w:val="64"/>
        </w:numPr>
        <w:autoSpaceDE w:val="0"/>
        <w:autoSpaceDN w:val="0"/>
        <w:adjustRightInd w:val="0"/>
        <w:ind w:firstLineChars="0"/>
        <w:jc w:val="left"/>
        <w:rPr>
          <w:rFonts w:ascii="Arial" w:hAnsi="Arial" w:cs="Arial"/>
          <w:kern w:val="0"/>
          <w:sz w:val="20"/>
          <w:szCs w:val="20"/>
        </w:rPr>
      </w:pPr>
      <w:r>
        <w:rPr>
          <w:rFonts w:hint="eastAsia" w:ascii="Arial" w:hAnsi="Arial" w:cs="Arial"/>
          <w:kern w:val="0"/>
          <w:sz w:val="20"/>
          <w:szCs w:val="20"/>
        </w:rPr>
        <w:t>贾俊平编著，统计学基础（第四版），中国人民大学出版社，20</w:t>
      </w:r>
      <w:r>
        <w:rPr>
          <w:rFonts w:ascii="Arial" w:hAnsi="Arial" w:cs="Arial"/>
          <w:kern w:val="0"/>
          <w:sz w:val="20"/>
          <w:szCs w:val="20"/>
        </w:rPr>
        <w:t>16</w:t>
      </w:r>
      <w:r>
        <w:rPr>
          <w:rFonts w:hint="eastAsia" w:ascii="Arial" w:hAnsi="Arial" w:cs="Arial"/>
          <w:kern w:val="0"/>
          <w:sz w:val="20"/>
          <w:szCs w:val="20"/>
        </w:rPr>
        <w: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贾俊平等编著，统计学（第</w:t>
      </w:r>
      <w:r>
        <w:rPr>
          <w:rFonts w:hint="eastAsia" w:ascii="Arial" w:hAnsi="Arial" w:cs="Arial"/>
          <w:kern w:val="0"/>
          <w:sz w:val="20"/>
          <w:szCs w:val="20"/>
        </w:rPr>
        <w:t>7版），中国人民大学出版社，2018</w:t>
      </w:r>
      <w:r>
        <w:rPr>
          <w:rFonts w:ascii="Arial" w:hAnsi="Arial" w:cs="Arial"/>
          <w:kern w:val="0"/>
          <w:sz w:val="20"/>
          <w:szCs w:val="20"/>
        </w:rPr>
        <w: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陈珍珍主编，统计学（第六版），厦门大学出版社，</w:t>
      </w:r>
      <w:r>
        <w:rPr>
          <w:rFonts w:hint="eastAsia" w:ascii="Arial" w:hAnsi="Arial" w:cs="Arial"/>
          <w:kern w:val="0"/>
          <w:sz w:val="20"/>
          <w:szCs w:val="20"/>
        </w:rPr>
        <w:t>2018</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孙淑萍编，误差与数据处理，辽宁大学化学系，</w:t>
      </w:r>
      <w:r>
        <w:rPr>
          <w:rFonts w:hint="eastAsia" w:ascii="Arial" w:hAnsi="Arial" w:cs="Arial"/>
          <w:kern w:val="0"/>
          <w:sz w:val="20"/>
          <w:szCs w:val="20"/>
        </w:rPr>
        <w:t>1989.</w:t>
      </w:r>
    </w:p>
    <w:p>
      <w:pPr>
        <w:autoSpaceDE w:val="0"/>
        <w:autoSpaceDN w:val="0"/>
        <w:adjustRightInd w:val="0"/>
        <w:jc w:val="left"/>
        <w:outlineLvl w:val="1"/>
        <w:rPr>
          <w:rFonts w:ascii="Arial,Bold" w:hAnsi="Arial,Bold" w:cs="Arial,Bold"/>
          <w:b/>
          <w:bCs/>
          <w:kern w:val="0"/>
          <w:sz w:val="20"/>
          <w:szCs w:val="20"/>
        </w:rPr>
      </w:pPr>
      <w:bookmarkStart w:id="310" w:name="_Toc117245116"/>
      <w:bookmarkStart w:id="311" w:name="_Toc124173999"/>
    </w:p>
    <w:p>
      <w:pPr>
        <w:autoSpaceDE w:val="0"/>
        <w:autoSpaceDN w:val="0"/>
        <w:adjustRightInd w:val="0"/>
        <w:jc w:val="left"/>
        <w:outlineLvl w:val="1"/>
        <w:rPr>
          <w:rFonts w:ascii="Arial,Bold" w:hAnsi="Arial,Bold" w:cs="Arial,Bold"/>
          <w:b/>
          <w:bCs/>
          <w:kern w:val="0"/>
          <w:sz w:val="20"/>
          <w:szCs w:val="20"/>
        </w:rPr>
      </w:pPr>
      <w:r>
        <w:rPr>
          <w:rFonts w:hint="eastAsia" w:ascii="Arial,Bold" w:hAnsi="Arial,Bold" w:cs="Arial,Bold"/>
          <w:b/>
          <w:bCs/>
          <w:kern w:val="0"/>
          <w:sz w:val="20"/>
          <w:szCs w:val="20"/>
        </w:rPr>
        <w:t>标准</w:t>
      </w:r>
      <w:bookmarkEnd w:id="310"/>
      <w:bookmarkEnd w:id="311"/>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34-1:2004, Rubber, vulcanized or thermoplastic — Determination of tear strength — Part 1:</w:t>
      </w:r>
      <w:r>
        <w:rPr>
          <w:rFonts w:ascii="Arial" w:hAnsi="Arial" w:cs="Arial"/>
          <w:kern w:val="0"/>
          <w:sz w:val="20"/>
          <w:szCs w:val="20"/>
        </w:rPr>
        <w:br w:type="textWrapping"/>
      </w:r>
      <w:r>
        <w:rPr>
          <w:rFonts w:ascii="Arial" w:hAnsi="Arial" w:cs="Arial"/>
          <w:kern w:val="0"/>
          <w:sz w:val="20"/>
          <w:szCs w:val="20"/>
        </w:rPr>
        <w:t>Trouser, angle and crescent test pieces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36, Rubber, vulcanized or thermoplastic — Determination of the adhesion to textile fabrics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37, Rubber, vulcanized or thermoplastic — Determination of tensile stress-strain properties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48, Rubber, vulcanized or thermoplastic — Determination of hardness (hardness between 10 IRHD and 100 IRHD)</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123, Rubber latex — Sampling</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812, Rubber, vulcanized or thermoplastic — Determination of low-temperature brittleness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815, Rubber, vulcanized or thermoplastic — Determination of compression set at ambient</w:t>
      </w:r>
      <w:r>
        <w:rPr>
          <w:rFonts w:hint="eastAsia" w:ascii="Arial" w:hAnsi="Arial" w:cs="Arial"/>
          <w:kern w:val="0"/>
          <w:sz w:val="20"/>
          <w:szCs w:val="20"/>
        </w:rPr>
        <w:t>，</w:t>
      </w:r>
      <w:r>
        <w:rPr>
          <w:rFonts w:ascii="Arial" w:hAnsi="Arial" w:cs="Arial"/>
          <w:kern w:val="0"/>
          <w:sz w:val="20"/>
          <w:szCs w:val="20"/>
        </w:rPr>
        <w:t>elevated or low temperatures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1124, Rubber compounding ingredients — Carbon black shipment sampling procedures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1431-1, Rubber, vulcanized or thermoplastic — Resistance to ozone cracking — Part 1: Static and dynamic strain testing</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1795, Rubber, raw natural and raw synthetic — Sampling and further preparative procedures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1817, Rubber, vulcanized — Determination of the effect of liquids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2602, Statistical interpretation of test results — Estimation of the mean — Confidence interval</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2854, Statistical interpretation of data — Techniques of estimation and tests relating to means and variances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2859 (all parts), Sampling procedures for inspection by attributes</w:t>
      </w:r>
    </w:p>
    <w:p>
      <w:pPr>
        <w:pStyle w:val="138"/>
        <w:numPr>
          <w:ilvl w:val="0"/>
          <w:numId w:val="64"/>
        </w:numPr>
        <w:autoSpaceDE w:val="0"/>
        <w:autoSpaceDN w:val="0"/>
        <w:adjustRightInd w:val="0"/>
        <w:ind w:firstLineChars="0"/>
        <w:jc w:val="left"/>
        <w:rPr>
          <w:rFonts w:ascii="Arial,Italic" w:hAnsi="Arial,Italic" w:cs="Arial,Italic"/>
          <w:iCs/>
          <w:kern w:val="0"/>
          <w:sz w:val="20"/>
          <w:szCs w:val="20"/>
        </w:rPr>
      </w:pPr>
      <w:r>
        <w:rPr>
          <w:rFonts w:ascii="Arial" w:hAnsi="Arial" w:cs="Arial"/>
          <w:kern w:val="0"/>
          <w:sz w:val="20"/>
          <w:szCs w:val="20"/>
        </w:rPr>
        <w:t>ISO 2921, Rubber, vulcanized — Determination of low-temperature characteristics —</w:t>
      </w:r>
      <w:r>
        <w:rPr>
          <w:rFonts w:ascii="Arial,Italic" w:hAnsi="Arial,Italic" w:cs="Arial,Italic"/>
          <w:i/>
          <w:iCs/>
          <w:kern w:val="0"/>
          <w:sz w:val="20"/>
          <w:szCs w:val="20"/>
        </w:rPr>
        <w:t xml:space="preserve"> Temperatureretraction procedure (TR test)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[28] ISO 3384, Rubber, vulcanized or thermoplastic — Determination of stress relaxation in compression at ambient and at elevated temperatures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3534 (all parts), Statistics — Vocabulary and symbols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3951 (all parts), Sampling procedures for inspection by variables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4633, Rubber seals — Joint rings for water supply, drainage and sewerage pipelines — Specification for materials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4649, Rubber, vulcanized or thermoplastic — Determination of abrasion resistance using a rotating cylindrical drum device</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5479, Statistical interpretation of data — Tests for departure from the normal distribution</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5725 (all parts), Accuracy (trueness and precision) of measurement methods and results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6133, Rubber and plastics — Analysis of multi-peak traces obtained in determinations of tear strength and adhesion strength</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6943, Rubber, vulcanized — Determination of tension fatigue</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7870-2 Control charts — Part 2: Shewhart control charts</w:t>
      </w:r>
    </w:p>
    <w:p>
      <w:pPr>
        <w:pStyle w:val="138"/>
        <w:numPr>
          <w:ilvl w:val="0"/>
          <w:numId w:val="64"/>
        </w:numPr>
        <w:autoSpaceDE w:val="0"/>
        <w:autoSpaceDN w:val="0"/>
        <w:adjustRightInd w:val="0"/>
        <w:ind w:firstLineChars="0"/>
        <w:jc w:val="left"/>
        <w:rPr>
          <w:rFonts w:ascii="Arial" w:hAnsi="Arial" w:cs="Arial"/>
          <w:dstrike/>
          <w:color w:val="FF0000"/>
          <w:kern w:val="0"/>
          <w:sz w:val="20"/>
          <w:szCs w:val="20"/>
        </w:rPr>
      </w:pPr>
      <w:r>
        <w:rPr>
          <w:rFonts w:ascii="Arial" w:hAnsi="Arial" w:cs="Arial"/>
          <w:dstrike/>
          <w:color w:val="FF0000"/>
          <w:kern w:val="0"/>
          <w:sz w:val="20"/>
          <w:szCs w:val="20"/>
        </w:rPr>
        <w:t>ISO 8258, Shewhart control charts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8423, Sequential sampling plans for inspection by variables for percent nonconforming (known standard deviation)</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ISO/TR 8550, Guide for the selection of an acceptance sampling system, scheme or plan for inspection of discrete items in lots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ISO 19983:2022 Rubber — Determination of precision of test methods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BS 600, A guide to the application of statistical methods to quality and standardization</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BS 5700, Guide to process control using quality control chart methods and cusum techniques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BS 5701 (all parts), Guide to quality control and performance improvement using qualitative (attribute) data</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BS 5703 (all parts), Guide to data analysis and quality control using cusum techniques</w:t>
      </w:r>
    </w:p>
    <w:p>
      <w:pPr>
        <w:pStyle w:val="138"/>
        <w:numPr>
          <w:ilvl w:val="0"/>
          <w:numId w:val="64"/>
        </w:numPr>
        <w:autoSpaceDE w:val="0"/>
        <w:autoSpaceDN w:val="0"/>
        <w:adjustRightInd w:val="0"/>
        <w:ind w:firstLineChars="0"/>
        <w:jc w:val="left"/>
        <w:rPr>
          <w:rFonts w:ascii="Arial" w:hAnsi="Arial" w:cs="Arial"/>
          <w:kern w:val="0"/>
          <w:sz w:val="20"/>
          <w:szCs w:val="20"/>
        </w:rPr>
      </w:pPr>
      <w:bookmarkStart w:id="312" w:name="_Toc117245117"/>
      <w:r>
        <w:rPr>
          <w:rFonts w:ascii="Arial" w:hAnsi="Arial" w:cs="Arial"/>
          <w:kern w:val="0"/>
          <w:sz w:val="20"/>
          <w:szCs w:val="20"/>
        </w:rPr>
        <w:t xml:space="preserve">GB/T 529-2008 </w:t>
      </w:r>
      <w:r>
        <w:rPr>
          <w:rFonts w:hint="eastAsia" w:ascii="Arial" w:hAnsi="Arial" w:cs="Arial"/>
          <w:kern w:val="0"/>
          <w:sz w:val="20"/>
          <w:szCs w:val="20"/>
        </w:rPr>
        <w:t>硫化橡胶或热塑性橡胶撕裂强度的测定（裤形、直角形和新月形试样）</w:t>
      </w:r>
      <w:r>
        <w:rPr>
          <w:rFonts w:ascii="Arial" w:hAnsi="Arial" w:cs="Arial"/>
          <w:kern w:val="0"/>
          <w:sz w:val="20"/>
          <w:szCs w:val="20"/>
        </w:rPr>
        <w:t>(ISO 34-1:2004</w:t>
      </w:r>
      <w:r>
        <w:rPr>
          <w:rFonts w:hint="eastAsia" w:ascii="Arial" w:hAnsi="Arial" w:cs="Arial"/>
          <w:kern w:val="0"/>
          <w:sz w:val="20"/>
          <w:szCs w:val="20"/>
        </w:rPr>
        <w:t>，</w:t>
      </w:r>
      <w:r>
        <w:rPr>
          <w:rFonts w:ascii="Arial" w:hAnsi="Arial" w:cs="Arial"/>
          <w:kern w:val="0"/>
          <w:sz w:val="20"/>
          <w:szCs w:val="20"/>
        </w:rPr>
        <w:t>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532-2008 </w:t>
      </w:r>
      <w:r>
        <w:rPr>
          <w:rFonts w:hint="eastAsia" w:ascii="Arial" w:hAnsi="Arial" w:cs="Arial"/>
          <w:kern w:val="0"/>
          <w:sz w:val="20"/>
          <w:szCs w:val="20"/>
        </w:rPr>
        <w:t>硫化橡胶或热塑性橡胶与织物粘合强度的测定</w:t>
      </w:r>
      <w:r>
        <w:rPr>
          <w:rFonts w:ascii="Arial" w:hAnsi="Arial" w:cs="Arial"/>
          <w:kern w:val="0"/>
          <w:sz w:val="20"/>
          <w:szCs w:val="20"/>
        </w:rPr>
        <w:t xml:space="preserve"> (ISO 36:2005,IDT)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528-2009 </w:t>
      </w:r>
      <w:r>
        <w:rPr>
          <w:rFonts w:hint="eastAsia" w:ascii="Arial" w:hAnsi="Arial" w:cs="Arial"/>
          <w:kern w:val="0"/>
          <w:sz w:val="20"/>
          <w:szCs w:val="20"/>
        </w:rPr>
        <w:t>硫化橡胶或热塑性橡胶</w:t>
      </w:r>
      <w:r>
        <w:rPr>
          <w:rFonts w:ascii="Arial" w:hAnsi="Arial" w:cs="Arial"/>
          <w:kern w:val="0"/>
          <w:sz w:val="20"/>
          <w:szCs w:val="20"/>
        </w:rPr>
        <w:t xml:space="preserve"> </w:t>
      </w:r>
      <w:r>
        <w:rPr>
          <w:rFonts w:hint="eastAsia" w:ascii="Arial" w:hAnsi="Arial" w:cs="Arial"/>
          <w:kern w:val="0"/>
          <w:sz w:val="20"/>
          <w:szCs w:val="20"/>
        </w:rPr>
        <w:t>拉伸应力应变性能的测定（</w:t>
      </w:r>
      <w:r>
        <w:rPr>
          <w:rFonts w:ascii="Arial" w:hAnsi="Arial" w:cs="Arial"/>
          <w:kern w:val="0"/>
          <w:sz w:val="20"/>
          <w:szCs w:val="20"/>
        </w:rPr>
        <w:t>ISO 37:2005，IDT）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GB/T 6031-2017</w:t>
      </w:r>
      <w:r>
        <w:rPr>
          <w:rFonts w:hint="eastAsia" w:ascii="Arial" w:hAnsi="Arial" w:cs="Arial"/>
          <w:kern w:val="0"/>
          <w:sz w:val="20"/>
          <w:szCs w:val="20"/>
        </w:rPr>
        <w:t>硫化橡胶或热塑性橡胶</w:t>
      </w:r>
      <w:r>
        <w:rPr>
          <w:rFonts w:ascii="Arial" w:hAnsi="Arial" w:cs="Arial"/>
          <w:kern w:val="0"/>
          <w:sz w:val="20"/>
          <w:szCs w:val="20"/>
        </w:rPr>
        <w:t xml:space="preserve"> </w:t>
      </w:r>
      <w:r>
        <w:rPr>
          <w:rFonts w:hint="eastAsia" w:ascii="Arial" w:hAnsi="Arial" w:cs="Arial"/>
          <w:kern w:val="0"/>
          <w:sz w:val="20"/>
          <w:szCs w:val="20"/>
        </w:rPr>
        <w:t>硬度的测定</w:t>
      </w:r>
      <w:r>
        <w:rPr>
          <w:rFonts w:ascii="Arial" w:hAnsi="Arial" w:cs="Arial"/>
          <w:kern w:val="0"/>
          <w:sz w:val="20"/>
          <w:szCs w:val="20"/>
        </w:rPr>
        <w:t xml:space="preserve">(10IRHD~100IRHD) </w:t>
      </w:r>
      <w:r>
        <w:rPr>
          <w:rFonts w:hint="eastAsia" w:ascii="Arial" w:hAnsi="Arial" w:cs="Arial"/>
          <w:kern w:val="0"/>
          <w:sz w:val="20"/>
          <w:szCs w:val="20"/>
        </w:rPr>
        <w:t>（</w:t>
      </w:r>
      <w:r>
        <w:rPr>
          <w:rFonts w:ascii="Arial" w:hAnsi="Arial" w:cs="Arial"/>
          <w:kern w:val="0"/>
          <w:sz w:val="20"/>
          <w:szCs w:val="20"/>
        </w:rPr>
        <w:t>ISO 48:2010，IDT）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8290-2021  </w:t>
      </w:r>
      <w:r>
        <w:rPr>
          <w:rFonts w:hint="eastAsia" w:ascii="Arial" w:hAnsi="Arial" w:cs="Arial"/>
          <w:kern w:val="0"/>
          <w:sz w:val="20"/>
          <w:szCs w:val="20"/>
        </w:rPr>
        <w:t>胶乳</w:t>
      </w:r>
      <w:r>
        <w:rPr>
          <w:rFonts w:ascii="Arial" w:hAnsi="Arial" w:cs="Arial"/>
          <w:kern w:val="0"/>
          <w:sz w:val="20"/>
          <w:szCs w:val="20"/>
        </w:rPr>
        <w:t xml:space="preserve"> </w:t>
      </w:r>
      <w:r>
        <w:rPr>
          <w:rFonts w:hint="eastAsia" w:ascii="Arial" w:hAnsi="Arial" w:cs="Arial"/>
          <w:kern w:val="0"/>
          <w:sz w:val="20"/>
          <w:szCs w:val="20"/>
        </w:rPr>
        <w:t>取样</w:t>
      </w:r>
      <w:r>
        <w:rPr>
          <w:rFonts w:ascii="Arial" w:hAnsi="Arial" w:cs="Arial"/>
          <w:kern w:val="0"/>
          <w:sz w:val="20"/>
          <w:szCs w:val="20"/>
        </w:rPr>
        <w:t>(ISO 123</w:t>
      </w:r>
      <w:r>
        <w:rPr>
          <w:rFonts w:hint="eastAsia" w:ascii="Arial" w:hAnsi="Arial" w:cs="Arial"/>
          <w:kern w:val="0"/>
          <w:sz w:val="20"/>
          <w:szCs w:val="20"/>
        </w:rPr>
        <w:t>：</w:t>
      </w:r>
      <w:r>
        <w:rPr>
          <w:rFonts w:ascii="Arial" w:hAnsi="Arial" w:cs="Arial"/>
          <w:kern w:val="0"/>
          <w:sz w:val="20"/>
          <w:szCs w:val="20"/>
        </w:rPr>
        <w:t>2001</w:t>
      </w:r>
      <w:r>
        <w:rPr>
          <w:rFonts w:hint="eastAsia" w:ascii="Arial" w:hAnsi="Arial" w:cs="Arial"/>
          <w:kern w:val="0"/>
          <w:sz w:val="20"/>
          <w:szCs w:val="20"/>
        </w:rPr>
        <w:t>，</w:t>
      </w:r>
      <w:r>
        <w:rPr>
          <w:rFonts w:ascii="Arial" w:hAnsi="Arial" w:cs="Arial"/>
          <w:kern w:val="0"/>
          <w:sz w:val="20"/>
          <w:szCs w:val="20"/>
        </w:rPr>
        <w:t>MOD)</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15256-2014  </w:t>
      </w:r>
      <w:r>
        <w:rPr>
          <w:rFonts w:hint="eastAsia" w:ascii="Arial" w:hAnsi="Arial" w:cs="Arial"/>
          <w:kern w:val="0"/>
          <w:sz w:val="20"/>
          <w:szCs w:val="20"/>
        </w:rPr>
        <w:t>硫化橡胶或热塑性橡胶</w:t>
      </w:r>
      <w:r>
        <w:rPr>
          <w:rFonts w:ascii="Arial" w:hAnsi="Arial" w:cs="Arial"/>
          <w:kern w:val="0"/>
          <w:sz w:val="20"/>
          <w:szCs w:val="20"/>
        </w:rPr>
        <w:t xml:space="preserve"> </w:t>
      </w:r>
      <w:r>
        <w:rPr>
          <w:rFonts w:hint="eastAsia" w:ascii="Arial" w:hAnsi="Arial" w:cs="Arial"/>
          <w:kern w:val="0"/>
          <w:sz w:val="20"/>
          <w:szCs w:val="20"/>
        </w:rPr>
        <w:t>低温脆性的测定</w:t>
      </w:r>
      <w:r>
        <w:rPr>
          <w:rFonts w:ascii="Arial" w:hAnsi="Arial" w:cs="Arial"/>
          <w:kern w:val="0"/>
          <w:sz w:val="20"/>
          <w:szCs w:val="20"/>
        </w:rPr>
        <w:t>(</w:t>
      </w:r>
      <w:r>
        <w:rPr>
          <w:rFonts w:hint="eastAsia" w:ascii="Arial" w:hAnsi="Arial" w:cs="Arial"/>
          <w:kern w:val="0"/>
          <w:sz w:val="20"/>
          <w:szCs w:val="20"/>
        </w:rPr>
        <w:t>多试样法</w:t>
      </w:r>
      <w:r>
        <w:rPr>
          <w:rFonts w:ascii="Arial" w:hAnsi="Arial" w:cs="Arial"/>
          <w:kern w:val="0"/>
          <w:sz w:val="20"/>
          <w:szCs w:val="20"/>
        </w:rPr>
        <w:t>) (ISO 812:2011,IDT)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9867-2008 </w:t>
      </w:r>
      <w:r>
        <w:rPr>
          <w:rFonts w:hint="eastAsia" w:ascii="Arial" w:hAnsi="Arial" w:cs="Arial"/>
          <w:kern w:val="0"/>
          <w:sz w:val="20"/>
          <w:szCs w:val="20"/>
        </w:rPr>
        <w:t>硫化橡胶或热塑性橡胶耐磨性能的测定（旋转辊筒式磨耗机法）（</w:t>
      </w:r>
      <w:r>
        <w:rPr>
          <w:rFonts w:ascii="Arial" w:hAnsi="Arial" w:cs="Arial"/>
          <w:kern w:val="0"/>
          <w:sz w:val="20"/>
          <w:szCs w:val="20"/>
        </w:rPr>
        <w:t>ISO 4649:2002，IDT）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4882-2001 </w:t>
      </w:r>
      <w:r>
        <w:rPr>
          <w:rFonts w:hint="eastAsia" w:ascii="Arial" w:hAnsi="Arial" w:cs="Arial"/>
          <w:kern w:val="0"/>
          <w:sz w:val="20"/>
          <w:szCs w:val="20"/>
        </w:rPr>
        <w:t>数据的统计处理和解释</w:t>
      </w:r>
      <w:r>
        <w:rPr>
          <w:rFonts w:ascii="Arial" w:hAnsi="Arial" w:cs="Arial"/>
          <w:kern w:val="0"/>
          <w:sz w:val="20"/>
          <w:szCs w:val="20"/>
        </w:rPr>
        <w:t xml:space="preserve"> </w:t>
      </w:r>
      <w:r>
        <w:rPr>
          <w:rFonts w:hint="eastAsia" w:ascii="Arial" w:hAnsi="Arial" w:cs="Arial"/>
          <w:kern w:val="0"/>
          <w:sz w:val="20"/>
          <w:szCs w:val="20"/>
        </w:rPr>
        <w:t>正态性检验（</w:t>
      </w:r>
      <w:r>
        <w:rPr>
          <w:rFonts w:ascii="Arial" w:hAnsi="Arial" w:cs="Arial"/>
          <w:kern w:val="0"/>
          <w:sz w:val="20"/>
          <w:szCs w:val="20"/>
        </w:rPr>
        <w:t>ISO 5479:1997，IDT）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GB/T 6379</w:t>
      </w:r>
      <w:r>
        <w:rPr>
          <w:rFonts w:hint="eastAsia" w:ascii="Arial" w:hAnsi="Arial" w:cs="Arial"/>
          <w:kern w:val="0"/>
          <w:sz w:val="20"/>
          <w:szCs w:val="20"/>
        </w:rPr>
        <w:t>（所有部分）</w:t>
      </w:r>
      <w:r>
        <w:rPr>
          <w:rFonts w:ascii="Arial" w:hAnsi="Arial" w:cs="Arial"/>
          <w:kern w:val="0"/>
          <w:sz w:val="20"/>
          <w:szCs w:val="20"/>
        </w:rPr>
        <w:t xml:space="preserve"> </w:t>
      </w:r>
      <w:r>
        <w:rPr>
          <w:rFonts w:hint="eastAsia" w:ascii="Arial" w:hAnsi="Arial" w:cs="Arial"/>
          <w:kern w:val="0"/>
          <w:sz w:val="20"/>
          <w:szCs w:val="20"/>
        </w:rPr>
        <w:t>测量方法与结果的准确度</w:t>
      </w:r>
      <w:r>
        <w:rPr>
          <w:rFonts w:ascii="Arial" w:hAnsi="Arial" w:cs="Arial"/>
          <w:kern w:val="0"/>
          <w:sz w:val="20"/>
          <w:szCs w:val="20"/>
        </w:rPr>
        <w:t>(</w:t>
      </w:r>
      <w:r>
        <w:rPr>
          <w:rFonts w:hint="eastAsia" w:ascii="Arial" w:hAnsi="Arial" w:cs="Arial"/>
          <w:kern w:val="0"/>
          <w:sz w:val="20"/>
          <w:szCs w:val="20"/>
        </w:rPr>
        <w:t>正确度与精密度</w:t>
      </w:r>
      <w:r>
        <w:rPr>
          <w:rFonts w:ascii="Arial" w:hAnsi="Arial" w:cs="Arial"/>
          <w:kern w:val="0"/>
          <w:sz w:val="20"/>
          <w:szCs w:val="20"/>
        </w:rPr>
        <w:t xml:space="preserve">) </w:t>
      </w:r>
      <w:r>
        <w:rPr>
          <w:rFonts w:hint="eastAsia" w:ascii="Arial" w:hAnsi="Arial" w:cs="Arial"/>
          <w:kern w:val="0"/>
          <w:sz w:val="20"/>
          <w:szCs w:val="20"/>
        </w:rPr>
        <w:t>［</w:t>
      </w:r>
      <w:r>
        <w:rPr>
          <w:rFonts w:ascii="Arial" w:hAnsi="Arial" w:cs="Arial"/>
          <w:kern w:val="0"/>
          <w:sz w:val="20"/>
          <w:szCs w:val="20"/>
        </w:rPr>
        <w:t>ISO 5725 (all parts)</w:t>
      </w:r>
      <w:r>
        <w:rPr>
          <w:rFonts w:hint="eastAsia" w:ascii="Arial" w:hAnsi="Arial" w:cs="Arial"/>
          <w:kern w:val="0"/>
          <w:sz w:val="20"/>
          <w:szCs w:val="20"/>
        </w:rPr>
        <w: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12833-2006 </w:t>
      </w:r>
      <w:r>
        <w:rPr>
          <w:rFonts w:hint="eastAsia" w:ascii="Arial" w:hAnsi="Arial" w:cs="Arial"/>
          <w:kern w:val="0"/>
          <w:sz w:val="20"/>
          <w:szCs w:val="20"/>
        </w:rPr>
        <w:t>橡胶和塑料</w:t>
      </w:r>
      <w:r>
        <w:rPr>
          <w:rFonts w:ascii="Arial" w:hAnsi="Arial" w:cs="Arial"/>
          <w:kern w:val="0"/>
          <w:sz w:val="20"/>
          <w:szCs w:val="20"/>
        </w:rPr>
        <w:t xml:space="preserve"> </w:t>
      </w:r>
      <w:r>
        <w:rPr>
          <w:rFonts w:hint="eastAsia" w:ascii="Arial" w:hAnsi="Arial" w:cs="Arial"/>
          <w:kern w:val="0"/>
          <w:sz w:val="20"/>
          <w:szCs w:val="20"/>
        </w:rPr>
        <w:t>撕裂强度和粘合强度测定中的多峰曲线分析（</w:t>
      </w:r>
      <w:r>
        <w:rPr>
          <w:rFonts w:ascii="Arial" w:hAnsi="Arial" w:cs="Arial"/>
          <w:kern w:val="0"/>
          <w:sz w:val="20"/>
          <w:szCs w:val="20"/>
        </w:rPr>
        <w:t>ISO 6133:1998，IDT）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1688-2008 </w:t>
      </w:r>
      <w:r>
        <w:rPr>
          <w:rFonts w:hint="eastAsia" w:ascii="Arial" w:hAnsi="Arial" w:cs="Arial"/>
          <w:kern w:val="0"/>
          <w:sz w:val="20"/>
          <w:szCs w:val="20"/>
        </w:rPr>
        <w:t>硫化橡胶</w:t>
      </w:r>
      <w:r>
        <w:rPr>
          <w:rFonts w:ascii="Arial" w:hAnsi="Arial" w:cs="Arial"/>
          <w:kern w:val="0"/>
          <w:sz w:val="20"/>
          <w:szCs w:val="20"/>
        </w:rPr>
        <w:t xml:space="preserve"> </w:t>
      </w:r>
      <w:r>
        <w:rPr>
          <w:rFonts w:hint="eastAsia" w:ascii="Arial" w:hAnsi="Arial" w:cs="Arial"/>
          <w:kern w:val="0"/>
          <w:sz w:val="20"/>
          <w:szCs w:val="20"/>
        </w:rPr>
        <w:t>伸张疲劳的测定</w:t>
      </w:r>
      <w:r>
        <w:rPr>
          <w:rFonts w:ascii="Arial" w:hAnsi="Arial" w:cs="Arial"/>
          <w:kern w:val="0"/>
          <w:sz w:val="20"/>
          <w:szCs w:val="20"/>
        </w:rPr>
        <w:t>(ISO 6943:2007，IDT)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4091-2001 </w:t>
      </w:r>
      <w:r>
        <w:rPr>
          <w:rFonts w:hint="eastAsia" w:ascii="Arial" w:hAnsi="Arial" w:cs="Arial"/>
          <w:kern w:val="0"/>
          <w:sz w:val="20"/>
          <w:szCs w:val="20"/>
        </w:rPr>
        <w:t>常规控制图（</w:t>
      </w:r>
      <w:r>
        <w:rPr>
          <w:rFonts w:ascii="Arial" w:hAnsi="Arial" w:cs="Arial"/>
          <w:kern w:val="0"/>
          <w:sz w:val="20"/>
          <w:szCs w:val="20"/>
        </w:rPr>
        <w:t>ISO 8258:1991，IDT）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16307-1996 </w:t>
      </w:r>
      <w:r>
        <w:rPr>
          <w:rFonts w:hint="eastAsia" w:ascii="Arial" w:hAnsi="Arial" w:cs="Arial"/>
          <w:kern w:val="0"/>
          <w:sz w:val="20"/>
          <w:szCs w:val="20"/>
        </w:rPr>
        <w:t>计量截尾序贯抽样检验程序及抽样表</w:t>
      </w:r>
      <w:r>
        <w:rPr>
          <w:rFonts w:ascii="Arial" w:hAnsi="Arial" w:cs="Arial"/>
          <w:kern w:val="0"/>
          <w:sz w:val="20"/>
          <w:szCs w:val="20"/>
        </w:rPr>
        <w:t>(</w:t>
      </w:r>
      <w:r>
        <w:rPr>
          <w:rFonts w:hint="eastAsia" w:ascii="Arial" w:hAnsi="Arial" w:cs="Arial"/>
          <w:kern w:val="0"/>
          <w:sz w:val="20"/>
          <w:szCs w:val="20"/>
        </w:rPr>
        <w:t>适用于标准差已知的情形</w:t>
      </w:r>
      <w:r>
        <w:rPr>
          <w:rFonts w:ascii="Arial" w:hAnsi="Arial" w:cs="Arial"/>
          <w:kern w:val="0"/>
          <w:sz w:val="20"/>
          <w:szCs w:val="20"/>
        </w:rPr>
        <w:t>)</w:t>
      </w:r>
      <w:r>
        <w:rPr>
          <w:rFonts w:hint="eastAsia" w:ascii="Arial" w:hAnsi="Arial" w:cs="Arial"/>
          <w:kern w:val="0"/>
          <w:sz w:val="20"/>
          <w:szCs w:val="20"/>
        </w:rPr>
        <w:t>（</w:t>
      </w:r>
      <w:r>
        <w:rPr>
          <w:rFonts w:ascii="Arial" w:hAnsi="Arial" w:cs="Arial"/>
          <w:kern w:val="0"/>
          <w:sz w:val="20"/>
          <w:szCs w:val="20"/>
        </w:rPr>
        <w:t>ISO 8423:1991，EQV）</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7759.1-2015 </w:t>
      </w:r>
      <w:r>
        <w:rPr>
          <w:rFonts w:hint="eastAsia" w:ascii="Arial" w:hAnsi="Arial" w:cs="Arial"/>
          <w:kern w:val="0"/>
          <w:sz w:val="20"/>
          <w:szCs w:val="20"/>
        </w:rPr>
        <w:t>硫化橡胶或热塑性橡胶</w:t>
      </w:r>
      <w:r>
        <w:rPr>
          <w:rFonts w:ascii="Arial" w:hAnsi="Arial" w:cs="Arial"/>
          <w:kern w:val="0"/>
          <w:sz w:val="20"/>
          <w:szCs w:val="20"/>
        </w:rPr>
        <w:t xml:space="preserve"> </w:t>
      </w:r>
      <w:r>
        <w:rPr>
          <w:rFonts w:hint="eastAsia" w:ascii="Arial" w:hAnsi="Arial" w:cs="Arial"/>
          <w:kern w:val="0"/>
          <w:sz w:val="20"/>
          <w:szCs w:val="20"/>
        </w:rPr>
        <w:t>压缩永久变形的测定第</w:t>
      </w:r>
      <w:r>
        <w:rPr>
          <w:rFonts w:ascii="Arial" w:hAnsi="Arial" w:cs="Arial"/>
          <w:kern w:val="0"/>
          <w:sz w:val="20"/>
          <w:szCs w:val="20"/>
        </w:rPr>
        <w:t>1</w:t>
      </w:r>
      <w:r>
        <w:rPr>
          <w:rFonts w:hint="eastAsia" w:ascii="Arial" w:hAnsi="Arial" w:cs="Arial"/>
          <w:kern w:val="0"/>
          <w:sz w:val="20"/>
          <w:szCs w:val="20"/>
        </w:rPr>
        <w:t>部分：在常温及高温条件下</w:t>
      </w:r>
      <w:r>
        <w:rPr>
          <w:rFonts w:ascii="Arial" w:hAnsi="Arial" w:cs="Arial"/>
          <w:kern w:val="0"/>
          <w:sz w:val="20"/>
          <w:szCs w:val="20"/>
        </w:rPr>
        <w:t>(ISO 815-1:2008，IDT)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7759.2-2014 </w:t>
      </w:r>
      <w:r>
        <w:rPr>
          <w:rFonts w:hint="eastAsia" w:ascii="Arial" w:hAnsi="Arial" w:cs="Arial"/>
          <w:kern w:val="0"/>
          <w:sz w:val="20"/>
          <w:szCs w:val="20"/>
        </w:rPr>
        <w:t>硫化橡胶或热塑性橡胶</w:t>
      </w:r>
      <w:r>
        <w:rPr>
          <w:rFonts w:ascii="Arial" w:hAnsi="Arial" w:cs="Arial"/>
          <w:kern w:val="0"/>
          <w:sz w:val="20"/>
          <w:szCs w:val="20"/>
        </w:rPr>
        <w:t xml:space="preserve"> </w:t>
      </w:r>
      <w:r>
        <w:rPr>
          <w:rFonts w:hint="eastAsia" w:ascii="Arial" w:hAnsi="Arial" w:cs="Arial"/>
          <w:kern w:val="0"/>
          <w:sz w:val="20"/>
          <w:szCs w:val="20"/>
        </w:rPr>
        <w:t>压缩永久变形的测定</w:t>
      </w:r>
      <w:r>
        <w:rPr>
          <w:rFonts w:ascii="Arial" w:hAnsi="Arial" w:cs="Arial"/>
          <w:kern w:val="0"/>
          <w:sz w:val="20"/>
          <w:szCs w:val="20"/>
        </w:rPr>
        <w:t xml:space="preserve"> </w:t>
      </w:r>
      <w:r>
        <w:rPr>
          <w:rFonts w:hint="eastAsia" w:ascii="Arial" w:hAnsi="Arial" w:cs="Arial"/>
          <w:kern w:val="0"/>
          <w:sz w:val="20"/>
          <w:szCs w:val="20"/>
        </w:rPr>
        <w:t>第</w:t>
      </w:r>
      <w:r>
        <w:rPr>
          <w:rFonts w:ascii="Arial" w:hAnsi="Arial" w:cs="Arial"/>
          <w:kern w:val="0"/>
          <w:sz w:val="20"/>
          <w:szCs w:val="20"/>
        </w:rPr>
        <w:t>2</w:t>
      </w:r>
      <w:r>
        <w:rPr>
          <w:rFonts w:hint="eastAsia" w:ascii="Arial" w:hAnsi="Arial" w:cs="Arial"/>
          <w:kern w:val="0"/>
          <w:sz w:val="20"/>
          <w:szCs w:val="20"/>
        </w:rPr>
        <w:t>部分：在低温条件下（</w:t>
      </w:r>
      <w:r>
        <w:rPr>
          <w:rFonts w:ascii="Arial" w:hAnsi="Arial" w:cs="Arial"/>
          <w:kern w:val="0"/>
          <w:sz w:val="20"/>
          <w:szCs w:val="20"/>
        </w:rPr>
        <w:t>ISO 815-2:2008，IDT）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15340-2008 </w:t>
      </w:r>
      <w:r>
        <w:rPr>
          <w:rFonts w:hint="eastAsia" w:ascii="Arial" w:hAnsi="Arial" w:cs="Arial"/>
          <w:kern w:val="0"/>
          <w:sz w:val="20"/>
          <w:szCs w:val="20"/>
        </w:rPr>
        <w:t>天然、合成生胶取样及其制样方法（</w:t>
      </w:r>
      <w:r>
        <w:rPr>
          <w:rFonts w:ascii="Arial" w:hAnsi="Arial" w:cs="Arial"/>
          <w:kern w:val="0"/>
          <w:sz w:val="20"/>
          <w:szCs w:val="20"/>
        </w:rPr>
        <w:t>ISO 1795:2000，IDT）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1690-2010 </w:t>
      </w:r>
      <w:r>
        <w:rPr>
          <w:rFonts w:hint="eastAsia" w:ascii="Arial" w:hAnsi="Arial" w:cs="Arial"/>
          <w:kern w:val="0"/>
          <w:sz w:val="20"/>
          <w:szCs w:val="20"/>
        </w:rPr>
        <w:t>硫化橡胶或热塑性橡胶</w:t>
      </w:r>
      <w:r>
        <w:rPr>
          <w:rFonts w:ascii="Arial" w:hAnsi="Arial" w:cs="Arial"/>
          <w:kern w:val="0"/>
          <w:sz w:val="20"/>
          <w:szCs w:val="20"/>
        </w:rPr>
        <w:t xml:space="preserve"> </w:t>
      </w:r>
      <w:r>
        <w:rPr>
          <w:rFonts w:hint="eastAsia" w:ascii="Arial" w:hAnsi="Arial" w:cs="Arial"/>
          <w:kern w:val="0"/>
          <w:sz w:val="20"/>
          <w:szCs w:val="20"/>
        </w:rPr>
        <w:t>耐液体试验方法</w:t>
      </w:r>
      <w:r>
        <w:rPr>
          <w:rFonts w:ascii="Arial" w:hAnsi="Arial" w:cs="Arial"/>
          <w:kern w:val="0"/>
          <w:sz w:val="20"/>
          <w:szCs w:val="20"/>
        </w:rPr>
        <w:t>(ISO 1817:2005，MOD)</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4889-2008 </w:t>
      </w:r>
      <w:r>
        <w:rPr>
          <w:rFonts w:hint="eastAsia" w:ascii="Arial" w:hAnsi="Arial" w:cs="Arial"/>
          <w:kern w:val="0"/>
          <w:sz w:val="20"/>
          <w:szCs w:val="20"/>
        </w:rPr>
        <w:t>数据的统计处理和解释</w:t>
      </w:r>
      <w:r>
        <w:rPr>
          <w:rFonts w:ascii="Arial" w:hAnsi="Arial" w:cs="Arial"/>
          <w:kern w:val="0"/>
          <w:sz w:val="20"/>
          <w:szCs w:val="20"/>
        </w:rPr>
        <w:t xml:space="preserve"> </w:t>
      </w:r>
      <w:r>
        <w:rPr>
          <w:rFonts w:hint="eastAsia" w:ascii="Arial" w:hAnsi="Arial" w:cs="Arial"/>
          <w:kern w:val="0"/>
          <w:sz w:val="20"/>
          <w:szCs w:val="20"/>
        </w:rPr>
        <w:t>正态分布均值和方差的估计与检验</w:t>
      </w:r>
      <w:r>
        <w:rPr>
          <w:rFonts w:ascii="Arial" w:hAnsi="Arial" w:cs="Arial"/>
          <w:kern w:val="0"/>
          <w:sz w:val="20"/>
          <w:szCs w:val="20"/>
        </w:rPr>
        <w:t>(ISO 2854:1976，MOD)</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GB/T 2828</w:t>
      </w:r>
      <w:r>
        <w:rPr>
          <w:rFonts w:hint="eastAsia" w:ascii="Arial" w:hAnsi="Arial" w:cs="Arial"/>
          <w:kern w:val="0"/>
          <w:sz w:val="20"/>
          <w:szCs w:val="20"/>
        </w:rPr>
        <w:t>（所有部分）</w:t>
      </w:r>
      <w:r>
        <w:rPr>
          <w:rFonts w:ascii="Arial" w:hAnsi="Arial" w:cs="Arial"/>
          <w:kern w:val="0"/>
          <w:sz w:val="20"/>
          <w:szCs w:val="20"/>
        </w:rPr>
        <w:t xml:space="preserve"> </w:t>
      </w:r>
      <w:r>
        <w:rPr>
          <w:rFonts w:hint="eastAsia" w:ascii="Arial" w:hAnsi="Arial" w:cs="Arial"/>
          <w:kern w:val="0"/>
          <w:sz w:val="20"/>
          <w:szCs w:val="20"/>
        </w:rPr>
        <w:t>计数抽样检验程序</w:t>
      </w:r>
      <w:r>
        <w:rPr>
          <w:rFonts w:ascii="Arial" w:hAnsi="Arial" w:cs="Arial"/>
          <w:kern w:val="0"/>
          <w:sz w:val="20"/>
          <w:szCs w:val="20"/>
        </w:rPr>
        <w:t>[ISO 2859 (all parts)]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7758-2020 </w:t>
      </w:r>
      <w:r>
        <w:rPr>
          <w:rFonts w:hint="eastAsia" w:ascii="Arial" w:hAnsi="Arial" w:cs="Arial"/>
          <w:kern w:val="0"/>
          <w:sz w:val="20"/>
          <w:szCs w:val="20"/>
        </w:rPr>
        <w:t>硫化橡胶</w:t>
      </w:r>
      <w:r>
        <w:rPr>
          <w:rFonts w:ascii="Arial" w:hAnsi="Arial" w:cs="Arial"/>
          <w:kern w:val="0"/>
          <w:sz w:val="20"/>
          <w:szCs w:val="20"/>
        </w:rPr>
        <w:t xml:space="preserve"> </w:t>
      </w:r>
      <w:r>
        <w:rPr>
          <w:rFonts w:hint="eastAsia" w:ascii="Arial" w:hAnsi="Arial" w:cs="Arial"/>
          <w:kern w:val="0"/>
          <w:sz w:val="20"/>
          <w:szCs w:val="20"/>
        </w:rPr>
        <w:t>低温性能的测定</w:t>
      </w:r>
      <w:r>
        <w:rPr>
          <w:rFonts w:ascii="Arial" w:hAnsi="Arial" w:cs="Arial"/>
          <w:kern w:val="0"/>
          <w:sz w:val="20"/>
          <w:szCs w:val="20"/>
        </w:rPr>
        <w:t xml:space="preserve"> </w:t>
      </w:r>
      <w:r>
        <w:rPr>
          <w:rFonts w:hint="eastAsia" w:ascii="Arial" w:hAnsi="Arial" w:cs="Arial"/>
          <w:kern w:val="0"/>
          <w:sz w:val="20"/>
          <w:szCs w:val="20"/>
        </w:rPr>
        <w:t>温度回缩程序（</w:t>
      </w:r>
      <w:r>
        <w:rPr>
          <w:rFonts w:ascii="Arial" w:hAnsi="Arial" w:cs="Arial"/>
          <w:kern w:val="0"/>
          <w:sz w:val="20"/>
          <w:szCs w:val="20"/>
        </w:rPr>
        <w:t xml:space="preserve">TR </w:t>
      </w:r>
      <w:r>
        <w:rPr>
          <w:rFonts w:hint="eastAsia" w:ascii="Arial" w:hAnsi="Arial" w:cs="Arial"/>
          <w:kern w:val="0"/>
          <w:sz w:val="20"/>
          <w:szCs w:val="20"/>
        </w:rPr>
        <w:t>试验）</w:t>
      </w:r>
      <w:r>
        <w:rPr>
          <w:rFonts w:ascii="Arial" w:hAnsi="Arial" w:cs="Arial"/>
          <w:kern w:val="0"/>
          <w:sz w:val="20"/>
          <w:szCs w:val="20"/>
        </w:rPr>
        <w:t>(ISO 2921：2019，IDT)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1685-2008 </w:t>
      </w:r>
      <w:r>
        <w:rPr>
          <w:rFonts w:hint="eastAsia" w:ascii="Arial" w:hAnsi="Arial" w:cs="Arial"/>
          <w:kern w:val="0"/>
          <w:sz w:val="20"/>
          <w:szCs w:val="20"/>
        </w:rPr>
        <w:t>硫化橡胶或热塑性橡胶</w:t>
      </w:r>
      <w:r>
        <w:rPr>
          <w:rFonts w:ascii="Arial" w:hAnsi="Arial" w:cs="Arial"/>
          <w:kern w:val="0"/>
          <w:sz w:val="20"/>
          <w:szCs w:val="20"/>
        </w:rPr>
        <w:t xml:space="preserve"> </w:t>
      </w:r>
      <w:r>
        <w:rPr>
          <w:rFonts w:hint="eastAsia" w:ascii="Arial" w:hAnsi="Arial" w:cs="Arial"/>
          <w:kern w:val="0"/>
          <w:sz w:val="20"/>
          <w:szCs w:val="20"/>
        </w:rPr>
        <w:t>在常温和高温下压缩应力松弛的测定</w:t>
      </w:r>
      <w:r>
        <w:rPr>
          <w:rFonts w:ascii="Arial" w:hAnsi="Arial" w:cs="Arial"/>
          <w:kern w:val="0"/>
          <w:sz w:val="20"/>
          <w:szCs w:val="20"/>
        </w:rPr>
        <w:t>(ISO 3384:2005，MOD)</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GB/T 3358（所有部分） 统计学词汇及符号[ISO 3534 (all parts)]</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GB/T 6378</w:t>
      </w:r>
      <w:r>
        <w:rPr>
          <w:rFonts w:hint="eastAsia" w:ascii="Arial" w:hAnsi="Arial" w:cs="Arial"/>
          <w:kern w:val="0"/>
          <w:sz w:val="20"/>
          <w:szCs w:val="20"/>
        </w:rPr>
        <w:t>（所有部分）</w:t>
      </w:r>
      <w:r>
        <w:rPr>
          <w:rFonts w:ascii="Arial" w:hAnsi="Arial" w:cs="Arial"/>
          <w:kern w:val="0"/>
          <w:sz w:val="20"/>
          <w:szCs w:val="20"/>
        </w:rPr>
        <w:t xml:space="preserve"> </w:t>
      </w:r>
      <w:r>
        <w:rPr>
          <w:rFonts w:hint="eastAsia" w:ascii="Arial" w:hAnsi="Arial" w:cs="Arial"/>
          <w:kern w:val="0"/>
          <w:sz w:val="20"/>
          <w:szCs w:val="20"/>
        </w:rPr>
        <w:t>计量抽样检验程序［</w:t>
      </w:r>
      <w:r>
        <w:rPr>
          <w:rFonts w:ascii="Arial" w:hAnsi="Arial" w:cs="Arial"/>
          <w:kern w:val="0"/>
          <w:sz w:val="20"/>
          <w:szCs w:val="20"/>
        </w:rPr>
        <w:t>ISO 3951 (all parts)</w:t>
      </w:r>
      <w:r>
        <w:rPr>
          <w:rFonts w:hint="eastAsia" w:ascii="Arial" w:hAnsi="Arial" w:cs="Arial"/>
          <w:kern w:val="0"/>
          <w:sz w:val="20"/>
          <w:szCs w:val="20"/>
        </w:rPr>
        <w:t>］</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 xml:space="preserve">GB/T 21873-2008 </w:t>
      </w:r>
      <w:r>
        <w:rPr>
          <w:rFonts w:hint="eastAsia" w:ascii="Arial" w:hAnsi="Arial" w:cs="Arial"/>
          <w:kern w:val="0"/>
          <w:sz w:val="20"/>
          <w:szCs w:val="20"/>
        </w:rPr>
        <w:t>橡胶密封件</w:t>
      </w:r>
      <w:r>
        <w:rPr>
          <w:rFonts w:ascii="Arial" w:hAnsi="Arial" w:cs="Arial"/>
          <w:kern w:val="0"/>
          <w:sz w:val="20"/>
          <w:szCs w:val="20"/>
        </w:rPr>
        <w:t xml:space="preserve"> </w:t>
      </w:r>
      <w:r>
        <w:rPr>
          <w:rFonts w:hint="eastAsia" w:ascii="Arial" w:hAnsi="Arial" w:cs="Arial"/>
          <w:kern w:val="0"/>
          <w:sz w:val="20"/>
          <w:szCs w:val="20"/>
        </w:rPr>
        <w:t>给、排水管及污水管道用接口密封圈</w:t>
      </w:r>
      <w:r>
        <w:rPr>
          <w:rFonts w:ascii="Arial" w:hAnsi="Arial" w:cs="Arial"/>
          <w:kern w:val="0"/>
          <w:sz w:val="20"/>
          <w:szCs w:val="20"/>
        </w:rPr>
        <w:t xml:space="preserve"> </w:t>
      </w:r>
      <w:r>
        <w:rPr>
          <w:rFonts w:hint="eastAsia" w:ascii="Arial" w:hAnsi="Arial" w:cs="Arial"/>
          <w:kern w:val="0"/>
          <w:sz w:val="20"/>
          <w:szCs w:val="20"/>
        </w:rPr>
        <w:t>材料规范（</w:t>
      </w:r>
      <w:r>
        <w:rPr>
          <w:rFonts w:ascii="Arial" w:hAnsi="Arial" w:cs="Arial"/>
          <w:kern w:val="0"/>
          <w:sz w:val="20"/>
          <w:szCs w:val="20"/>
        </w:rPr>
        <w:t>ISO 4633:2002，MOD）</w:t>
      </w:r>
    </w:p>
    <w:p>
      <w:pPr>
        <w:autoSpaceDE w:val="0"/>
        <w:autoSpaceDN w:val="0"/>
        <w:adjustRightInd w:val="0"/>
        <w:ind w:firstLine="420" w:firstLineChars="200"/>
        <w:jc w:val="left"/>
        <w:outlineLvl w:val="1"/>
        <w:rPr>
          <w:rFonts w:ascii="Arial" w:hAnsi="Arial" w:cs="Arial"/>
          <w:szCs w:val="21"/>
          <w:shd w:val="clear" w:color="auto" w:fill="F7F8FA"/>
        </w:rPr>
      </w:pPr>
      <w:bookmarkStart w:id="313" w:name="_Toc124174000"/>
      <w:r>
        <w:rPr>
          <w:rFonts w:hint="eastAsia" w:ascii="Arial" w:hAnsi="Arial" w:cs="Arial"/>
          <w:szCs w:val="21"/>
          <w:shd w:val="clear" w:color="auto" w:fill="F7F8FA"/>
        </w:rPr>
        <w:t>以下参考文献对于希望深入研究特定统计技术的用户非常有用：</w:t>
      </w:r>
      <w:bookmarkEnd w:id="312"/>
      <w:bookmarkEnd w:id="313"/>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EHRENBURG, A.S.C.: A primer in data reduction, Wiley, Chichester, 1982</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CHATFIELD, C.: Statistics for technology, London: Chapman and Hall, London, 1983</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CALCULL, R. Statistics in research and development, Chapman and Hall, London, 1991</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GROVE, D.M., and DAVIS, T.P.: Engineering quality and experimental design, Longman, Harlow, 1992</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BOX, G.E.P., HUNTER, W., and HUNTER, S.: Statistics for experimenters, Wiley, Chichester, 1983</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BOX, G.E.P., and DRAPER, N.R.: Empirical model building and response surfaces, Wiley, Chichester, 1987</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CORNELL, J.A.: Experiments with mixtures, Wiley, Chichester, 1981</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PEARSON, E.S., and HARTLEY, H.O. (eds).: Biometrika Tables for Statisticians, Charles Griffin and Co., London, 1976</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DRAPER, N.R., and SMITH, H.: Applied Regression Analysis, Wiley, 1981</w:t>
      </w:r>
    </w:p>
    <w:p>
      <w:pPr>
        <w:pStyle w:val="138"/>
        <w:numPr>
          <w:ilvl w:val="0"/>
          <w:numId w:val="64"/>
        </w:numPr>
        <w:autoSpaceDE w:val="0"/>
        <w:autoSpaceDN w:val="0"/>
        <w:adjustRightInd w:val="0"/>
        <w:ind w:firstLineChars="0"/>
        <w:jc w:val="left"/>
        <w:rPr>
          <w:rFonts w:ascii="Arial" w:hAnsi="Arial" w:cs="Arial"/>
          <w:kern w:val="0"/>
          <w:sz w:val="20"/>
          <w:szCs w:val="20"/>
        </w:rPr>
      </w:pPr>
      <w:r>
        <w:rPr>
          <w:rFonts w:ascii="Arial" w:hAnsi="Arial" w:cs="Arial"/>
          <w:kern w:val="0"/>
          <w:sz w:val="20"/>
          <w:szCs w:val="20"/>
        </w:rPr>
        <w:t>HAGN, G.J., and MEEKER, W.Q.: Statistical Intervals — A Guide for Practitioners, Wiley, 1991</w:t>
      </w:r>
    </w:p>
    <w:p>
      <w:pPr>
        <w:pStyle w:val="23"/>
      </w:pPr>
    </w:p>
    <w:p>
      <w:pPr>
        <w:pStyle w:val="130"/>
        <w:framePr w:wrap="around"/>
      </w:pPr>
      <w:r>
        <w:t>_________________________________</w:t>
      </w:r>
    </w:p>
    <w:sectPr>
      <w:pgSz w:w="11906" w:h="16838"/>
      <w:pgMar w:top="567" w:right="1134" w:bottom="1134" w:left="1418" w:header="1418" w:footer="1134" w:gutter="0"/>
      <w:cols w:space="425" w:num="1"/>
      <w:formProt w:val="0"/>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刘惠春" w:date="2022-10-12T13:26:00Z" w:initials="l">
    <w:p w14:paraId="05182A80">
      <w:pPr>
        <w:pStyle w:val="8"/>
      </w:pPr>
      <w:r>
        <w:t>基于样本的标准差，其分母中应为（</w:t>
      </w:r>
      <w:r>
        <w:rPr>
          <w:rFonts w:hint="eastAsia"/>
        </w:rPr>
        <w:t>n-1）</w:t>
      </w:r>
      <w:r>
        <w:t>; 基于总体的，其分母中应为</w:t>
      </w:r>
      <w:r>
        <w:rPr>
          <w:rFonts w:hint="eastAsia"/>
        </w:rPr>
        <w:t>n。</w:t>
      </w:r>
    </w:p>
  </w:comment>
  <w:comment w:id="1" w:author="刘惠春" w:date="2022-10-12T13:27:00Z" w:initials="l">
    <w:p w14:paraId="3E442054">
      <w:pPr>
        <w:pStyle w:val="8"/>
      </w:pPr>
      <w:r>
        <w:t>基于总体的标准差，其分母中应为</w:t>
      </w:r>
      <w:r>
        <w:rPr>
          <w:rFonts w:hint="eastAsia"/>
        </w:rPr>
        <w:t>n，而不是（n-1）</w:t>
      </w:r>
      <w:r>
        <w:t>。</w:t>
      </w:r>
    </w:p>
  </w:comment>
  <w:comment w:id="2" w:author="刘惠春" w:date="2023-01-11T12:06:00Z" w:initials="l">
    <w:p w14:paraId="4CEB037D">
      <w:pPr>
        <w:pStyle w:val="8"/>
      </w:pPr>
      <w:r>
        <w:t>原文为“＞”</w:t>
      </w:r>
    </w:p>
  </w:comment>
  <w:comment w:id="3" w:author="刘惠春" w:date="2023-01-11T12:06:00Z" w:initials="l">
    <w:p w14:paraId="527002C6">
      <w:pPr>
        <w:pStyle w:val="8"/>
      </w:pPr>
      <w:r>
        <w:t>原文为“97.5”</w:t>
      </w:r>
    </w:p>
  </w:comment>
  <w:comment w:id="4" w:author="刘惠春" w:date="2023-01-11T12:07:00Z" w:initials="l">
    <w:p w14:paraId="4B8658AA">
      <w:pPr>
        <w:pStyle w:val="8"/>
      </w:pPr>
      <w:r>
        <w:t>原文为“99.5”</w:t>
      </w:r>
    </w:p>
  </w:comment>
  <w:comment w:id="5" w:author="刘惠春" w:date="2022-04-28T14:14:00Z" w:initials="l">
    <w:p w14:paraId="0C3C72C6">
      <w:pPr>
        <w:pStyle w:val="8"/>
      </w:pPr>
      <w:r>
        <w:t>这里的</w:t>
      </w:r>
      <w:r>
        <w:rPr>
          <w:rFonts w:hint="eastAsia"/>
        </w:rPr>
        <w:t>n，就是表23中的p。见ISO</w:t>
      </w:r>
      <w:r>
        <w:t xml:space="preserve"> 5725-2:2019</w:t>
      </w:r>
    </w:p>
  </w:comment>
  <w:comment w:id="6" w:author="刘惠春" w:date="2022-05-19T09:23:00Z" w:initials="l">
    <w:p w14:paraId="298F262D">
      <w:pPr>
        <w:pStyle w:val="8"/>
      </w:pPr>
      <w:r>
        <w:t>怎么得出的？</w:t>
      </w:r>
    </w:p>
  </w:comment>
  <w:comment w:id="7" w:author="刘惠春" w:date="2022-05-19T09:25:00Z" w:initials="l">
    <w:p w14:paraId="24895F36">
      <w:pPr>
        <w:pStyle w:val="8"/>
      </w:pPr>
      <w:r>
        <w:t>怎么计算？</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5182A80" w15:done="0"/>
  <w15:commentEx w15:paraId="3E442054" w15:done="0"/>
  <w15:commentEx w15:paraId="4CEB037D" w15:done="0"/>
  <w15:commentEx w15:paraId="527002C6" w15:done="0"/>
  <w15:commentEx w15:paraId="4B8658AA" w15:done="0"/>
  <w15:commentEx w15:paraId="0C3C72C6" w15:done="0"/>
  <w15:commentEx w15:paraId="298F262D" w15:done="0"/>
  <w15:commentEx w15:paraId="24895F36"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0000010" w:usb3="00000000" w:csb0="0002009F" w:csb1="00000000"/>
  </w:font>
  <w:font w:name="TimesNewRoman,Italic">
    <w:altName w:val="Arial"/>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Arial,Italic">
    <w:altName w:val="Arial"/>
    <w:panose1 w:val="000000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 w:name="Arial,Bold">
    <w:altName w:val="Arial"/>
    <w:panose1 w:val="00000000000000000000"/>
    <w:charset w:val="00"/>
    <w:family w:val="swiss"/>
    <w:pitch w:val="default"/>
    <w:sig w:usb0="00000000" w:usb1="00000000" w:usb2="00000000" w:usb3="00000000" w:csb0="00000001"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r>
      <w:fldChar w:fldCharType="begin"/>
    </w:r>
    <w:r>
      <w:instrText xml:space="preserve"> PAGE   \* MERGEFORMAT </w:instrText>
    </w:r>
    <w:r>
      <w:fldChar w:fldCharType="separate"/>
    </w:r>
    <w:r>
      <w:rPr>
        <w:lang w:val="zh-CN"/>
      </w:rPr>
      <w:t>108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 PAGE   \* MERGEFORMAT </w:instrText>
    </w:r>
    <w:r>
      <w:fldChar w:fldCharType="separate"/>
    </w:r>
    <w:r>
      <w:rPr>
        <w:lang w:val="zh-CN"/>
      </w:rPr>
      <w:t>109</w:t>
    </w:r>
    <w:r>
      <w:fldChar w:fldCharType="end"/>
    </w: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t xml:space="preserve">GB/T XXXXX—XXXX </w:t>
    </w:r>
  </w:p>
  <w:p>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r>
      <w:t>GB/T XXXXX—XXXX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102AD"/>
    <w:multiLevelType w:val="multilevel"/>
    <w:tmpl w:val="079102AD"/>
    <w:lvl w:ilvl="0" w:tentative="0">
      <w:start w:val="1"/>
      <w:numFmt w:val="decimal"/>
      <w:pStyle w:val="58"/>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
    <w:nsid w:val="093C6778"/>
    <w:multiLevelType w:val="multilevel"/>
    <w:tmpl w:val="093C6778"/>
    <w:lvl w:ilvl="0" w:tentative="0">
      <w:start w:val="1"/>
      <w:numFmt w:val="decimal"/>
      <w:pStyle w:val="116"/>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0AE367E9"/>
    <w:multiLevelType w:val="multilevel"/>
    <w:tmpl w:val="0AE367E9"/>
    <w:lvl w:ilvl="0" w:tentative="0">
      <w:start w:val="1"/>
      <w:numFmt w:val="none"/>
      <w:pStyle w:val="52"/>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
    <w:nsid w:val="0DDE2B46"/>
    <w:multiLevelType w:val="multilevel"/>
    <w:tmpl w:val="0DDE2B46"/>
    <w:lvl w:ilvl="0" w:tentative="0">
      <w:start w:val="1"/>
      <w:numFmt w:val="lowerLetter"/>
      <w:pStyle w:val="121"/>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4">
    <w:nsid w:val="115474F9"/>
    <w:multiLevelType w:val="multilevel"/>
    <w:tmpl w:val="115474F9"/>
    <w:lvl w:ilvl="0" w:tentative="0">
      <w:start w:val="1"/>
      <w:numFmt w:val="decimal"/>
      <w:lvlText w:val="I.%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DBF583A"/>
    <w:multiLevelType w:val="multilevel"/>
    <w:tmpl w:val="1DBF583A"/>
    <w:lvl w:ilvl="0" w:tentative="0">
      <w:start w:val="1"/>
      <w:numFmt w:val="decimal"/>
      <w:pStyle w:val="65"/>
      <w:suff w:val="nothing"/>
      <w:lvlText w:val="注%1："/>
      <w:lvlJc w:val="left"/>
      <w:pPr>
        <w:ind w:left="811" w:hanging="448"/>
      </w:pPr>
      <w:rPr>
        <w:rFonts w:hint="eastAsia" w:ascii="黑体" w:hAnsi="黑体" w:eastAsia="黑体"/>
        <w:b w:val="0"/>
        <w:i w:val="0"/>
        <w:sz w:val="18"/>
        <w:szCs w:val="18"/>
        <w:vertAlign w:val="baseline"/>
      </w:rPr>
    </w:lvl>
    <w:lvl w:ilvl="1" w:tentative="0">
      <w:start w:val="1"/>
      <w:numFmt w:val="lowerLetter"/>
      <w:lvlText w:val="%2)"/>
      <w:lvlJc w:val="left"/>
      <w:pPr>
        <w:tabs>
          <w:tab w:val="left" w:pos="181"/>
        </w:tabs>
        <w:ind w:left="1174" w:hanging="630"/>
      </w:pPr>
      <w:rPr>
        <w:rFonts w:hint="eastAsia"/>
        <w:vertAlign w:val="baseline"/>
      </w:rPr>
    </w:lvl>
    <w:lvl w:ilvl="2" w:tentative="0">
      <w:start w:val="1"/>
      <w:numFmt w:val="lowerRoman"/>
      <w:lvlText w:val="%3."/>
      <w:lvlJc w:val="right"/>
      <w:pPr>
        <w:tabs>
          <w:tab w:val="left" w:pos="181"/>
        </w:tabs>
        <w:ind w:left="1174" w:hanging="630"/>
      </w:pPr>
      <w:rPr>
        <w:rFonts w:hint="eastAsia"/>
        <w:vertAlign w:val="baseline"/>
      </w:rPr>
    </w:lvl>
    <w:lvl w:ilvl="3" w:tentative="0">
      <w:start w:val="1"/>
      <w:numFmt w:val="decimal"/>
      <w:lvlText w:val="%4."/>
      <w:lvlJc w:val="left"/>
      <w:pPr>
        <w:tabs>
          <w:tab w:val="left" w:pos="181"/>
        </w:tabs>
        <w:ind w:left="1174" w:hanging="630"/>
      </w:pPr>
      <w:rPr>
        <w:rFonts w:hint="eastAsia"/>
        <w:vertAlign w:val="baseline"/>
      </w:rPr>
    </w:lvl>
    <w:lvl w:ilvl="4" w:tentative="0">
      <w:start w:val="1"/>
      <w:numFmt w:val="lowerLetter"/>
      <w:lvlText w:val="%5)"/>
      <w:lvlJc w:val="left"/>
      <w:pPr>
        <w:tabs>
          <w:tab w:val="left" w:pos="181"/>
        </w:tabs>
        <w:ind w:left="1174" w:hanging="630"/>
      </w:pPr>
      <w:rPr>
        <w:rFonts w:hint="eastAsia"/>
        <w:vertAlign w:val="baseline"/>
      </w:rPr>
    </w:lvl>
    <w:lvl w:ilvl="5" w:tentative="0">
      <w:start w:val="1"/>
      <w:numFmt w:val="lowerRoman"/>
      <w:lvlText w:val="%6."/>
      <w:lvlJc w:val="right"/>
      <w:pPr>
        <w:tabs>
          <w:tab w:val="left" w:pos="181"/>
        </w:tabs>
        <w:ind w:left="1174" w:hanging="630"/>
      </w:pPr>
      <w:rPr>
        <w:rFonts w:hint="eastAsia"/>
        <w:vertAlign w:val="baseline"/>
      </w:rPr>
    </w:lvl>
    <w:lvl w:ilvl="6" w:tentative="0">
      <w:start w:val="1"/>
      <w:numFmt w:val="decimal"/>
      <w:lvlText w:val="%7."/>
      <w:lvlJc w:val="left"/>
      <w:pPr>
        <w:tabs>
          <w:tab w:val="left" w:pos="181"/>
        </w:tabs>
        <w:ind w:left="1174" w:hanging="630"/>
      </w:pPr>
      <w:rPr>
        <w:rFonts w:hint="eastAsia"/>
        <w:vertAlign w:val="baseline"/>
      </w:rPr>
    </w:lvl>
    <w:lvl w:ilvl="7" w:tentative="0">
      <w:start w:val="1"/>
      <w:numFmt w:val="lowerLetter"/>
      <w:lvlText w:val="%8)"/>
      <w:lvlJc w:val="left"/>
      <w:pPr>
        <w:tabs>
          <w:tab w:val="left" w:pos="181"/>
        </w:tabs>
        <w:ind w:left="1174" w:hanging="630"/>
      </w:pPr>
      <w:rPr>
        <w:rFonts w:hint="eastAsia"/>
        <w:vertAlign w:val="baseline"/>
      </w:rPr>
    </w:lvl>
    <w:lvl w:ilvl="8" w:tentative="0">
      <w:start w:val="1"/>
      <w:numFmt w:val="lowerRoman"/>
      <w:lvlText w:val="%9."/>
      <w:lvlJc w:val="right"/>
      <w:pPr>
        <w:tabs>
          <w:tab w:val="left" w:pos="181"/>
        </w:tabs>
        <w:ind w:left="1174" w:hanging="630"/>
      </w:pPr>
      <w:rPr>
        <w:rFonts w:hint="eastAsia"/>
        <w:vertAlign w:val="baseline"/>
      </w:rPr>
    </w:lvl>
  </w:abstractNum>
  <w:abstractNum w:abstractNumId="6">
    <w:nsid w:val="1FC91163"/>
    <w:multiLevelType w:val="multilevel"/>
    <w:tmpl w:val="1FC91163"/>
    <w:lvl w:ilvl="0" w:tentative="0">
      <w:start w:val="1"/>
      <w:numFmt w:val="decimal"/>
      <w:pStyle w:val="45"/>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2"/>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46"/>
      <w:suff w:val="nothing"/>
      <w:lvlText w:val="%1.%2.%3　"/>
      <w:lvlJc w:val="left"/>
      <w:pPr>
        <w:ind w:left="0" w:firstLine="0"/>
      </w:pPr>
      <w:rPr>
        <w:rFonts w:hint="eastAsia" w:ascii="黑体" w:hAnsi="Times New Roman" w:eastAsia="黑体"/>
        <w:b w:val="0"/>
        <w:i w:val="0"/>
        <w:sz w:val="21"/>
      </w:rPr>
    </w:lvl>
    <w:lvl w:ilvl="3" w:tentative="0">
      <w:start w:val="1"/>
      <w:numFmt w:val="decimal"/>
      <w:pStyle w:val="51"/>
      <w:suff w:val="nothing"/>
      <w:lvlText w:val="%1.%2.%3.%4　"/>
      <w:lvlJc w:val="left"/>
      <w:pPr>
        <w:ind w:left="0" w:firstLine="0"/>
      </w:pPr>
      <w:rPr>
        <w:rFonts w:hint="eastAsia" w:ascii="黑体" w:hAnsi="Times New Roman" w:eastAsia="黑体"/>
        <w:b w:val="0"/>
        <w:i w:val="0"/>
        <w:sz w:val="21"/>
      </w:rPr>
    </w:lvl>
    <w:lvl w:ilvl="4" w:tentative="0">
      <w:start w:val="1"/>
      <w:numFmt w:val="decimal"/>
      <w:pStyle w:val="55"/>
      <w:suff w:val="nothing"/>
      <w:lvlText w:val="%1.%2.%3.%4.%5　"/>
      <w:lvlJc w:val="left"/>
      <w:pPr>
        <w:ind w:left="568" w:firstLine="0"/>
      </w:pPr>
      <w:rPr>
        <w:rFonts w:hint="eastAsia" w:ascii="黑体" w:hAnsi="Times New Roman" w:eastAsia="黑体"/>
        <w:b w:val="0"/>
        <w:i w:val="0"/>
        <w:sz w:val="21"/>
      </w:rPr>
    </w:lvl>
    <w:lvl w:ilvl="5" w:tentative="0">
      <w:start w:val="1"/>
      <w:numFmt w:val="decimal"/>
      <w:pStyle w:val="56"/>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22973335"/>
    <w:multiLevelType w:val="multilevel"/>
    <w:tmpl w:val="22973335"/>
    <w:lvl w:ilvl="0" w:tentative="0">
      <w:start w:val="1"/>
      <w:numFmt w:val="decimal"/>
      <w:lvlText w:val="A.%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6AE2CB0"/>
    <w:multiLevelType w:val="multilevel"/>
    <w:tmpl w:val="26AE2CB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84D4304"/>
    <w:multiLevelType w:val="multilevel"/>
    <w:tmpl w:val="284D4304"/>
    <w:lvl w:ilvl="0" w:tentative="0">
      <w:start w:val="1"/>
      <w:numFmt w:val="decimal"/>
      <w:lvlText w:val="D.%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A8F7113"/>
    <w:multiLevelType w:val="multilevel"/>
    <w:tmpl w:val="2A8F7113"/>
    <w:lvl w:ilvl="0" w:tentative="0">
      <w:start w:val="1"/>
      <w:numFmt w:val="upperLetter"/>
      <w:pStyle w:val="98"/>
      <w:suff w:val="space"/>
      <w:lvlText w:val="%1"/>
      <w:lvlJc w:val="left"/>
      <w:pPr>
        <w:ind w:left="623" w:hanging="425"/>
      </w:pPr>
      <w:rPr>
        <w:rFonts w:hint="eastAsia"/>
      </w:rPr>
    </w:lvl>
    <w:lvl w:ilvl="1" w:tentative="0">
      <w:start w:val="1"/>
      <w:numFmt w:val="decimal"/>
      <w:pStyle w:val="99"/>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1">
    <w:nsid w:val="2C5917C3"/>
    <w:multiLevelType w:val="multilevel"/>
    <w:tmpl w:val="2C5917C3"/>
    <w:lvl w:ilvl="0" w:tentative="0">
      <w:start w:val="1"/>
      <w:numFmt w:val="none"/>
      <w:pStyle w:val="48"/>
      <w:suff w:val="nothing"/>
      <w:lvlText w:val="%1——"/>
      <w:lvlJc w:val="left"/>
      <w:pPr>
        <w:ind w:left="833" w:hanging="408"/>
      </w:pPr>
      <w:rPr>
        <w:rFonts w:hint="eastAsia"/>
      </w:rPr>
    </w:lvl>
    <w:lvl w:ilvl="1" w:tentative="0">
      <w:start w:val="1"/>
      <w:numFmt w:val="bullet"/>
      <w:pStyle w:val="49"/>
      <w:lvlText w:val=""/>
      <w:lvlJc w:val="left"/>
      <w:pPr>
        <w:tabs>
          <w:tab w:val="left" w:pos="760"/>
        </w:tabs>
        <w:ind w:left="1264" w:hanging="413"/>
      </w:pPr>
      <w:rPr>
        <w:rFonts w:hint="default" w:ascii="Symbol" w:hAnsi="Symbol"/>
        <w:color w:val="auto"/>
      </w:rPr>
    </w:lvl>
    <w:lvl w:ilvl="2" w:tentative="0">
      <w:start w:val="1"/>
      <w:numFmt w:val="bullet"/>
      <w:pStyle w:val="60"/>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D733618"/>
    <w:multiLevelType w:val="multilevel"/>
    <w:tmpl w:val="3D733618"/>
    <w:lvl w:ilvl="0" w:tentative="0">
      <w:start w:val="1"/>
      <w:numFmt w:val="decimal"/>
      <w:pStyle w:val="24"/>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3">
    <w:nsid w:val="44C50F90"/>
    <w:multiLevelType w:val="multilevel"/>
    <w:tmpl w:val="44C50F90"/>
    <w:lvl w:ilvl="0" w:tentative="0">
      <w:start w:val="1"/>
      <w:numFmt w:val="lowerLetter"/>
      <w:pStyle w:val="59"/>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pStyle w:val="54"/>
      <w:lvlText w:val="%2)"/>
      <w:lvlJc w:val="left"/>
      <w:pPr>
        <w:tabs>
          <w:tab w:val="left" w:pos="1259"/>
        </w:tabs>
        <w:ind w:left="1259" w:hanging="420"/>
      </w:pPr>
      <w:rPr>
        <w:rFonts w:hint="eastAsia" w:ascii="宋体" w:hAnsi="宋体" w:eastAsia="宋体"/>
        <w:b w:val="0"/>
        <w:i w:val="0"/>
        <w:sz w:val="20"/>
      </w:rPr>
    </w:lvl>
    <w:lvl w:ilvl="2" w:tentative="0">
      <w:start w:val="1"/>
      <w:numFmt w:val="decimal"/>
      <w:pStyle w:val="61"/>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default"/>
        <w:b w:val="0"/>
        <w:i w:val="0"/>
        <w:sz w:val="21"/>
      </w:rPr>
    </w:lvl>
    <w:lvl w:ilvl="4" w:tentative="0">
      <w:start w:val="1"/>
      <w:numFmt w:val="lowerLetter"/>
      <w:lvlText w:val="%5)"/>
      <w:lvlJc w:val="left"/>
      <w:pPr>
        <w:tabs>
          <w:tab w:val="left" w:pos="2517"/>
        </w:tabs>
        <w:ind w:left="2517" w:hanging="419"/>
      </w:pPr>
      <w:rPr>
        <w:rFonts w:hint="default"/>
        <w:b w:val="0"/>
        <w:i w:val="0"/>
        <w:sz w:val="21"/>
      </w:rPr>
    </w:lvl>
    <w:lvl w:ilvl="5" w:tentative="0">
      <w:start w:val="1"/>
      <w:numFmt w:val="lowerRoman"/>
      <w:lvlText w:val="%6."/>
      <w:lvlJc w:val="right"/>
      <w:pPr>
        <w:tabs>
          <w:tab w:val="left" w:pos="2942"/>
        </w:tabs>
        <w:ind w:left="2937" w:hanging="420"/>
      </w:pPr>
      <w:rPr>
        <w:rFonts w:hint="default"/>
        <w:b w:val="0"/>
        <w:i w:val="0"/>
        <w:sz w:val="21"/>
      </w:rPr>
    </w:lvl>
    <w:lvl w:ilvl="6" w:tentative="0">
      <w:start w:val="1"/>
      <w:numFmt w:val="decimal"/>
      <w:lvlText w:val="%7."/>
      <w:lvlJc w:val="left"/>
      <w:pPr>
        <w:tabs>
          <w:tab w:val="left" w:pos="3362"/>
        </w:tabs>
        <w:ind w:left="3356" w:hanging="414"/>
      </w:pPr>
      <w:rPr>
        <w:rFonts w:hint="default"/>
        <w:b w:val="0"/>
        <w:i w:val="0"/>
        <w:sz w:val="21"/>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14">
    <w:nsid w:val="49C01D2C"/>
    <w:multiLevelType w:val="multilevel"/>
    <w:tmpl w:val="49C01D2C"/>
    <w:lvl w:ilvl="0" w:tentative="0">
      <w:start w:val="1"/>
      <w:numFmt w:val="decimal"/>
      <w:lvlText w:val="B.%1"/>
      <w:lvlJc w:val="left"/>
      <w:pPr>
        <w:ind w:left="420" w:hanging="420"/>
      </w:pPr>
    </w:lvl>
    <w:lvl w:ilvl="1" w:tentative="0">
      <w:start w:val="1"/>
      <w:numFmt w:val="decimal"/>
      <w:lvlText w:val="%1%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B733A5F"/>
    <w:multiLevelType w:val="multilevel"/>
    <w:tmpl w:val="4B733A5F"/>
    <w:lvl w:ilvl="0" w:tentative="0">
      <w:start w:val="1"/>
      <w:numFmt w:val="decimal"/>
      <w:pStyle w:val="62"/>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6">
    <w:nsid w:val="557C2AF5"/>
    <w:multiLevelType w:val="multilevel"/>
    <w:tmpl w:val="557C2AF5"/>
    <w:lvl w:ilvl="0" w:tentative="0">
      <w:start w:val="1"/>
      <w:numFmt w:val="decimal"/>
      <w:pStyle w:val="129"/>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7">
    <w:nsid w:val="60B55DC2"/>
    <w:multiLevelType w:val="multilevel"/>
    <w:tmpl w:val="60B55DC2"/>
    <w:lvl w:ilvl="0" w:tentative="0">
      <w:start w:val="1"/>
      <w:numFmt w:val="upperLetter"/>
      <w:pStyle w:val="86"/>
      <w:lvlText w:val="%1"/>
      <w:lvlJc w:val="left"/>
      <w:pPr>
        <w:tabs>
          <w:tab w:val="left" w:pos="0"/>
        </w:tabs>
        <w:ind w:left="0" w:hanging="425"/>
      </w:pPr>
      <w:rPr>
        <w:rFonts w:hint="eastAsia"/>
      </w:rPr>
    </w:lvl>
    <w:lvl w:ilvl="1" w:tentative="0">
      <w:start w:val="1"/>
      <w:numFmt w:val="decimal"/>
      <w:lvlText w:val="表F.%2"/>
      <w:lvlJc w:val="left"/>
      <w:pPr>
        <w:ind w:left="4112"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8">
    <w:nsid w:val="646260FA"/>
    <w:multiLevelType w:val="multilevel"/>
    <w:tmpl w:val="646260FA"/>
    <w:lvl w:ilvl="0" w:tentative="0">
      <w:start w:val="1"/>
      <w:numFmt w:val="decimal"/>
      <w:pStyle w:val="127"/>
      <w:suff w:val="nothing"/>
      <w:lvlText w:val="表%1　"/>
      <w:lvlJc w:val="left"/>
      <w:pPr>
        <w:ind w:left="4112" w:firstLine="0"/>
      </w:pPr>
      <w:rPr>
        <w:rFonts w:hint="eastAsia" w:ascii="黑体" w:hAnsi="Times New Roman" w:eastAsia="黑体"/>
        <w:b w:val="0"/>
        <w:i w:val="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9">
    <w:nsid w:val="657D3FBC"/>
    <w:multiLevelType w:val="multilevel"/>
    <w:tmpl w:val="657D3FBC"/>
    <w:lvl w:ilvl="0" w:tentative="0">
      <w:start w:val="1"/>
      <w:numFmt w:val="upperLetter"/>
      <w:pStyle w:val="84"/>
      <w:suff w:val="nothing"/>
      <w:lvlText w:val="附　录　%1"/>
      <w:lvlJc w:val="left"/>
      <w:pPr>
        <w:ind w:left="4962" w:firstLine="0"/>
      </w:pPr>
      <w:rPr>
        <w:rFonts w:hint="eastAsia" w:ascii="黑体" w:hAnsi="Times New Roman" w:eastAsia="黑体"/>
        <w:b w:val="0"/>
        <w:i w:val="0"/>
        <w:dstrike w:val="0"/>
        <w:spacing w:val="0"/>
        <w:w w:val="100"/>
        <w:sz w:val="21"/>
      </w:rPr>
    </w:lvl>
    <w:lvl w:ilvl="1" w:tentative="0">
      <w:start w:val="1"/>
      <w:numFmt w:val="decimal"/>
      <w:pStyle w:val="102"/>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03"/>
      <w:suff w:val="nothing"/>
      <w:lvlText w:val="%1.%2.%3　"/>
      <w:lvlJc w:val="left"/>
      <w:pPr>
        <w:ind w:left="0" w:firstLine="0"/>
      </w:pPr>
      <w:rPr>
        <w:rFonts w:hint="eastAsia" w:ascii="黑体" w:hAnsi="Times New Roman" w:eastAsia="黑体"/>
        <w:b w:val="0"/>
        <w:i w:val="0"/>
        <w:sz w:val="21"/>
      </w:rPr>
    </w:lvl>
    <w:lvl w:ilvl="3" w:tentative="0">
      <w:start w:val="1"/>
      <w:numFmt w:val="decimal"/>
      <w:pStyle w:val="88"/>
      <w:suff w:val="nothing"/>
      <w:lvlText w:val="%1.%2.%3.%4　"/>
      <w:lvlJc w:val="left"/>
      <w:pPr>
        <w:ind w:left="0" w:firstLine="0"/>
      </w:pPr>
      <w:rPr>
        <w:rFonts w:hint="eastAsia" w:ascii="黑体" w:hAnsi="Times New Roman" w:eastAsia="黑体"/>
        <w:b w:val="0"/>
        <w:i w:val="0"/>
        <w:sz w:val="21"/>
      </w:rPr>
    </w:lvl>
    <w:lvl w:ilvl="4" w:tentative="0">
      <w:start w:val="1"/>
      <w:numFmt w:val="decimal"/>
      <w:pStyle w:val="93"/>
      <w:suff w:val="nothing"/>
      <w:lvlText w:val="%1.%2.%3.%4.%5　"/>
      <w:lvlJc w:val="left"/>
      <w:pPr>
        <w:ind w:left="0" w:firstLine="0"/>
      </w:pPr>
      <w:rPr>
        <w:rFonts w:hint="eastAsia" w:ascii="黑体" w:hAnsi="Times New Roman" w:eastAsia="黑体"/>
        <w:b w:val="0"/>
        <w:i w:val="0"/>
        <w:sz w:val="21"/>
      </w:rPr>
    </w:lvl>
    <w:lvl w:ilvl="5" w:tentative="0">
      <w:start w:val="1"/>
      <w:numFmt w:val="decimal"/>
      <w:pStyle w:val="96"/>
      <w:suff w:val="nothing"/>
      <w:lvlText w:val="%1.%2.%3.%4.%5.%6　"/>
      <w:lvlJc w:val="left"/>
      <w:pPr>
        <w:ind w:left="0" w:firstLine="0"/>
      </w:pPr>
      <w:rPr>
        <w:rFonts w:hint="eastAsia" w:ascii="黑体" w:hAnsi="Times New Roman" w:eastAsia="黑体"/>
        <w:b w:val="0"/>
        <w:i w:val="0"/>
        <w:sz w:val="21"/>
      </w:rPr>
    </w:lvl>
    <w:lvl w:ilvl="6" w:tentative="0">
      <w:start w:val="1"/>
      <w:numFmt w:val="decimal"/>
      <w:pStyle w:val="100"/>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0">
    <w:nsid w:val="6D6C07CD"/>
    <w:multiLevelType w:val="multilevel"/>
    <w:tmpl w:val="6D6C07CD"/>
    <w:lvl w:ilvl="0" w:tentative="0">
      <w:start w:val="1"/>
      <w:numFmt w:val="lowerLetter"/>
      <w:pStyle w:val="105"/>
      <w:lvlText w:val="%1)"/>
      <w:lvlJc w:val="left"/>
      <w:pPr>
        <w:tabs>
          <w:tab w:val="left" w:pos="839"/>
        </w:tabs>
        <w:ind w:left="839" w:hanging="419"/>
      </w:pPr>
      <w:rPr>
        <w:rFonts w:hint="eastAsia" w:ascii="宋体" w:eastAsia="宋体"/>
        <w:b w:val="0"/>
        <w:i w:val="0"/>
        <w:sz w:val="21"/>
      </w:rPr>
    </w:lvl>
    <w:lvl w:ilvl="1" w:tentative="0">
      <w:start w:val="1"/>
      <w:numFmt w:val="decimal"/>
      <w:pStyle w:val="95"/>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21">
    <w:nsid w:val="6DBF04F4"/>
    <w:multiLevelType w:val="multilevel"/>
    <w:tmpl w:val="6DBF04F4"/>
    <w:lvl w:ilvl="0" w:tentative="0">
      <w:start w:val="1"/>
      <w:numFmt w:val="none"/>
      <w:pStyle w:val="57"/>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2">
    <w:nsid w:val="765037E7"/>
    <w:multiLevelType w:val="multilevel"/>
    <w:tmpl w:val="765037E7"/>
    <w:lvl w:ilvl="0" w:tentative="0">
      <w:start w:val="1"/>
      <w:numFmt w:val="decimal"/>
      <w:lvlText w:val="%1"/>
      <w:lvlJc w:val="left"/>
      <w:pPr>
        <w:ind w:left="0" w:firstLine="0"/>
      </w:pPr>
      <w:rPr>
        <w:rFonts w:hint="eastAsia"/>
      </w:rPr>
    </w:lvl>
    <w:lvl w:ilvl="1" w:tentative="0">
      <w:start w:val="1"/>
      <w:numFmt w:val="decimal"/>
      <w:lvlText w:val="3.%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23">
    <w:nsid w:val="782A469C"/>
    <w:multiLevelType w:val="multilevel"/>
    <w:tmpl w:val="782A469C"/>
    <w:lvl w:ilvl="0" w:tentative="0">
      <w:start w:val="1"/>
      <w:numFmt w:val="decimal"/>
      <w:lvlText w:val="E.%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2"/>
  </w:num>
  <w:num w:numId="2">
    <w:abstractNumId w:val="6"/>
  </w:num>
  <w:num w:numId="3">
    <w:abstractNumId w:val="11"/>
  </w:num>
  <w:num w:numId="4">
    <w:abstractNumId w:val="2"/>
  </w:num>
  <w:num w:numId="5">
    <w:abstractNumId w:val="13"/>
  </w:num>
  <w:num w:numId="6">
    <w:abstractNumId w:val="21"/>
  </w:num>
  <w:num w:numId="7">
    <w:abstractNumId w:val="0"/>
  </w:num>
  <w:num w:numId="8">
    <w:abstractNumId w:val="15"/>
  </w:num>
  <w:num w:numId="9">
    <w:abstractNumId w:val="5"/>
  </w:num>
  <w:num w:numId="10">
    <w:abstractNumId w:val="19"/>
  </w:num>
  <w:num w:numId="11">
    <w:abstractNumId w:val="17"/>
  </w:num>
  <w:num w:numId="12">
    <w:abstractNumId w:val="20"/>
  </w:num>
  <w:num w:numId="13">
    <w:abstractNumId w:val="10"/>
  </w:num>
  <w:num w:numId="14">
    <w:abstractNumId w:val="1"/>
  </w:num>
  <w:num w:numId="15">
    <w:abstractNumId w:val="3"/>
  </w:num>
  <w:num w:numId="16">
    <w:abstractNumId w:val="18"/>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lvl w:ilvl="0" w:tentative="1">
        <w:start w:val="1"/>
        <w:numFmt w:val="decimal"/>
        <w:lvlText w:val="%1"/>
        <w:lvlJc w:val="left"/>
        <w:pPr>
          <w:ind w:left="0" w:firstLine="0"/>
        </w:pPr>
      </w:lvl>
    </w:lvlOverride>
    <w:lvlOverride w:ilvl="1">
      <w:lvl w:ilvl="1" w:tentative="1">
        <w:start w:val="1"/>
        <w:numFmt w:val="decimal"/>
        <w:lvlText w:val="%1.%2"/>
        <w:lvlJc w:val="left"/>
        <w:pPr>
          <w:ind w:left="0" w:firstLine="0"/>
        </w:pPr>
      </w:lvl>
    </w:lvlOverride>
    <w:lvlOverride w:ilvl="2">
      <w:lvl w:ilvl="2" w:tentative="1">
        <w:start w:val="1"/>
        <w:numFmt w:val="decimal"/>
        <w:lvlText w:val="%1.%2.%3"/>
        <w:lvlJc w:val="left"/>
        <w:pPr>
          <w:ind w:left="0" w:firstLine="0"/>
        </w:pPr>
        <w:rPr>
          <w:rFonts w:hint="eastAsia" w:ascii="黑体" w:hAnsi="黑体" w:eastAsia="黑体"/>
        </w:rPr>
      </w:lvl>
    </w:lvlOverride>
    <w:lvlOverride w:ilvl="3">
      <w:lvl w:ilvl="3" w:tentative="1">
        <w:start w:val="1"/>
        <w:numFmt w:val="decimal"/>
        <w:lvlText w:val="%1.%2.%3.%4"/>
        <w:lvlJc w:val="left"/>
        <w:pPr>
          <w:ind w:left="0" w:firstLine="0"/>
        </w:pPr>
        <w:rPr>
          <w:rFonts w:hint="eastAsia" w:ascii="黑体" w:hAnsi="黑体" w:eastAsia="黑体"/>
        </w:rPr>
      </w:lvl>
    </w:lvlOverride>
    <w:lvlOverride w:ilvl="4">
      <w:lvl w:ilvl="4" w:tentative="1">
        <w:start w:val="1"/>
        <w:numFmt w:val="decimal"/>
        <w:lvlText w:val="%1.%2.%3.%4.%5"/>
        <w:lvlJc w:val="left"/>
        <w:pPr>
          <w:ind w:left="0" w:firstLine="0"/>
        </w:pPr>
        <w:rPr>
          <w:rFonts w:hint="eastAsia" w:ascii="黑体" w:hAnsi="黑体" w:eastAsia="黑体"/>
        </w:rPr>
      </w:lvl>
    </w:lvlOverride>
    <w:lvlOverride w:ilvl="5">
      <w:lvl w:ilvl="5" w:tentative="1">
        <w:start w:val="1"/>
        <w:numFmt w:val="lowerRoman"/>
        <w:lvlText w:val="%6."/>
        <w:lvlJc w:val="right"/>
        <w:pPr>
          <w:ind w:left="0" w:firstLine="0"/>
        </w:pPr>
      </w:lvl>
    </w:lvlOverride>
    <w:lvlOverride w:ilvl="6">
      <w:lvl w:ilvl="6" w:tentative="1">
        <w:start w:val="1"/>
        <w:numFmt w:val="decimal"/>
        <w:lvlText w:val="%7."/>
        <w:lvlJc w:val="left"/>
        <w:pPr>
          <w:ind w:left="0" w:firstLine="0"/>
        </w:pPr>
      </w:lvl>
    </w:lvlOverride>
    <w:lvlOverride w:ilvl="7">
      <w:lvl w:ilvl="7" w:tentative="1">
        <w:start w:val="1"/>
        <w:numFmt w:val="lowerLetter"/>
        <w:lvlText w:val="%8)"/>
        <w:lvlJc w:val="left"/>
        <w:pPr>
          <w:ind w:left="0" w:firstLine="0"/>
        </w:pPr>
      </w:lvl>
    </w:lvlOverride>
    <w:lvlOverride w:ilvl="8">
      <w:lvl w:ilvl="8" w:tentative="1">
        <w:start w:val="1"/>
        <w:numFmt w:val="decimal"/>
        <w:lvlText w:val="%9."/>
        <w:lvlJc w:val="left"/>
        <w:pPr>
          <w:ind w:left="0" w:firstLine="400"/>
        </w:pPr>
      </w:lvl>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惠春">
    <w15:presenceInfo w15:providerId="Windows Live" w15:userId="adf883907d942b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lMzMyODAxOTAwNTU2MzllZWI0NDQ2NWFmOWQ5YzgifQ=="/>
  </w:docVars>
  <w:rsids>
    <w:rsidRoot w:val="00035925"/>
    <w:rsid w:val="00000244"/>
    <w:rsid w:val="0000056E"/>
    <w:rsid w:val="0000185F"/>
    <w:rsid w:val="00001D01"/>
    <w:rsid w:val="000022E3"/>
    <w:rsid w:val="00002333"/>
    <w:rsid w:val="0000248D"/>
    <w:rsid w:val="000044DA"/>
    <w:rsid w:val="00004A08"/>
    <w:rsid w:val="0000586F"/>
    <w:rsid w:val="000061EE"/>
    <w:rsid w:val="000062EF"/>
    <w:rsid w:val="0000649C"/>
    <w:rsid w:val="00007B37"/>
    <w:rsid w:val="000103A8"/>
    <w:rsid w:val="00010829"/>
    <w:rsid w:val="0001270B"/>
    <w:rsid w:val="00012859"/>
    <w:rsid w:val="0001364A"/>
    <w:rsid w:val="00013D86"/>
    <w:rsid w:val="00013E02"/>
    <w:rsid w:val="00017DDC"/>
    <w:rsid w:val="00020A54"/>
    <w:rsid w:val="0002143C"/>
    <w:rsid w:val="000214E1"/>
    <w:rsid w:val="00025A65"/>
    <w:rsid w:val="00026C31"/>
    <w:rsid w:val="00027088"/>
    <w:rsid w:val="00027280"/>
    <w:rsid w:val="000273FA"/>
    <w:rsid w:val="00027558"/>
    <w:rsid w:val="00030B7B"/>
    <w:rsid w:val="00030C6A"/>
    <w:rsid w:val="000318E3"/>
    <w:rsid w:val="000320A7"/>
    <w:rsid w:val="000320AF"/>
    <w:rsid w:val="00033E05"/>
    <w:rsid w:val="00035925"/>
    <w:rsid w:val="00036209"/>
    <w:rsid w:val="00040DB3"/>
    <w:rsid w:val="000412BF"/>
    <w:rsid w:val="000412C7"/>
    <w:rsid w:val="00043F81"/>
    <w:rsid w:val="00045E2B"/>
    <w:rsid w:val="000466A6"/>
    <w:rsid w:val="00055D59"/>
    <w:rsid w:val="00056361"/>
    <w:rsid w:val="00060E18"/>
    <w:rsid w:val="00062387"/>
    <w:rsid w:val="00062C12"/>
    <w:rsid w:val="00062FE1"/>
    <w:rsid w:val="000640C2"/>
    <w:rsid w:val="000662F1"/>
    <w:rsid w:val="00067536"/>
    <w:rsid w:val="000677C1"/>
    <w:rsid w:val="00067CDF"/>
    <w:rsid w:val="00071277"/>
    <w:rsid w:val="00074FBE"/>
    <w:rsid w:val="00082C2B"/>
    <w:rsid w:val="00083176"/>
    <w:rsid w:val="0008399F"/>
    <w:rsid w:val="00083A09"/>
    <w:rsid w:val="00083F88"/>
    <w:rsid w:val="0008544C"/>
    <w:rsid w:val="000859B9"/>
    <w:rsid w:val="00085D6D"/>
    <w:rsid w:val="0009005E"/>
    <w:rsid w:val="00090CC6"/>
    <w:rsid w:val="000911E4"/>
    <w:rsid w:val="00091E1F"/>
    <w:rsid w:val="00092857"/>
    <w:rsid w:val="000A1521"/>
    <w:rsid w:val="000A1827"/>
    <w:rsid w:val="000A20A9"/>
    <w:rsid w:val="000A241F"/>
    <w:rsid w:val="000A351A"/>
    <w:rsid w:val="000A48B1"/>
    <w:rsid w:val="000A5E2B"/>
    <w:rsid w:val="000A717A"/>
    <w:rsid w:val="000A77EF"/>
    <w:rsid w:val="000B0687"/>
    <w:rsid w:val="000B3143"/>
    <w:rsid w:val="000B38FA"/>
    <w:rsid w:val="000B48B7"/>
    <w:rsid w:val="000B491B"/>
    <w:rsid w:val="000B4E20"/>
    <w:rsid w:val="000B5EA7"/>
    <w:rsid w:val="000C0EE5"/>
    <w:rsid w:val="000C1BA2"/>
    <w:rsid w:val="000C2282"/>
    <w:rsid w:val="000C3100"/>
    <w:rsid w:val="000C3CAE"/>
    <w:rsid w:val="000C5D52"/>
    <w:rsid w:val="000C69B2"/>
    <w:rsid w:val="000C6B05"/>
    <w:rsid w:val="000C6DD6"/>
    <w:rsid w:val="000C73D4"/>
    <w:rsid w:val="000D0198"/>
    <w:rsid w:val="000D3D4C"/>
    <w:rsid w:val="000D4F51"/>
    <w:rsid w:val="000D4FBE"/>
    <w:rsid w:val="000D6F2D"/>
    <w:rsid w:val="000D718B"/>
    <w:rsid w:val="000D7715"/>
    <w:rsid w:val="000D7D32"/>
    <w:rsid w:val="000E0C46"/>
    <w:rsid w:val="000E2DFE"/>
    <w:rsid w:val="000E5D5D"/>
    <w:rsid w:val="000E6529"/>
    <w:rsid w:val="000F030C"/>
    <w:rsid w:val="000F129C"/>
    <w:rsid w:val="000F4D70"/>
    <w:rsid w:val="000F604C"/>
    <w:rsid w:val="000F6899"/>
    <w:rsid w:val="000F68D6"/>
    <w:rsid w:val="00101166"/>
    <w:rsid w:val="00104449"/>
    <w:rsid w:val="00104C7D"/>
    <w:rsid w:val="001053AB"/>
    <w:rsid w:val="001056DE"/>
    <w:rsid w:val="00106B1F"/>
    <w:rsid w:val="00106E58"/>
    <w:rsid w:val="00112191"/>
    <w:rsid w:val="001124C0"/>
    <w:rsid w:val="00112E92"/>
    <w:rsid w:val="00113AE8"/>
    <w:rsid w:val="00122299"/>
    <w:rsid w:val="0012303B"/>
    <w:rsid w:val="0012341C"/>
    <w:rsid w:val="00123C9A"/>
    <w:rsid w:val="00125043"/>
    <w:rsid w:val="00127A24"/>
    <w:rsid w:val="00130380"/>
    <w:rsid w:val="0013175F"/>
    <w:rsid w:val="00133C60"/>
    <w:rsid w:val="001415AA"/>
    <w:rsid w:val="001417CB"/>
    <w:rsid w:val="0014203B"/>
    <w:rsid w:val="00143D9E"/>
    <w:rsid w:val="001447E1"/>
    <w:rsid w:val="00145724"/>
    <w:rsid w:val="00146857"/>
    <w:rsid w:val="00147EAB"/>
    <w:rsid w:val="001512B4"/>
    <w:rsid w:val="001519FE"/>
    <w:rsid w:val="00153EC7"/>
    <w:rsid w:val="00154E9D"/>
    <w:rsid w:val="001618E3"/>
    <w:rsid w:val="001620A5"/>
    <w:rsid w:val="00162DF4"/>
    <w:rsid w:val="00163FE2"/>
    <w:rsid w:val="00164632"/>
    <w:rsid w:val="00164BB7"/>
    <w:rsid w:val="00164E53"/>
    <w:rsid w:val="0016699D"/>
    <w:rsid w:val="00167610"/>
    <w:rsid w:val="00171999"/>
    <w:rsid w:val="00172BC8"/>
    <w:rsid w:val="00172C57"/>
    <w:rsid w:val="00173870"/>
    <w:rsid w:val="00174087"/>
    <w:rsid w:val="0017507F"/>
    <w:rsid w:val="00175159"/>
    <w:rsid w:val="00176208"/>
    <w:rsid w:val="0017643D"/>
    <w:rsid w:val="0017664A"/>
    <w:rsid w:val="0018211B"/>
    <w:rsid w:val="00182BD4"/>
    <w:rsid w:val="001840D3"/>
    <w:rsid w:val="0018459D"/>
    <w:rsid w:val="00184812"/>
    <w:rsid w:val="001848F0"/>
    <w:rsid w:val="00185257"/>
    <w:rsid w:val="00185E7F"/>
    <w:rsid w:val="00187166"/>
    <w:rsid w:val="001900F8"/>
    <w:rsid w:val="00191258"/>
    <w:rsid w:val="001913C4"/>
    <w:rsid w:val="00192680"/>
    <w:rsid w:val="001926BB"/>
    <w:rsid w:val="00193037"/>
    <w:rsid w:val="001937CE"/>
    <w:rsid w:val="00193A2C"/>
    <w:rsid w:val="00193C32"/>
    <w:rsid w:val="00194EEC"/>
    <w:rsid w:val="0019502C"/>
    <w:rsid w:val="0019546E"/>
    <w:rsid w:val="0019549F"/>
    <w:rsid w:val="00196463"/>
    <w:rsid w:val="001968F8"/>
    <w:rsid w:val="001969A5"/>
    <w:rsid w:val="001A288E"/>
    <w:rsid w:val="001A290A"/>
    <w:rsid w:val="001A2C73"/>
    <w:rsid w:val="001A4871"/>
    <w:rsid w:val="001A4F72"/>
    <w:rsid w:val="001A4F82"/>
    <w:rsid w:val="001A6710"/>
    <w:rsid w:val="001A6C33"/>
    <w:rsid w:val="001B1D77"/>
    <w:rsid w:val="001B345B"/>
    <w:rsid w:val="001B355C"/>
    <w:rsid w:val="001B519F"/>
    <w:rsid w:val="001B6DC2"/>
    <w:rsid w:val="001B7046"/>
    <w:rsid w:val="001B78F3"/>
    <w:rsid w:val="001C0586"/>
    <w:rsid w:val="001C149C"/>
    <w:rsid w:val="001C1C11"/>
    <w:rsid w:val="001C21AC"/>
    <w:rsid w:val="001C2C3A"/>
    <w:rsid w:val="001C421D"/>
    <w:rsid w:val="001C47BA"/>
    <w:rsid w:val="001C59EA"/>
    <w:rsid w:val="001C5E6B"/>
    <w:rsid w:val="001C7FED"/>
    <w:rsid w:val="001D0F68"/>
    <w:rsid w:val="001D3229"/>
    <w:rsid w:val="001D406C"/>
    <w:rsid w:val="001D41EE"/>
    <w:rsid w:val="001D677F"/>
    <w:rsid w:val="001D6B3F"/>
    <w:rsid w:val="001D72A8"/>
    <w:rsid w:val="001E0380"/>
    <w:rsid w:val="001E0892"/>
    <w:rsid w:val="001E13B1"/>
    <w:rsid w:val="001E319F"/>
    <w:rsid w:val="001E3837"/>
    <w:rsid w:val="001E3C32"/>
    <w:rsid w:val="001E5324"/>
    <w:rsid w:val="001E6EA0"/>
    <w:rsid w:val="001E732A"/>
    <w:rsid w:val="001E7450"/>
    <w:rsid w:val="001F13C5"/>
    <w:rsid w:val="001F1A9B"/>
    <w:rsid w:val="001F3A19"/>
    <w:rsid w:val="001F5D61"/>
    <w:rsid w:val="001F5F88"/>
    <w:rsid w:val="001F6BCA"/>
    <w:rsid w:val="00201156"/>
    <w:rsid w:val="002035E3"/>
    <w:rsid w:val="00204523"/>
    <w:rsid w:val="002051B0"/>
    <w:rsid w:val="00207CE0"/>
    <w:rsid w:val="00207DF5"/>
    <w:rsid w:val="00210D1C"/>
    <w:rsid w:val="00211769"/>
    <w:rsid w:val="00211AD3"/>
    <w:rsid w:val="00212126"/>
    <w:rsid w:val="00212DBD"/>
    <w:rsid w:val="0021528A"/>
    <w:rsid w:val="002158CB"/>
    <w:rsid w:val="00215DE9"/>
    <w:rsid w:val="002168FB"/>
    <w:rsid w:val="002169B9"/>
    <w:rsid w:val="002200FC"/>
    <w:rsid w:val="00220E47"/>
    <w:rsid w:val="00222C25"/>
    <w:rsid w:val="00223D91"/>
    <w:rsid w:val="00223FFF"/>
    <w:rsid w:val="0022487C"/>
    <w:rsid w:val="00225EBE"/>
    <w:rsid w:val="00226AC2"/>
    <w:rsid w:val="00227080"/>
    <w:rsid w:val="00233971"/>
    <w:rsid w:val="00233981"/>
    <w:rsid w:val="00234467"/>
    <w:rsid w:val="002353DE"/>
    <w:rsid w:val="002374DD"/>
    <w:rsid w:val="00237D8D"/>
    <w:rsid w:val="0024109E"/>
    <w:rsid w:val="00241DA2"/>
    <w:rsid w:val="002438FA"/>
    <w:rsid w:val="00247790"/>
    <w:rsid w:val="00247FEE"/>
    <w:rsid w:val="00250E7D"/>
    <w:rsid w:val="002529EA"/>
    <w:rsid w:val="00252D51"/>
    <w:rsid w:val="00253884"/>
    <w:rsid w:val="00253F4D"/>
    <w:rsid w:val="002565D5"/>
    <w:rsid w:val="00256B15"/>
    <w:rsid w:val="00260DAF"/>
    <w:rsid w:val="00261DFC"/>
    <w:rsid w:val="002622C0"/>
    <w:rsid w:val="00262A3B"/>
    <w:rsid w:val="00264248"/>
    <w:rsid w:val="0026545D"/>
    <w:rsid w:val="00267605"/>
    <w:rsid w:val="00270324"/>
    <w:rsid w:val="00275968"/>
    <w:rsid w:val="00276D66"/>
    <w:rsid w:val="00276DB8"/>
    <w:rsid w:val="002778AE"/>
    <w:rsid w:val="0028014E"/>
    <w:rsid w:val="0028127A"/>
    <w:rsid w:val="002812E4"/>
    <w:rsid w:val="0028269A"/>
    <w:rsid w:val="00283590"/>
    <w:rsid w:val="00284999"/>
    <w:rsid w:val="00286973"/>
    <w:rsid w:val="0028721A"/>
    <w:rsid w:val="00290694"/>
    <w:rsid w:val="00291D0B"/>
    <w:rsid w:val="00293543"/>
    <w:rsid w:val="0029442A"/>
    <w:rsid w:val="002944D4"/>
    <w:rsid w:val="00294E70"/>
    <w:rsid w:val="00295373"/>
    <w:rsid w:val="002958DB"/>
    <w:rsid w:val="00296F56"/>
    <w:rsid w:val="002972AB"/>
    <w:rsid w:val="002A001A"/>
    <w:rsid w:val="002A0F70"/>
    <w:rsid w:val="002A14CE"/>
    <w:rsid w:val="002A1924"/>
    <w:rsid w:val="002A3046"/>
    <w:rsid w:val="002A387A"/>
    <w:rsid w:val="002A3C64"/>
    <w:rsid w:val="002A6829"/>
    <w:rsid w:val="002A7420"/>
    <w:rsid w:val="002A78D8"/>
    <w:rsid w:val="002A7C6A"/>
    <w:rsid w:val="002B090E"/>
    <w:rsid w:val="002B0F12"/>
    <w:rsid w:val="002B1308"/>
    <w:rsid w:val="002B1F41"/>
    <w:rsid w:val="002B229B"/>
    <w:rsid w:val="002B4554"/>
    <w:rsid w:val="002B4BC1"/>
    <w:rsid w:val="002B5F51"/>
    <w:rsid w:val="002C0E02"/>
    <w:rsid w:val="002C0F0B"/>
    <w:rsid w:val="002C12FA"/>
    <w:rsid w:val="002C1A87"/>
    <w:rsid w:val="002C1CAE"/>
    <w:rsid w:val="002C1D1C"/>
    <w:rsid w:val="002C5F56"/>
    <w:rsid w:val="002C72D8"/>
    <w:rsid w:val="002D079C"/>
    <w:rsid w:val="002D0E73"/>
    <w:rsid w:val="002D11FA"/>
    <w:rsid w:val="002D1475"/>
    <w:rsid w:val="002D3993"/>
    <w:rsid w:val="002D6B5A"/>
    <w:rsid w:val="002E014F"/>
    <w:rsid w:val="002E0DDF"/>
    <w:rsid w:val="002E1652"/>
    <w:rsid w:val="002E2906"/>
    <w:rsid w:val="002E3064"/>
    <w:rsid w:val="002E361A"/>
    <w:rsid w:val="002E4980"/>
    <w:rsid w:val="002E4BDA"/>
    <w:rsid w:val="002E5635"/>
    <w:rsid w:val="002E634F"/>
    <w:rsid w:val="002E64C3"/>
    <w:rsid w:val="002E6709"/>
    <w:rsid w:val="002E6A2C"/>
    <w:rsid w:val="002E7C6F"/>
    <w:rsid w:val="002F1596"/>
    <w:rsid w:val="002F1966"/>
    <w:rsid w:val="002F1D8C"/>
    <w:rsid w:val="002F21DA"/>
    <w:rsid w:val="002F472D"/>
    <w:rsid w:val="002F63AA"/>
    <w:rsid w:val="003014CF"/>
    <w:rsid w:val="003015D1"/>
    <w:rsid w:val="00301D48"/>
    <w:rsid w:val="00301F39"/>
    <w:rsid w:val="00302A34"/>
    <w:rsid w:val="003031C6"/>
    <w:rsid w:val="00303350"/>
    <w:rsid w:val="00303848"/>
    <w:rsid w:val="00303C94"/>
    <w:rsid w:val="00303DCA"/>
    <w:rsid w:val="00304BB9"/>
    <w:rsid w:val="00304E34"/>
    <w:rsid w:val="00306172"/>
    <w:rsid w:val="00307231"/>
    <w:rsid w:val="00307D73"/>
    <w:rsid w:val="003101D5"/>
    <w:rsid w:val="00311659"/>
    <w:rsid w:val="00312A3C"/>
    <w:rsid w:val="00312CDF"/>
    <w:rsid w:val="0031409A"/>
    <w:rsid w:val="003150CF"/>
    <w:rsid w:val="00316333"/>
    <w:rsid w:val="003174B9"/>
    <w:rsid w:val="003214F7"/>
    <w:rsid w:val="00321579"/>
    <w:rsid w:val="00324638"/>
    <w:rsid w:val="003246E4"/>
    <w:rsid w:val="00325926"/>
    <w:rsid w:val="003259C0"/>
    <w:rsid w:val="00326587"/>
    <w:rsid w:val="003274CF"/>
    <w:rsid w:val="00327A8A"/>
    <w:rsid w:val="00327B94"/>
    <w:rsid w:val="00330C43"/>
    <w:rsid w:val="00332231"/>
    <w:rsid w:val="00332FC9"/>
    <w:rsid w:val="00334DEB"/>
    <w:rsid w:val="00336610"/>
    <w:rsid w:val="00341326"/>
    <w:rsid w:val="00341AFF"/>
    <w:rsid w:val="00342A6A"/>
    <w:rsid w:val="00343C89"/>
    <w:rsid w:val="00343F5F"/>
    <w:rsid w:val="00343F73"/>
    <w:rsid w:val="00345060"/>
    <w:rsid w:val="00347135"/>
    <w:rsid w:val="003471AD"/>
    <w:rsid w:val="00347674"/>
    <w:rsid w:val="00347B98"/>
    <w:rsid w:val="00350D80"/>
    <w:rsid w:val="00351A4E"/>
    <w:rsid w:val="00352124"/>
    <w:rsid w:val="00352A47"/>
    <w:rsid w:val="0035323B"/>
    <w:rsid w:val="0035329F"/>
    <w:rsid w:val="00354C17"/>
    <w:rsid w:val="00356F3B"/>
    <w:rsid w:val="003609D2"/>
    <w:rsid w:val="00363F22"/>
    <w:rsid w:val="00364126"/>
    <w:rsid w:val="0036484C"/>
    <w:rsid w:val="00365AC0"/>
    <w:rsid w:val="00366558"/>
    <w:rsid w:val="00366D9A"/>
    <w:rsid w:val="00366E12"/>
    <w:rsid w:val="0036701F"/>
    <w:rsid w:val="0036730C"/>
    <w:rsid w:val="003701C7"/>
    <w:rsid w:val="00370D03"/>
    <w:rsid w:val="00371E69"/>
    <w:rsid w:val="0037283D"/>
    <w:rsid w:val="00373743"/>
    <w:rsid w:val="003743D7"/>
    <w:rsid w:val="00375564"/>
    <w:rsid w:val="00376518"/>
    <w:rsid w:val="00376FB0"/>
    <w:rsid w:val="003772FD"/>
    <w:rsid w:val="00381553"/>
    <w:rsid w:val="003823DF"/>
    <w:rsid w:val="00383191"/>
    <w:rsid w:val="00386DED"/>
    <w:rsid w:val="00387E48"/>
    <w:rsid w:val="00390B30"/>
    <w:rsid w:val="003912E7"/>
    <w:rsid w:val="003922C1"/>
    <w:rsid w:val="00392733"/>
    <w:rsid w:val="00393947"/>
    <w:rsid w:val="00393F8C"/>
    <w:rsid w:val="00394B65"/>
    <w:rsid w:val="00394FA1"/>
    <w:rsid w:val="00395B78"/>
    <w:rsid w:val="00397E79"/>
    <w:rsid w:val="003A1074"/>
    <w:rsid w:val="003A1ECA"/>
    <w:rsid w:val="003A2275"/>
    <w:rsid w:val="003A5A71"/>
    <w:rsid w:val="003A6A4F"/>
    <w:rsid w:val="003A7088"/>
    <w:rsid w:val="003A7970"/>
    <w:rsid w:val="003B00DF"/>
    <w:rsid w:val="003B11DE"/>
    <w:rsid w:val="003B1275"/>
    <w:rsid w:val="003B1778"/>
    <w:rsid w:val="003B360C"/>
    <w:rsid w:val="003B3937"/>
    <w:rsid w:val="003B768D"/>
    <w:rsid w:val="003C11CB"/>
    <w:rsid w:val="003C21BA"/>
    <w:rsid w:val="003C22F6"/>
    <w:rsid w:val="003C4722"/>
    <w:rsid w:val="003C5074"/>
    <w:rsid w:val="003C7312"/>
    <w:rsid w:val="003C73DE"/>
    <w:rsid w:val="003C75F3"/>
    <w:rsid w:val="003C78A3"/>
    <w:rsid w:val="003D000D"/>
    <w:rsid w:val="003D10C7"/>
    <w:rsid w:val="003D61E8"/>
    <w:rsid w:val="003D63D6"/>
    <w:rsid w:val="003E1867"/>
    <w:rsid w:val="003E27CF"/>
    <w:rsid w:val="003E5729"/>
    <w:rsid w:val="003E6312"/>
    <w:rsid w:val="003E6C9B"/>
    <w:rsid w:val="003F0A45"/>
    <w:rsid w:val="003F0DF8"/>
    <w:rsid w:val="003F201B"/>
    <w:rsid w:val="003F26DA"/>
    <w:rsid w:val="003F4EE0"/>
    <w:rsid w:val="003F6387"/>
    <w:rsid w:val="00400184"/>
    <w:rsid w:val="004007A7"/>
    <w:rsid w:val="00400F26"/>
    <w:rsid w:val="00402153"/>
    <w:rsid w:val="00402ED4"/>
    <w:rsid w:val="00402FC1"/>
    <w:rsid w:val="00405719"/>
    <w:rsid w:val="0040757A"/>
    <w:rsid w:val="00410486"/>
    <w:rsid w:val="00410C54"/>
    <w:rsid w:val="00411199"/>
    <w:rsid w:val="00413776"/>
    <w:rsid w:val="00413FA2"/>
    <w:rsid w:val="00414740"/>
    <w:rsid w:val="004151F1"/>
    <w:rsid w:val="00415CFF"/>
    <w:rsid w:val="0041667C"/>
    <w:rsid w:val="00416BBD"/>
    <w:rsid w:val="00416F9F"/>
    <w:rsid w:val="004177E6"/>
    <w:rsid w:val="00420160"/>
    <w:rsid w:val="00422B93"/>
    <w:rsid w:val="004231AA"/>
    <w:rsid w:val="0042417A"/>
    <w:rsid w:val="004246C6"/>
    <w:rsid w:val="00424E9D"/>
    <w:rsid w:val="00425082"/>
    <w:rsid w:val="00426CB9"/>
    <w:rsid w:val="00430315"/>
    <w:rsid w:val="00431DEB"/>
    <w:rsid w:val="00432731"/>
    <w:rsid w:val="00435758"/>
    <w:rsid w:val="00435E9B"/>
    <w:rsid w:val="00436F8C"/>
    <w:rsid w:val="00437ACF"/>
    <w:rsid w:val="004438A2"/>
    <w:rsid w:val="00444555"/>
    <w:rsid w:val="00445622"/>
    <w:rsid w:val="00445D7B"/>
    <w:rsid w:val="00446B29"/>
    <w:rsid w:val="004476BA"/>
    <w:rsid w:val="00447F79"/>
    <w:rsid w:val="00452D03"/>
    <w:rsid w:val="00453F9A"/>
    <w:rsid w:val="00454156"/>
    <w:rsid w:val="004542D3"/>
    <w:rsid w:val="004552BF"/>
    <w:rsid w:val="00455314"/>
    <w:rsid w:val="00456D07"/>
    <w:rsid w:val="00457ACB"/>
    <w:rsid w:val="00457F97"/>
    <w:rsid w:val="0046003F"/>
    <w:rsid w:val="004604C7"/>
    <w:rsid w:val="00461ABC"/>
    <w:rsid w:val="00461C08"/>
    <w:rsid w:val="00461C23"/>
    <w:rsid w:val="0046315B"/>
    <w:rsid w:val="00463543"/>
    <w:rsid w:val="00464024"/>
    <w:rsid w:val="00464F48"/>
    <w:rsid w:val="00465129"/>
    <w:rsid w:val="004655DC"/>
    <w:rsid w:val="004665F0"/>
    <w:rsid w:val="00466711"/>
    <w:rsid w:val="004705A0"/>
    <w:rsid w:val="004706A6"/>
    <w:rsid w:val="00471A18"/>
    <w:rsid w:val="00471E91"/>
    <w:rsid w:val="004729C2"/>
    <w:rsid w:val="00473AAA"/>
    <w:rsid w:val="00474675"/>
    <w:rsid w:val="0047470C"/>
    <w:rsid w:val="00475889"/>
    <w:rsid w:val="00476B90"/>
    <w:rsid w:val="0048140A"/>
    <w:rsid w:val="00481E5B"/>
    <w:rsid w:val="00483C91"/>
    <w:rsid w:val="00486FA8"/>
    <w:rsid w:val="00487069"/>
    <w:rsid w:val="00487A28"/>
    <w:rsid w:val="0049104D"/>
    <w:rsid w:val="0049295B"/>
    <w:rsid w:val="00494030"/>
    <w:rsid w:val="004942B2"/>
    <w:rsid w:val="00497FF2"/>
    <w:rsid w:val="004A147C"/>
    <w:rsid w:val="004A15B9"/>
    <w:rsid w:val="004A1752"/>
    <w:rsid w:val="004A35F9"/>
    <w:rsid w:val="004A4411"/>
    <w:rsid w:val="004A69BA"/>
    <w:rsid w:val="004A7721"/>
    <w:rsid w:val="004A7CBD"/>
    <w:rsid w:val="004B01BE"/>
    <w:rsid w:val="004B06CC"/>
    <w:rsid w:val="004B14C0"/>
    <w:rsid w:val="004B24C1"/>
    <w:rsid w:val="004B27C7"/>
    <w:rsid w:val="004B2D33"/>
    <w:rsid w:val="004B5969"/>
    <w:rsid w:val="004B71D2"/>
    <w:rsid w:val="004B789C"/>
    <w:rsid w:val="004B7A91"/>
    <w:rsid w:val="004C03BB"/>
    <w:rsid w:val="004C15F0"/>
    <w:rsid w:val="004C2784"/>
    <w:rsid w:val="004C292F"/>
    <w:rsid w:val="004C448D"/>
    <w:rsid w:val="004C54B3"/>
    <w:rsid w:val="004C736D"/>
    <w:rsid w:val="004D3A66"/>
    <w:rsid w:val="004D52D9"/>
    <w:rsid w:val="004D7FEB"/>
    <w:rsid w:val="004E1B3D"/>
    <w:rsid w:val="004E1B7B"/>
    <w:rsid w:val="004F07B8"/>
    <w:rsid w:val="004F1227"/>
    <w:rsid w:val="004F2E7B"/>
    <w:rsid w:val="004F443E"/>
    <w:rsid w:val="004F5328"/>
    <w:rsid w:val="004F61ED"/>
    <w:rsid w:val="004F6B4E"/>
    <w:rsid w:val="00502514"/>
    <w:rsid w:val="00506020"/>
    <w:rsid w:val="00507DA9"/>
    <w:rsid w:val="00510280"/>
    <w:rsid w:val="00510859"/>
    <w:rsid w:val="005109F4"/>
    <w:rsid w:val="00511855"/>
    <w:rsid w:val="00513D73"/>
    <w:rsid w:val="00514236"/>
    <w:rsid w:val="005143C1"/>
    <w:rsid w:val="005146C7"/>
    <w:rsid w:val="00514A43"/>
    <w:rsid w:val="00515D54"/>
    <w:rsid w:val="005163F5"/>
    <w:rsid w:val="005164CA"/>
    <w:rsid w:val="005174E5"/>
    <w:rsid w:val="00517597"/>
    <w:rsid w:val="00517635"/>
    <w:rsid w:val="00520F42"/>
    <w:rsid w:val="00522034"/>
    <w:rsid w:val="00522393"/>
    <w:rsid w:val="00522620"/>
    <w:rsid w:val="00522D99"/>
    <w:rsid w:val="0052380A"/>
    <w:rsid w:val="00525656"/>
    <w:rsid w:val="00525AF6"/>
    <w:rsid w:val="005303B8"/>
    <w:rsid w:val="005336E2"/>
    <w:rsid w:val="00533893"/>
    <w:rsid w:val="0053415D"/>
    <w:rsid w:val="0053440C"/>
    <w:rsid w:val="005345A6"/>
    <w:rsid w:val="00534C02"/>
    <w:rsid w:val="00536E01"/>
    <w:rsid w:val="00540398"/>
    <w:rsid w:val="00541BF9"/>
    <w:rsid w:val="005423C1"/>
    <w:rsid w:val="005425D3"/>
    <w:rsid w:val="0054264B"/>
    <w:rsid w:val="00542966"/>
    <w:rsid w:val="00543786"/>
    <w:rsid w:val="0054623A"/>
    <w:rsid w:val="00550324"/>
    <w:rsid w:val="00550DFB"/>
    <w:rsid w:val="00551B0E"/>
    <w:rsid w:val="00552E27"/>
    <w:rsid w:val="005533D7"/>
    <w:rsid w:val="0055509D"/>
    <w:rsid w:val="00556C50"/>
    <w:rsid w:val="005571C9"/>
    <w:rsid w:val="00557527"/>
    <w:rsid w:val="00557954"/>
    <w:rsid w:val="00560160"/>
    <w:rsid w:val="00560504"/>
    <w:rsid w:val="005607B8"/>
    <w:rsid w:val="005608A7"/>
    <w:rsid w:val="0056096A"/>
    <w:rsid w:val="005610C4"/>
    <w:rsid w:val="00561C4D"/>
    <w:rsid w:val="0056475F"/>
    <w:rsid w:val="00565C28"/>
    <w:rsid w:val="00565D8A"/>
    <w:rsid w:val="005660DA"/>
    <w:rsid w:val="00566A6D"/>
    <w:rsid w:val="005670EB"/>
    <w:rsid w:val="005703DE"/>
    <w:rsid w:val="00570EDC"/>
    <w:rsid w:val="0057199A"/>
    <w:rsid w:val="00572A38"/>
    <w:rsid w:val="005736D9"/>
    <w:rsid w:val="00573B2D"/>
    <w:rsid w:val="005748B1"/>
    <w:rsid w:val="00580100"/>
    <w:rsid w:val="00580AE1"/>
    <w:rsid w:val="00581B4B"/>
    <w:rsid w:val="0058204F"/>
    <w:rsid w:val="00583F35"/>
    <w:rsid w:val="005843B9"/>
    <w:rsid w:val="0058464E"/>
    <w:rsid w:val="00586F5D"/>
    <w:rsid w:val="00587898"/>
    <w:rsid w:val="00591732"/>
    <w:rsid w:val="00592253"/>
    <w:rsid w:val="0059256A"/>
    <w:rsid w:val="0059412F"/>
    <w:rsid w:val="0059795A"/>
    <w:rsid w:val="005A01CB"/>
    <w:rsid w:val="005A1965"/>
    <w:rsid w:val="005A42B3"/>
    <w:rsid w:val="005A4F64"/>
    <w:rsid w:val="005A58FF"/>
    <w:rsid w:val="005A5EAF"/>
    <w:rsid w:val="005A61AD"/>
    <w:rsid w:val="005A63E9"/>
    <w:rsid w:val="005A64C0"/>
    <w:rsid w:val="005A699A"/>
    <w:rsid w:val="005B041B"/>
    <w:rsid w:val="005B099D"/>
    <w:rsid w:val="005B0B9E"/>
    <w:rsid w:val="005B1ED4"/>
    <w:rsid w:val="005B3C11"/>
    <w:rsid w:val="005B709F"/>
    <w:rsid w:val="005B7227"/>
    <w:rsid w:val="005C0767"/>
    <w:rsid w:val="005C0A0F"/>
    <w:rsid w:val="005C1C28"/>
    <w:rsid w:val="005C1D30"/>
    <w:rsid w:val="005C265F"/>
    <w:rsid w:val="005C29B2"/>
    <w:rsid w:val="005C3C89"/>
    <w:rsid w:val="005C5392"/>
    <w:rsid w:val="005C69B9"/>
    <w:rsid w:val="005C6DB5"/>
    <w:rsid w:val="005D17CB"/>
    <w:rsid w:val="005D3171"/>
    <w:rsid w:val="005D4367"/>
    <w:rsid w:val="005D4A8D"/>
    <w:rsid w:val="005D506B"/>
    <w:rsid w:val="005D6C3A"/>
    <w:rsid w:val="005D72B9"/>
    <w:rsid w:val="005D7BEF"/>
    <w:rsid w:val="005E19E7"/>
    <w:rsid w:val="005E1D07"/>
    <w:rsid w:val="005E26F2"/>
    <w:rsid w:val="005E3B34"/>
    <w:rsid w:val="005E44F4"/>
    <w:rsid w:val="005E6535"/>
    <w:rsid w:val="005E735C"/>
    <w:rsid w:val="005F0FBC"/>
    <w:rsid w:val="005F162A"/>
    <w:rsid w:val="005F301B"/>
    <w:rsid w:val="006021C7"/>
    <w:rsid w:val="0060275E"/>
    <w:rsid w:val="006029F7"/>
    <w:rsid w:val="00602F75"/>
    <w:rsid w:val="0060403C"/>
    <w:rsid w:val="00604D74"/>
    <w:rsid w:val="00604F18"/>
    <w:rsid w:val="00606A3D"/>
    <w:rsid w:val="00610558"/>
    <w:rsid w:val="0061058E"/>
    <w:rsid w:val="00611A20"/>
    <w:rsid w:val="0061308C"/>
    <w:rsid w:val="00613119"/>
    <w:rsid w:val="00615C3C"/>
    <w:rsid w:val="0061609B"/>
    <w:rsid w:val="00617099"/>
    <w:rsid w:val="006170B3"/>
    <w:rsid w:val="006170E9"/>
    <w:rsid w:val="0061716C"/>
    <w:rsid w:val="006212C7"/>
    <w:rsid w:val="00622631"/>
    <w:rsid w:val="006228F0"/>
    <w:rsid w:val="00622DCF"/>
    <w:rsid w:val="00622E9A"/>
    <w:rsid w:val="006238AA"/>
    <w:rsid w:val="00623D82"/>
    <w:rsid w:val="006243A1"/>
    <w:rsid w:val="006268FA"/>
    <w:rsid w:val="00627C21"/>
    <w:rsid w:val="00632E56"/>
    <w:rsid w:val="00632FE1"/>
    <w:rsid w:val="00635CBA"/>
    <w:rsid w:val="006364A7"/>
    <w:rsid w:val="00636880"/>
    <w:rsid w:val="0064064E"/>
    <w:rsid w:val="006422E4"/>
    <w:rsid w:val="00642FCB"/>
    <w:rsid w:val="0064338B"/>
    <w:rsid w:val="00645034"/>
    <w:rsid w:val="00646542"/>
    <w:rsid w:val="00646F9D"/>
    <w:rsid w:val="00647EA5"/>
    <w:rsid w:val="006504F4"/>
    <w:rsid w:val="006508B7"/>
    <w:rsid w:val="00653AA4"/>
    <w:rsid w:val="00654BC9"/>
    <w:rsid w:val="006552FD"/>
    <w:rsid w:val="00661B7C"/>
    <w:rsid w:val="00662466"/>
    <w:rsid w:val="00663AF3"/>
    <w:rsid w:val="0066408D"/>
    <w:rsid w:val="0066675E"/>
    <w:rsid w:val="00666B6C"/>
    <w:rsid w:val="00667127"/>
    <w:rsid w:val="00674582"/>
    <w:rsid w:val="006748E1"/>
    <w:rsid w:val="00674BED"/>
    <w:rsid w:val="00674E19"/>
    <w:rsid w:val="0067583F"/>
    <w:rsid w:val="00675FB0"/>
    <w:rsid w:val="00681861"/>
    <w:rsid w:val="00681C25"/>
    <w:rsid w:val="00682682"/>
    <w:rsid w:val="00682702"/>
    <w:rsid w:val="006831D1"/>
    <w:rsid w:val="00687A30"/>
    <w:rsid w:val="0069128B"/>
    <w:rsid w:val="0069140E"/>
    <w:rsid w:val="00691596"/>
    <w:rsid w:val="00692368"/>
    <w:rsid w:val="00692464"/>
    <w:rsid w:val="0069296A"/>
    <w:rsid w:val="006952B2"/>
    <w:rsid w:val="00696037"/>
    <w:rsid w:val="0069679C"/>
    <w:rsid w:val="00696B32"/>
    <w:rsid w:val="00696BFA"/>
    <w:rsid w:val="006977C4"/>
    <w:rsid w:val="006A0996"/>
    <w:rsid w:val="006A0B4C"/>
    <w:rsid w:val="006A1573"/>
    <w:rsid w:val="006A1D4E"/>
    <w:rsid w:val="006A2EBC"/>
    <w:rsid w:val="006A5408"/>
    <w:rsid w:val="006A5610"/>
    <w:rsid w:val="006A5EA0"/>
    <w:rsid w:val="006A783B"/>
    <w:rsid w:val="006A7B33"/>
    <w:rsid w:val="006B39EB"/>
    <w:rsid w:val="006B43CD"/>
    <w:rsid w:val="006B43E1"/>
    <w:rsid w:val="006B4E13"/>
    <w:rsid w:val="006B75DD"/>
    <w:rsid w:val="006C0DB5"/>
    <w:rsid w:val="006C1217"/>
    <w:rsid w:val="006C1319"/>
    <w:rsid w:val="006C1953"/>
    <w:rsid w:val="006C1E0A"/>
    <w:rsid w:val="006C536B"/>
    <w:rsid w:val="006C5E2A"/>
    <w:rsid w:val="006C67E0"/>
    <w:rsid w:val="006C7ABA"/>
    <w:rsid w:val="006D01D6"/>
    <w:rsid w:val="006D0D60"/>
    <w:rsid w:val="006D1122"/>
    <w:rsid w:val="006D1C1A"/>
    <w:rsid w:val="006D22E5"/>
    <w:rsid w:val="006D2F4D"/>
    <w:rsid w:val="006D3C00"/>
    <w:rsid w:val="006D4452"/>
    <w:rsid w:val="006D4EA6"/>
    <w:rsid w:val="006E1CF1"/>
    <w:rsid w:val="006E3675"/>
    <w:rsid w:val="006E4A7F"/>
    <w:rsid w:val="006E56E8"/>
    <w:rsid w:val="006E658B"/>
    <w:rsid w:val="006E6AE0"/>
    <w:rsid w:val="006E7200"/>
    <w:rsid w:val="006E7D5C"/>
    <w:rsid w:val="006F7BB5"/>
    <w:rsid w:val="00702154"/>
    <w:rsid w:val="00703898"/>
    <w:rsid w:val="00704412"/>
    <w:rsid w:val="007046F6"/>
    <w:rsid w:val="00704DF6"/>
    <w:rsid w:val="0070651C"/>
    <w:rsid w:val="007069F3"/>
    <w:rsid w:val="00706BD5"/>
    <w:rsid w:val="00707D2C"/>
    <w:rsid w:val="00712D3D"/>
    <w:rsid w:val="00713262"/>
    <w:rsid w:val="007132A3"/>
    <w:rsid w:val="007151F0"/>
    <w:rsid w:val="00715F4F"/>
    <w:rsid w:val="00716421"/>
    <w:rsid w:val="007169C6"/>
    <w:rsid w:val="00716BD8"/>
    <w:rsid w:val="00720447"/>
    <w:rsid w:val="007225C5"/>
    <w:rsid w:val="00723F37"/>
    <w:rsid w:val="00724D18"/>
    <w:rsid w:val="00724EFB"/>
    <w:rsid w:val="007263FB"/>
    <w:rsid w:val="007264A4"/>
    <w:rsid w:val="007270B3"/>
    <w:rsid w:val="00727EF3"/>
    <w:rsid w:val="00732903"/>
    <w:rsid w:val="00732FDE"/>
    <w:rsid w:val="0073691E"/>
    <w:rsid w:val="00736940"/>
    <w:rsid w:val="00736D7F"/>
    <w:rsid w:val="007403A9"/>
    <w:rsid w:val="00741538"/>
    <w:rsid w:val="007419C3"/>
    <w:rsid w:val="0074241D"/>
    <w:rsid w:val="00742752"/>
    <w:rsid w:val="00742B94"/>
    <w:rsid w:val="00743331"/>
    <w:rsid w:val="00745601"/>
    <w:rsid w:val="007467A7"/>
    <w:rsid w:val="007469DD"/>
    <w:rsid w:val="0074741B"/>
    <w:rsid w:val="0074759E"/>
    <w:rsid w:val="007478EA"/>
    <w:rsid w:val="00751331"/>
    <w:rsid w:val="00751842"/>
    <w:rsid w:val="007530A2"/>
    <w:rsid w:val="00753B7E"/>
    <w:rsid w:val="0075415C"/>
    <w:rsid w:val="00756FCF"/>
    <w:rsid w:val="007602FE"/>
    <w:rsid w:val="00760411"/>
    <w:rsid w:val="00760E04"/>
    <w:rsid w:val="0076275C"/>
    <w:rsid w:val="00763502"/>
    <w:rsid w:val="00764226"/>
    <w:rsid w:val="007644E3"/>
    <w:rsid w:val="0076541E"/>
    <w:rsid w:val="007677B7"/>
    <w:rsid w:val="0077220B"/>
    <w:rsid w:val="00772723"/>
    <w:rsid w:val="00772F98"/>
    <w:rsid w:val="00777734"/>
    <w:rsid w:val="00781256"/>
    <w:rsid w:val="00785803"/>
    <w:rsid w:val="007913AB"/>
    <w:rsid w:val="007914F7"/>
    <w:rsid w:val="00791ADA"/>
    <w:rsid w:val="007925A3"/>
    <w:rsid w:val="00792A23"/>
    <w:rsid w:val="00792F99"/>
    <w:rsid w:val="00795B76"/>
    <w:rsid w:val="007A14D5"/>
    <w:rsid w:val="007A3055"/>
    <w:rsid w:val="007A308D"/>
    <w:rsid w:val="007A492A"/>
    <w:rsid w:val="007B1625"/>
    <w:rsid w:val="007B231E"/>
    <w:rsid w:val="007B2333"/>
    <w:rsid w:val="007B2504"/>
    <w:rsid w:val="007B47B9"/>
    <w:rsid w:val="007B706E"/>
    <w:rsid w:val="007B71EB"/>
    <w:rsid w:val="007B7477"/>
    <w:rsid w:val="007C0ED7"/>
    <w:rsid w:val="007C1010"/>
    <w:rsid w:val="007C30B0"/>
    <w:rsid w:val="007C49F9"/>
    <w:rsid w:val="007C6205"/>
    <w:rsid w:val="007C686A"/>
    <w:rsid w:val="007C728E"/>
    <w:rsid w:val="007C759E"/>
    <w:rsid w:val="007D07C4"/>
    <w:rsid w:val="007D1298"/>
    <w:rsid w:val="007D1759"/>
    <w:rsid w:val="007D2C53"/>
    <w:rsid w:val="007D3D60"/>
    <w:rsid w:val="007D3FF0"/>
    <w:rsid w:val="007D5359"/>
    <w:rsid w:val="007E1096"/>
    <w:rsid w:val="007E1980"/>
    <w:rsid w:val="007E45A1"/>
    <w:rsid w:val="007E4B76"/>
    <w:rsid w:val="007E5EA8"/>
    <w:rsid w:val="007E6BAB"/>
    <w:rsid w:val="007E6D92"/>
    <w:rsid w:val="007E6FF1"/>
    <w:rsid w:val="007F0CF1"/>
    <w:rsid w:val="007F12A5"/>
    <w:rsid w:val="007F1479"/>
    <w:rsid w:val="007F3077"/>
    <w:rsid w:val="007F3369"/>
    <w:rsid w:val="007F4CF1"/>
    <w:rsid w:val="007F58E5"/>
    <w:rsid w:val="007F64FE"/>
    <w:rsid w:val="007F758D"/>
    <w:rsid w:val="007F76A6"/>
    <w:rsid w:val="007F7D52"/>
    <w:rsid w:val="008007DB"/>
    <w:rsid w:val="00802281"/>
    <w:rsid w:val="008029D6"/>
    <w:rsid w:val="00803CFA"/>
    <w:rsid w:val="00806435"/>
    <w:rsid w:val="0080654C"/>
    <w:rsid w:val="008066E0"/>
    <w:rsid w:val="0080711A"/>
    <w:rsid w:val="008071C6"/>
    <w:rsid w:val="008114BB"/>
    <w:rsid w:val="008117C6"/>
    <w:rsid w:val="00813566"/>
    <w:rsid w:val="00813F8B"/>
    <w:rsid w:val="008144CA"/>
    <w:rsid w:val="008165F0"/>
    <w:rsid w:val="00816851"/>
    <w:rsid w:val="00816DE5"/>
    <w:rsid w:val="00817A00"/>
    <w:rsid w:val="0082162D"/>
    <w:rsid w:val="0082169F"/>
    <w:rsid w:val="008243E0"/>
    <w:rsid w:val="00826952"/>
    <w:rsid w:val="0082729F"/>
    <w:rsid w:val="00830A1D"/>
    <w:rsid w:val="00834BFB"/>
    <w:rsid w:val="00834E52"/>
    <w:rsid w:val="00835DB3"/>
    <w:rsid w:val="0083617B"/>
    <w:rsid w:val="00836485"/>
    <w:rsid w:val="008371BD"/>
    <w:rsid w:val="008406B2"/>
    <w:rsid w:val="00842147"/>
    <w:rsid w:val="00844087"/>
    <w:rsid w:val="00844198"/>
    <w:rsid w:val="0084570F"/>
    <w:rsid w:val="0084579F"/>
    <w:rsid w:val="00846BF7"/>
    <w:rsid w:val="00846FCB"/>
    <w:rsid w:val="008504A8"/>
    <w:rsid w:val="00852291"/>
    <w:rsid w:val="0085282E"/>
    <w:rsid w:val="008533CC"/>
    <w:rsid w:val="0085484E"/>
    <w:rsid w:val="00855888"/>
    <w:rsid w:val="008561A6"/>
    <w:rsid w:val="00864593"/>
    <w:rsid w:val="008660C3"/>
    <w:rsid w:val="00867BB3"/>
    <w:rsid w:val="0087198C"/>
    <w:rsid w:val="00871C96"/>
    <w:rsid w:val="008721F3"/>
    <w:rsid w:val="00872C1F"/>
    <w:rsid w:val="00873690"/>
    <w:rsid w:val="00873B42"/>
    <w:rsid w:val="00877E9F"/>
    <w:rsid w:val="00884D14"/>
    <w:rsid w:val="008856D8"/>
    <w:rsid w:val="008909D9"/>
    <w:rsid w:val="0089201F"/>
    <w:rsid w:val="00892E82"/>
    <w:rsid w:val="00893C60"/>
    <w:rsid w:val="008967F2"/>
    <w:rsid w:val="00897A22"/>
    <w:rsid w:val="008A2223"/>
    <w:rsid w:val="008A277A"/>
    <w:rsid w:val="008A4698"/>
    <w:rsid w:val="008A4DC6"/>
    <w:rsid w:val="008A5EB5"/>
    <w:rsid w:val="008A61C2"/>
    <w:rsid w:val="008B0340"/>
    <w:rsid w:val="008B1FD9"/>
    <w:rsid w:val="008B22F1"/>
    <w:rsid w:val="008B3057"/>
    <w:rsid w:val="008B3EB6"/>
    <w:rsid w:val="008B3FA4"/>
    <w:rsid w:val="008B5390"/>
    <w:rsid w:val="008C0847"/>
    <w:rsid w:val="008C1B58"/>
    <w:rsid w:val="008C1BF4"/>
    <w:rsid w:val="008C2519"/>
    <w:rsid w:val="008C28BD"/>
    <w:rsid w:val="008C2C2B"/>
    <w:rsid w:val="008C39AE"/>
    <w:rsid w:val="008C590D"/>
    <w:rsid w:val="008D0359"/>
    <w:rsid w:val="008D101F"/>
    <w:rsid w:val="008D2AB0"/>
    <w:rsid w:val="008D3AD3"/>
    <w:rsid w:val="008D3E5E"/>
    <w:rsid w:val="008D3F64"/>
    <w:rsid w:val="008D4C18"/>
    <w:rsid w:val="008D6DAF"/>
    <w:rsid w:val="008E031B"/>
    <w:rsid w:val="008E0C3C"/>
    <w:rsid w:val="008E25A6"/>
    <w:rsid w:val="008E3E68"/>
    <w:rsid w:val="008E3FAD"/>
    <w:rsid w:val="008E5D46"/>
    <w:rsid w:val="008E6131"/>
    <w:rsid w:val="008E7029"/>
    <w:rsid w:val="008E7EF6"/>
    <w:rsid w:val="008F0882"/>
    <w:rsid w:val="008F0F0B"/>
    <w:rsid w:val="008F1A56"/>
    <w:rsid w:val="008F1F98"/>
    <w:rsid w:val="008F335E"/>
    <w:rsid w:val="008F37BC"/>
    <w:rsid w:val="008F3E12"/>
    <w:rsid w:val="008F498E"/>
    <w:rsid w:val="008F5088"/>
    <w:rsid w:val="008F558A"/>
    <w:rsid w:val="008F5B27"/>
    <w:rsid w:val="008F6758"/>
    <w:rsid w:val="008F7F8B"/>
    <w:rsid w:val="009040DD"/>
    <w:rsid w:val="00905B47"/>
    <w:rsid w:val="009076A1"/>
    <w:rsid w:val="00907748"/>
    <w:rsid w:val="00907896"/>
    <w:rsid w:val="009106EA"/>
    <w:rsid w:val="009114F2"/>
    <w:rsid w:val="00911BDA"/>
    <w:rsid w:val="0091331C"/>
    <w:rsid w:val="00915B31"/>
    <w:rsid w:val="00915B3B"/>
    <w:rsid w:val="009169D7"/>
    <w:rsid w:val="009173AC"/>
    <w:rsid w:val="009201E3"/>
    <w:rsid w:val="0092133D"/>
    <w:rsid w:val="00923C1E"/>
    <w:rsid w:val="0092577D"/>
    <w:rsid w:val="0092600E"/>
    <w:rsid w:val="009279DE"/>
    <w:rsid w:val="00930116"/>
    <w:rsid w:val="00930E07"/>
    <w:rsid w:val="00932BB6"/>
    <w:rsid w:val="00934D98"/>
    <w:rsid w:val="0093560D"/>
    <w:rsid w:val="00941770"/>
    <w:rsid w:val="0094212C"/>
    <w:rsid w:val="00945821"/>
    <w:rsid w:val="00945A95"/>
    <w:rsid w:val="00946A76"/>
    <w:rsid w:val="00946C2E"/>
    <w:rsid w:val="009527C4"/>
    <w:rsid w:val="00954689"/>
    <w:rsid w:val="00955C03"/>
    <w:rsid w:val="00955C93"/>
    <w:rsid w:val="00956148"/>
    <w:rsid w:val="00956A83"/>
    <w:rsid w:val="00957447"/>
    <w:rsid w:val="00957995"/>
    <w:rsid w:val="00957AA7"/>
    <w:rsid w:val="009617C9"/>
    <w:rsid w:val="00961C93"/>
    <w:rsid w:val="00961E53"/>
    <w:rsid w:val="00963947"/>
    <w:rsid w:val="00965324"/>
    <w:rsid w:val="00965EB0"/>
    <w:rsid w:val="00966113"/>
    <w:rsid w:val="00967021"/>
    <w:rsid w:val="0097091E"/>
    <w:rsid w:val="00971410"/>
    <w:rsid w:val="00971761"/>
    <w:rsid w:val="00972F8B"/>
    <w:rsid w:val="00975161"/>
    <w:rsid w:val="009760D3"/>
    <w:rsid w:val="00977132"/>
    <w:rsid w:val="00980E72"/>
    <w:rsid w:val="00981A4B"/>
    <w:rsid w:val="00981CCC"/>
    <w:rsid w:val="00982501"/>
    <w:rsid w:val="0098306F"/>
    <w:rsid w:val="00984730"/>
    <w:rsid w:val="00985305"/>
    <w:rsid w:val="009877D3"/>
    <w:rsid w:val="00987D82"/>
    <w:rsid w:val="00991CFF"/>
    <w:rsid w:val="00992D2C"/>
    <w:rsid w:val="00992F0A"/>
    <w:rsid w:val="00994609"/>
    <w:rsid w:val="00994E8F"/>
    <w:rsid w:val="009951DC"/>
    <w:rsid w:val="009959BB"/>
    <w:rsid w:val="00995F1C"/>
    <w:rsid w:val="00997158"/>
    <w:rsid w:val="009A3A79"/>
    <w:rsid w:val="009A3A7C"/>
    <w:rsid w:val="009A3EA8"/>
    <w:rsid w:val="009A513A"/>
    <w:rsid w:val="009A58A9"/>
    <w:rsid w:val="009A6EFE"/>
    <w:rsid w:val="009B02A6"/>
    <w:rsid w:val="009B2ADB"/>
    <w:rsid w:val="009B3F2F"/>
    <w:rsid w:val="009B603A"/>
    <w:rsid w:val="009B7EEF"/>
    <w:rsid w:val="009C1F53"/>
    <w:rsid w:val="009C2CD9"/>
    <w:rsid w:val="009C2D0E"/>
    <w:rsid w:val="009C3DAC"/>
    <w:rsid w:val="009C42E0"/>
    <w:rsid w:val="009C470F"/>
    <w:rsid w:val="009C619A"/>
    <w:rsid w:val="009C699D"/>
    <w:rsid w:val="009C7E8C"/>
    <w:rsid w:val="009D4119"/>
    <w:rsid w:val="009D5362"/>
    <w:rsid w:val="009D5AB7"/>
    <w:rsid w:val="009D6243"/>
    <w:rsid w:val="009E0148"/>
    <w:rsid w:val="009E1415"/>
    <w:rsid w:val="009E1760"/>
    <w:rsid w:val="009E1DE5"/>
    <w:rsid w:val="009E6116"/>
    <w:rsid w:val="009F1728"/>
    <w:rsid w:val="009F18F2"/>
    <w:rsid w:val="009F18F4"/>
    <w:rsid w:val="009F3EAD"/>
    <w:rsid w:val="009F6CDC"/>
    <w:rsid w:val="009F6E09"/>
    <w:rsid w:val="00A01BB1"/>
    <w:rsid w:val="00A02D35"/>
    <w:rsid w:val="00A02E43"/>
    <w:rsid w:val="00A03399"/>
    <w:rsid w:val="00A0370B"/>
    <w:rsid w:val="00A065F9"/>
    <w:rsid w:val="00A06996"/>
    <w:rsid w:val="00A07F34"/>
    <w:rsid w:val="00A117FB"/>
    <w:rsid w:val="00A11D7F"/>
    <w:rsid w:val="00A11E62"/>
    <w:rsid w:val="00A129E8"/>
    <w:rsid w:val="00A14901"/>
    <w:rsid w:val="00A210C7"/>
    <w:rsid w:val="00A21468"/>
    <w:rsid w:val="00A22154"/>
    <w:rsid w:val="00A235BA"/>
    <w:rsid w:val="00A24660"/>
    <w:rsid w:val="00A24FFA"/>
    <w:rsid w:val="00A25C38"/>
    <w:rsid w:val="00A25E1E"/>
    <w:rsid w:val="00A26B0B"/>
    <w:rsid w:val="00A30453"/>
    <w:rsid w:val="00A32E21"/>
    <w:rsid w:val="00A347F3"/>
    <w:rsid w:val="00A36BBE"/>
    <w:rsid w:val="00A37735"/>
    <w:rsid w:val="00A404D7"/>
    <w:rsid w:val="00A40DE5"/>
    <w:rsid w:val="00A410A1"/>
    <w:rsid w:val="00A41898"/>
    <w:rsid w:val="00A4307A"/>
    <w:rsid w:val="00A47EBB"/>
    <w:rsid w:val="00A51CDD"/>
    <w:rsid w:val="00A51DBB"/>
    <w:rsid w:val="00A527AD"/>
    <w:rsid w:val="00A54520"/>
    <w:rsid w:val="00A547B7"/>
    <w:rsid w:val="00A55C53"/>
    <w:rsid w:val="00A5694D"/>
    <w:rsid w:val="00A57794"/>
    <w:rsid w:val="00A60474"/>
    <w:rsid w:val="00A60B95"/>
    <w:rsid w:val="00A647BA"/>
    <w:rsid w:val="00A65277"/>
    <w:rsid w:val="00A65D32"/>
    <w:rsid w:val="00A6730D"/>
    <w:rsid w:val="00A71625"/>
    <w:rsid w:val="00A71B9B"/>
    <w:rsid w:val="00A751C7"/>
    <w:rsid w:val="00A831A1"/>
    <w:rsid w:val="00A85594"/>
    <w:rsid w:val="00A8659B"/>
    <w:rsid w:val="00A87844"/>
    <w:rsid w:val="00A8796C"/>
    <w:rsid w:val="00A911AC"/>
    <w:rsid w:val="00A93449"/>
    <w:rsid w:val="00A95442"/>
    <w:rsid w:val="00A96132"/>
    <w:rsid w:val="00A96618"/>
    <w:rsid w:val="00A97548"/>
    <w:rsid w:val="00A97638"/>
    <w:rsid w:val="00A9797F"/>
    <w:rsid w:val="00AA038C"/>
    <w:rsid w:val="00AA2F41"/>
    <w:rsid w:val="00AA3B58"/>
    <w:rsid w:val="00AA53EF"/>
    <w:rsid w:val="00AA58AD"/>
    <w:rsid w:val="00AA6A3C"/>
    <w:rsid w:val="00AA7A09"/>
    <w:rsid w:val="00AB0AD0"/>
    <w:rsid w:val="00AB3B50"/>
    <w:rsid w:val="00AB3D58"/>
    <w:rsid w:val="00AB49F1"/>
    <w:rsid w:val="00AB799C"/>
    <w:rsid w:val="00AC05B1"/>
    <w:rsid w:val="00AC2F54"/>
    <w:rsid w:val="00AD20C9"/>
    <w:rsid w:val="00AD2DDB"/>
    <w:rsid w:val="00AD356C"/>
    <w:rsid w:val="00AD359D"/>
    <w:rsid w:val="00AD36CD"/>
    <w:rsid w:val="00AD3D3E"/>
    <w:rsid w:val="00AD60CC"/>
    <w:rsid w:val="00AD68A0"/>
    <w:rsid w:val="00AD6B1E"/>
    <w:rsid w:val="00AD73A1"/>
    <w:rsid w:val="00AE11FF"/>
    <w:rsid w:val="00AE14F9"/>
    <w:rsid w:val="00AE2039"/>
    <w:rsid w:val="00AE2914"/>
    <w:rsid w:val="00AE2F45"/>
    <w:rsid w:val="00AE4CB0"/>
    <w:rsid w:val="00AE50A1"/>
    <w:rsid w:val="00AE6298"/>
    <w:rsid w:val="00AE6D15"/>
    <w:rsid w:val="00AF30AA"/>
    <w:rsid w:val="00AF3196"/>
    <w:rsid w:val="00AF3EC3"/>
    <w:rsid w:val="00AF3FAB"/>
    <w:rsid w:val="00AF5E3F"/>
    <w:rsid w:val="00AF62F7"/>
    <w:rsid w:val="00AF6320"/>
    <w:rsid w:val="00AF63C4"/>
    <w:rsid w:val="00B01730"/>
    <w:rsid w:val="00B0183F"/>
    <w:rsid w:val="00B02FE3"/>
    <w:rsid w:val="00B03018"/>
    <w:rsid w:val="00B0416C"/>
    <w:rsid w:val="00B04182"/>
    <w:rsid w:val="00B056AD"/>
    <w:rsid w:val="00B0579E"/>
    <w:rsid w:val="00B058CB"/>
    <w:rsid w:val="00B065CD"/>
    <w:rsid w:val="00B07195"/>
    <w:rsid w:val="00B07AE3"/>
    <w:rsid w:val="00B10765"/>
    <w:rsid w:val="00B11430"/>
    <w:rsid w:val="00B1695C"/>
    <w:rsid w:val="00B20E9A"/>
    <w:rsid w:val="00B21911"/>
    <w:rsid w:val="00B221D1"/>
    <w:rsid w:val="00B24474"/>
    <w:rsid w:val="00B25F7E"/>
    <w:rsid w:val="00B26D2D"/>
    <w:rsid w:val="00B30C1E"/>
    <w:rsid w:val="00B3111D"/>
    <w:rsid w:val="00B32736"/>
    <w:rsid w:val="00B353EB"/>
    <w:rsid w:val="00B35643"/>
    <w:rsid w:val="00B35FE7"/>
    <w:rsid w:val="00B40581"/>
    <w:rsid w:val="00B41A36"/>
    <w:rsid w:val="00B43340"/>
    <w:rsid w:val="00B439C4"/>
    <w:rsid w:val="00B4535E"/>
    <w:rsid w:val="00B45A1C"/>
    <w:rsid w:val="00B470AC"/>
    <w:rsid w:val="00B47AFE"/>
    <w:rsid w:val="00B503A4"/>
    <w:rsid w:val="00B529D0"/>
    <w:rsid w:val="00B52A8C"/>
    <w:rsid w:val="00B52C88"/>
    <w:rsid w:val="00B578C6"/>
    <w:rsid w:val="00B60EDD"/>
    <w:rsid w:val="00B636A8"/>
    <w:rsid w:val="00B6524E"/>
    <w:rsid w:val="00B658DB"/>
    <w:rsid w:val="00B665C6"/>
    <w:rsid w:val="00B67A94"/>
    <w:rsid w:val="00B7181A"/>
    <w:rsid w:val="00B726D2"/>
    <w:rsid w:val="00B72D18"/>
    <w:rsid w:val="00B73201"/>
    <w:rsid w:val="00B7384E"/>
    <w:rsid w:val="00B74A37"/>
    <w:rsid w:val="00B76492"/>
    <w:rsid w:val="00B76845"/>
    <w:rsid w:val="00B770C7"/>
    <w:rsid w:val="00B77AFF"/>
    <w:rsid w:val="00B805AF"/>
    <w:rsid w:val="00B869EC"/>
    <w:rsid w:val="00B908CE"/>
    <w:rsid w:val="00B9397A"/>
    <w:rsid w:val="00B9404F"/>
    <w:rsid w:val="00B95F9B"/>
    <w:rsid w:val="00B9633D"/>
    <w:rsid w:val="00B96F6F"/>
    <w:rsid w:val="00BA0310"/>
    <w:rsid w:val="00BA1032"/>
    <w:rsid w:val="00BA2EBE"/>
    <w:rsid w:val="00BA48D0"/>
    <w:rsid w:val="00BA4FDE"/>
    <w:rsid w:val="00BA5282"/>
    <w:rsid w:val="00BA5F0E"/>
    <w:rsid w:val="00BA6201"/>
    <w:rsid w:val="00BB0742"/>
    <w:rsid w:val="00BB0F28"/>
    <w:rsid w:val="00BB11B7"/>
    <w:rsid w:val="00BB29F4"/>
    <w:rsid w:val="00BB2A19"/>
    <w:rsid w:val="00BB31FE"/>
    <w:rsid w:val="00BB424A"/>
    <w:rsid w:val="00BB458A"/>
    <w:rsid w:val="00BB479A"/>
    <w:rsid w:val="00BB5389"/>
    <w:rsid w:val="00BB5BA7"/>
    <w:rsid w:val="00BB6BE6"/>
    <w:rsid w:val="00BB6E3E"/>
    <w:rsid w:val="00BC0964"/>
    <w:rsid w:val="00BC0B25"/>
    <w:rsid w:val="00BC1EFC"/>
    <w:rsid w:val="00BC36C4"/>
    <w:rsid w:val="00BC6428"/>
    <w:rsid w:val="00BC6BC0"/>
    <w:rsid w:val="00BD00D3"/>
    <w:rsid w:val="00BD1525"/>
    <w:rsid w:val="00BD1659"/>
    <w:rsid w:val="00BD3050"/>
    <w:rsid w:val="00BD3AA9"/>
    <w:rsid w:val="00BD4A18"/>
    <w:rsid w:val="00BD6558"/>
    <w:rsid w:val="00BD6DB2"/>
    <w:rsid w:val="00BD75BB"/>
    <w:rsid w:val="00BD7EC2"/>
    <w:rsid w:val="00BE11CF"/>
    <w:rsid w:val="00BE21AB"/>
    <w:rsid w:val="00BE26E3"/>
    <w:rsid w:val="00BE4381"/>
    <w:rsid w:val="00BE4972"/>
    <w:rsid w:val="00BE4CBD"/>
    <w:rsid w:val="00BE500D"/>
    <w:rsid w:val="00BE50BE"/>
    <w:rsid w:val="00BE55CB"/>
    <w:rsid w:val="00BF0D2F"/>
    <w:rsid w:val="00BF248E"/>
    <w:rsid w:val="00BF4ADD"/>
    <w:rsid w:val="00BF5A77"/>
    <w:rsid w:val="00BF617A"/>
    <w:rsid w:val="00C0017B"/>
    <w:rsid w:val="00C02C93"/>
    <w:rsid w:val="00C0379D"/>
    <w:rsid w:val="00C03931"/>
    <w:rsid w:val="00C03B99"/>
    <w:rsid w:val="00C04CBF"/>
    <w:rsid w:val="00C04EC1"/>
    <w:rsid w:val="00C051F7"/>
    <w:rsid w:val="00C05517"/>
    <w:rsid w:val="00C05FE3"/>
    <w:rsid w:val="00C06DB3"/>
    <w:rsid w:val="00C07E8F"/>
    <w:rsid w:val="00C121E0"/>
    <w:rsid w:val="00C12D92"/>
    <w:rsid w:val="00C15E1C"/>
    <w:rsid w:val="00C15FC9"/>
    <w:rsid w:val="00C203ED"/>
    <w:rsid w:val="00C2136D"/>
    <w:rsid w:val="00C214DF"/>
    <w:rsid w:val="00C214EE"/>
    <w:rsid w:val="00C2314B"/>
    <w:rsid w:val="00C243C3"/>
    <w:rsid w:val="00C24971"/>
    <w:rsid w:val="00C256EE"/>
    <w:rsid w:val="00C25D6C"/>
    <w:rsid w:val="00C25E2E"/>
    <w:rsid w:val="00C268DA"/>
    <w:rsid w:val="00C26BE5"/>
    <w:rsid w:val="00C26E4D"/>
    <w:rsid w:val="00C27648"/>
    <w:rsid w:val="00C27909"/>
    <w:rsid w:val="00C27B03"/>
    <w:rsid w:val="00C302BB"/>
    <w:rsid w:val="00C30BF4"/>
    <w:rsid w:val="00C31307"/>
    <w:rsid w:val="00C314E1"/>
    <w:rsid w:val="00C34397"/>
    <w:rsid w:val="00C34AA0"/>
    <w:rsid w:val="00C35237"/>
    <w:rsid w:val="00C3640B"/>
    <w:rsid w:val="00C377EA"/>
    <w:rsid w:val="00C4095D"/>
    <w:rsid w:val="00C40A8C"/>
    <w:rsid w:val="00C42C63"/>
    <w:rsid w:val="00C43B72"/>
    <w:rsid w:val="00C43E61"/>
    <w:rsid w:val="00C440E5"/>
    <w:rsid w:val="00C45CA3"/>
    <w:rsid w:val="00C46845"/>
    <w:rsid w:val="00C468B4"/>
    <w:rsid w:val="00C52D85"/>
    <w:rsid w:val="00C53A95"/>
    <w:rsid w:val="00C53AEC"/>
    <w:rsid w:val="00C54066"/>
    <w:rsid w:val="00C54408"/>
    <w:rsid w:val="00C546DC"/>
    <w:rsid w:val="00C601D2"/>
    <w:rsid w:val="00C61672"/>
    <w:rsid w:val="00C6209A"/>
    <w:rsid w:val="00C623FD"/>
    <w:rsid w:val="00C62871"/>
    <w:rsid w:val="00C63A43"/>
    <w:rsid w:val="00C63ADA"/>
    <w:rsid w:val="00C65772"/>
    <w:rsid w:val="00C65BCC"/>
    <w:rsid w:val="00C66970"/>
    <w:rsid w:val="00C70232"/>
    <w:rsid w:val="00C70D7F"/>
    <w:rsid w:val="00C71078"/>
    <w:rsid w:val="00C711B5"/>
    <w:rsid w:val="00C721BC"/>
    <w:rsid w:val="00C73AF9"/>
    <w:rsid w:val="00C74468"/>
    <w:rsid w:val="00C74826"/>
    <w:rsid w:val="00C77A11"/>
    <w:rsid w:val="00C77A5C"/>
    <w:rsid w:val="00C80EA6"/>
    <w:rsid w:val="00C81D95"/>
    <w:rsid w:val="00C83C0E"/>
    <w:rsid w:val="00C85063"/>
    <w:rsid w:val="00C85B76"/>
    <w:rsid w:val="00C8691C"/>
    <w:rsid w:val="00C90681"/>
    <w:rsid w:val="00C91A2A"/>
    <w:rsid w:val="00C928AD"/>
    <w:rsid w:val="00C930FA"/>
    <w:rsid w:val="00C9438B"/>
    <w:rsid w:val="00C96B0E"/>
    <w:rsid w:val="00C96B5E"/>
    <w:rsid w:val="00C9773D"/>
    <w:rsid w:val="00CA09AA"/>
    <w:rsid w:val="00CA168A"/>
    <w:rsid w:val="00CA251D"/>
    <w:rsid w:val="00CA2EAA"/>
    <w:rsid w:val="00CA357E"/>
    <w:rsid w:val="00CA44F9"/>
    <w:rsid w:val="00CA48FE"/>
    <w:rsid w:val="00CA4A69"/>
    <w:rsid w:val="00CA6593"/>
    <w:rsid w:val="00CB1439"/>
    <w:rsid w:val="00CB1CA9"/>
    <w:rsid w:val="00CB2EDF"/>
    <w:rsid w:val="00CB47DD"/>
    <w:rsid w:val="00CB5740"/>
    <w:rsid w:val="00CB74B1"/>
    <w:rsid w:val="00CB7F2D"/>
    <w:rsid w:val="00CC1771"/>
    <w:rsid w:val="00CC2250"/>
    <w:rsid w:val="00CC2CE3"/>
    <w:rsid w:val="00CC3E0C"/>
    <w:rsid w:val="00CC3EBA"/>
    <w:rsid w:val="00CC4297"/>
    <w:rsid w:val="00CC58D3"/>
    <w:rsid w:val="00CC784D"/>
    <w:rsid w:val="00CD168C"/>
    <w:rsid w:val="00CD1B5A"/>
    <w:rsid w:val="00CD2292"/>
    <w:rsid w:val="00CD6CD8"/>
    <w:rsid w:val="00CE0214"/>
    <w:rsid w:val="00CE08A0"/>
    <w:rsid w:val="00CE0FE5"/>
    <w:rsid w:val="00CE395F"/>
    <w:rsid w:val="00CE3B2E"/>
    <w:rsid w:val="00CE4643"/>
    <w:rsid w:val="00CE60F4"/>
    <w:rsid w:val="00CF0982"/>
    <w:rsid w:val="00CF10A4"/>
    <w:rsid w:val="00CF30A2"/>
    <w:rsid w:val="00CF4505"/>
    <w:rsid w:val="00CF47CF"/>
    <w:rsid w:val="00CF766E"/>
    <w:rsid w:val="00CF779B"/>
    <w:rsid w:val="00CF7B57"/>
    <w:rsid w:val="00D01B23"/>
    <w:rsid w:val="00D01F61"/>
    <w:rsid w:val="00D0284B"/>
    <w:rsid w:val="00D0337B"/>
    <w:rsid w:val="00D03BDC"/>
    <w:rsid w:val="00D0481E"/>
    <w:rsid w:val="00D0674A"/>
    <w:rsid w:val="00D0683B"/>
    <w:rsid w:val="00D079B2"/>
    <w:rsid w:val="00D07D36"/>
    <w:rsid w:val="00D1107C"/>
    <w:rsid w:val="00D114E9"/>
    <w:rsid w:val="00D14718"/>
    <w:rsid w:val="00D151D7"/>
    <w:rsid w:val="00D15D35"/>
    <w:rsid w:val="00D20172"/>
    <w:rsid w:val="00D22C63"/>
    <w:rsid w:val="00D24F05"/>
    <w:rsid w:val="00D26AE5"/>
    <w:rsid w:val="00D27B7C"/>
    <w:rsid w:val="00D30B57"/>
    <w:rsid w:val="00D31024"/>
    <w:rsid w:val="00D3116B"/>
    <w:rsid w:val="00D3129F"/>
    <w:rsid w:val="00D3417E"/>
    <w:rsid w:val="00D35349"/>
    <w:rsid w:val="00D364DC"/>
    <w:rsid w:val="00D36F16"/>
    <w:rsid w:val="00D42907"/>
    <w:rsid w:val="00D429C6"/>
    <w:rsid w:val="00D42A34"/>
    <w:rsid w:val="00D4421A"/>
    <w:rsid w:val="00D4558F"/>
    <w:rsid w:val="00D4577A"/>
    <w:rsid w:val="00D46214"/>
    <w:rsid w:val="00D47748"/>
    <w:rsid w:val="00D50282"/>
    <w:rsid w:val="00D50E0D"/>
    <w:rsid w:val="00D53163"/>
    <w:rsid w:val="00D53D0A"/>
    <w:rsid w:val="00D54CC3"/>
    <w:rsid w:val="00D54DCF"/>
    <w:rsid w:val="00D55078"/>
    <w:rsid w:val="00D57F25"/>
    <w:rsid w:val="00D6041A"/>
    <w:rsid w:val="00D61440"/>
    <w:rsid w:val="00D61C54"/>
    <w:rsid w:val="00D626F4"/>
    <w:rsid w:val="00D633EB"/>
    <w:rsid w:val="00D67E1D"/>
    <w:rsid w:val="00D705B8"/>
    <w:rsid w:val="00D72379"/>
    <w:rsid w:val="00D74628"/>
    <w:rsid w:val="00D76BC6"/>
    <w:rsid w:val="00D800E5"/>
    <w:rsid w:val="00D807B1"/>
    <w:rsid w:val="00D8234D"/>
    <w:rsid w:val="00D82FF7"/>
    <w:rsid w:val="00D847FE"/>
    <w:rsid w:val="00D84C79"/>
    <w:rsid w:val="00D84F41"/>
    <w:rsid w:val="00D857FE"/>
    <w:rsid w:val="00D9089A"/>
    <w:rsid w:val="00D92313"/>
    <w:rsid w:val="00D938F5"/>
    <w:rsid w:val="00D93D0A"/>
    <w:rsid w:val="00D9495C"/>
    <w:rsid w:val="00D964EA"/>
    <w:rsid w:val="00D966D0"/>
    <w:rsid w:val="00D96736"/>
    <w:rsid w:val="00DA01A4"/>
    <w:rsid w:val="00DA0C59"/>
    <w:rsid w:val="00DA18CE"/>
    <w:rsid w:val="00DA1EF8"/>
    <w:rsid w:val="00DA2374"/>
    <w:rsid w:val="00DA3991"/>
    <w:rsid w:val="00DA4326"/>
    <w:rsid w:val="00DA4491"/>
    <w:rsid w:val="00DA4D65"/>
    <w:rsid w:val="00DA55D0"/>
    <w:rsid w:val="00DA5F57"/>
    <w:rsid w:val="00DA63F7"/>
    <w:rsid w:val="00DA6BE3"/>
    <w:rsid w:val="00DB231D"/>
    <w:rsid w:val="00DB2BFA"/>
    <w:rsid w:val="00DB2EAB"/>
    <w:rsid w:val="00DB4907"/>
    <w:rsid w:val="00DB515F"/>
    <w:rsid w:val="00DB56B2"/>
    <w:rsid w:val="00DB67EF"/>
    <w:rsid w:val="00DB6BCF"/>
    <w:rsid w:val="00DB75C5"/>
    <w:rsid w:val="00DB7BBD"/>
    <w:rsid w:val="00DB7E6C"/>
    <w:rsid w:val="00DC007D"/>
    <w:rsid w:val="00DC3AC5"/>
    <w:rsid w:val="00DC4A26"/>
    <w:rsid w:val="00DC4E71"/>
    <w:rsid w:val="00DC5C9D"/>
    <w:rsid w:val="00DD066D"/>
    <w:rsid w:val="00DD112E"/>
    <w:rsid w:val="00DD1C65"/>
    <w:rsid w:val="00DD5A29"/>
    <w:rsid w:val="00DD5D9D"/>
    <w:rsid w:val="00DD7B3D"/>
    <w:rsid w:val="00DD7DED"/>
    <w:rsid w:val="00DE01CC"/>
    <w:rsid w:val="00DE091E"/>
    <w:rsid w:val="00DE2EF4"/>
    <w:rsid w:val="00DE35CB"/>
    <w:rsid w:val="00DE3FF6"/>
    <w:rsid w:val="00DE4EF4"/>
    <w:rsid w:val="00DE6060"/>
    <w:rsid w:val="00DE6FAD"/>
    <w:rsid w:val="00DF1F93"/>
    <w:rsid w:val="00DF20CC"/>
    <w:rsid w:val="00DF21E9"/>
    <w:rsid w:val="00DF3435"/>
    <w:rsid w:val="00DF5F49"/>
    <w:rsid w:val="00DF750A"/>
    <w:rsid w:val="00DF7578"/>
    <w:rsid w:val="00E00BF0"/>
    <w:rsid w:val="00E00F14"/>
    <w:rsid w:val="00E01CD9"/>
    <w:rsid w:val="00E02DEB"/>
    <w:rsid w:val="00E038FB"/>
    <w:rsid w:val="00E059D0"/>
    <w:rsid w:val="00E05B4E"/>
    <w:rsid w:val="00E06386"/>
    <w:rsid w:val="00E068DD"/>
    <w:rsid w:val="00E07990"/>
    <w:rsid w:val="00E103C1"/>
    <w:rsid w:val="00E108AD"/>
    <w:rsid w:val="00E10F01"/>
    <w:rsid w:val="00E13416"/>
    <w:rsid w:val="00E13B3C"/>
    <w:rsid w:val="00E153F8"/>
    <w:rsid w:val="00E1577A"/>
    <w:rsid w:val="00E1611F"/>
    <w:rsid w:val="00E174C5"/>
    <w:rsid w:val="00E2108A"/>
    <w:rsid w:val="00E21F61"/>
    <w:rsid w:val="00E24EB4"/>
    <w:rsid w:val="00E27883"/>
    <w:rsid w:val="00E30F1E"/>
    <w:rsid w:val="00E312AD"/>
    <w:rsid w:val="00E320ED"/>
    <w:rsid w:val="00E32B0F"/>
    <w:rsid w:val="00E334A4"/>
    <w:rsid w:val="00E33AFB"/>
    <w:rsid w:val="00E33B51"/>
    <w:rsid w:val="00E341E8"/>
    <w:rsid w:val="00E34218"/>
    <w:rsid w:val="00E36472"/>
    <w:rsid w:val="00E374CD"/>
    <w:rsid w:val="00E37BD4"/>
    <w:rsid w:val="00E40DB7"/>
    <w:rsid w:val="00E417CE"/>
    <w:rsid w:val="00E4220B"/>
    <w:rsid w:val="00E44594"/>
    <w:rsid w:val="00E45411"/>
    <w:rsid w:val="00E45D08"/>
    <w:rsid w:val="00E46282"/>
    <w:rsid w:val="00E474E8"/>
    <w:rsid w:val="00E47EA6"/>
    <w:rsid w:val="00E50627"/>
    <w:rsid w:val="00E5216E"/>
    <w:rsid w:val="00E5439A"/>
    <w:rsid w:val="00E54459"/>
    <w:rsid w:val="00E56F72"/>
    <w:rsid w:val="00E60F8C"/>
    <w:rsid w:val="00E61DB4"/>
    <w:rsid w:val="00E63B5A"/>
    <w:rsid w:val="00E64357"/>
    <w:rsid w:val="00E6716B"/>
    <w:rsid w:val="00E705A1"/>
    <w:rsid w:val="00E71E6A"/>
    <w:rsid w:val="00E74E20"/>
    <w:rsid w:val="00E75886"/>
    <w:rsid w:val="00E7605A"/>
    <w:rsid w:val="00E76E37"/>
    <w:rsid w:val="00E771CA"/>
    <w:rsid w:val="00E82344"/>
    <w:rsid w:val="00E838B5"/>
    <w:rsid w:val="00E83B60"/>
    <w:rsid w:val="00E84C82"/>
    <w:rsid w:val="00E84D64"/>
    <w:rsid w:val="00E86CC3"/>
    <w:rsid w:val="00E87408"/>
    <w:rsid w:val="00E87B8A"/>
    <w:rsid w:val="00E914C4"/>
    <w:rsid w:val="00E916DE"/>
    <w:rsid w:val="00E934F5"/>
    <w:rsid w:val="00E94B77"/>
    <w:rsid w:val="00E94C83"/>
    <w:rsid w:val="00E95158"/>
    <w:rsid w:val="00E95BD2"/>
    <w:rsid w:val="00E96961"/>
    <w:rsid w:val="00E96EDC"/>
    <w:rsid w:val="00EA02F4"/>
    <w:rsid w:val="00EA1160"/>
    <w:rsid w:val="00EA1486"/>
    <w:rsid w:val="00EA2EA6"/>
    <w:rsid w:val="00EA3DFF"/>
    <w:rsid w:val="00EA4F92"/>
    <w:rsid w:val="00EA5033"/>
    <w:rsid w:val="00EA72EC"/>
    <w:rsid w:val="00EB0B3B"/>
    <w:rsid w:val="00EB11CB"/>
    <w:rsid w:val="00EB1A94"/>
    <w:rsid w:val="00EB275A"/>
    <w:rsid w:val="00EB2C20"/>
    <w:rsid w:val="00EB4974"/>
    <w:rsid w:val="00EB5293"/>
    <w:rsid w:val="00EB786A"/>
    <w:rsid w:val="00EB7E9F"/>
    <w:rsid w:val="00EC1578"/>
    <w:rsid w:val="00EC1C72"/>
    <w:rsid w:val="00EC3CC9"/>
    <w:rsid w:val="00EC4C22"/>
    <w:rsid w:val="00EC680A"/>
    <w:rsid w:val="00ED2BE0"/>
    <w:rsid w:val="00ED4A6D"/>
    <w:rsid w:val="00ED5BA6"/>
    <w:rsid w:val="00ED7FE5"/>
    <w:rsid w:val="00EE1B57"/>
    <w:rsid w:val="00EE2BED"/>
    <w:rsid w:val="00EE374B"/>
    <w:rsid w:val="00EE4D8A"/>
    <w:rsid w:val="00EE4DBC"/>
    <w:rsid w:val="00EE513F"/>
    <w:rsid w:val="00EE6A28"/>
    <w:rsid w:val="00EF0D11"/>
    <w:rsid w:val="00EF13FC"/>
    <w:rsid w:val="00EF22A4"/>
    <w:rsid w:val="00EF491A"/>
    <w:rsid w:val="00EF67A1"/>
    <w:rsid w:val="00F0202A"/>
    <w:rsid w:val="00F03428"/>
    <w:rsid w:val="00F06896"/>
    <w:rsid w:val="00F07512"/>
    <w:rsid w:val="00F11004"/>
    <w:rsid w:val="00F11BB5"/>
    <w:rsid w:val="00F11E54"/>
    <w:rsid w:val="00F12426"/>
    <w:rsid w:val="00F13136"/>
    <w:rsid w:val="00F1417B"/>
    <w:rsid w:val="00F143B5"/>
    <w:rsid w:val="00F17616"/>
    <w:rsid w:val="00F21A97"/>
    <w:rsid w:val="00F22BBD"/>
    <w:rsid w:val="00F23A0E"/>
    <w:rsid w:val="00F25340"/>
    <w:rsid w:val="00F2730F"/>
    <w:rsid w:val="00F278FD"/>
    <w:rsid w:val="00F32602"/>
    <w:rsid w:val="00F33F2E"/>
    <w:rsid w:val="00F34B99"/>
    <w:rsid w:val="00F4043C"/>
    <w:rsid w:val="00F41B88"/>
    <w:rsid w:val="00F42924"/>
    <w:rsid w:val="00F42ABE"/>
    <w:rsid w:val="00F44733"/>
    <w:rsid w:val="00F45570"/>
    <w:rsid w:val="00F458EC"/>
    <w:rsid w:val="00F4765C"/>
    <w:rsid w:val="00F51033"/>
    <w:rsid w:val="00F51F97"/>
    <w:rsid w:val="00F52DAB"/>
    <w:rsid w:val="00F537D7"/>
    <w:rsid w:val="00F53839"/>
    <w:rsid w:val="00F543F0"/>
    <w:rsid w:val="00F54482"/>
    <w:rsid w:val="00F54D4F"/>
    <w:rsid w:val="00F56AB8"/>
    <w:rsid w:val="00F57276"/>
    <w:rsid w:val="00F61861"/>
    <w:rsid w:val="00F63941"/>
    <w:rsid w:val="00F63BF6"/>
    <w:rsid w:val="00F645E0"/>
    <w:rsid w:val="00F64CE2"/>
    <w:rsid w:val="00F65922"/>
    <w:rsid w:val="00F677FE"/>
    <w:rsid w:val="00F73C3A"/>
    <w:rsid w:val="00F76BCE"/>
    <w:rsid w:val="00F81D29"/>
    <w:rsid w:val="00F81F55"/>
    <w:rsid w:val="00F8318B"/>
    <w:rsid w:val="00F85A07"/>
    <w:rsid w:val="00F87226"/>
    <w:rsid w:val="00F90271"/>
    <w:rsid w:val="00F90E35"/>
    <w:rsid w:val="00F912C9"/>
    <w:rsid w:val="00F9173C"/>
    <w:rsid w:val="00F91988"/>
    <w:rsid w:val="00F91C4D"/>
    <w:rsid w:val="00F92FD9"/>
    <w:rsid w:val="00F939A7"/>
    <w:rsid w:val="00F956F0"/>
    <w:rsid w:val="00F97B3C"/>
    <w:rsid w:val="00F97C05"/>
    <w:rsid w:val="00F97F05"/>
    <w:rsid w:val="00FA018C"/>
    <w:rsid w:val="00FA162E"/>
    <w:rsid w:val="00FA2492"/>
    <w:rsid w:val="00FA308B"/>
    <w:rsid w:val="00FA3C77"/>
    <w:rsid w:val="00FA4217"/>
    <w:rsid w:val="00FA4B1C"/>
    <w:rsid w:val="00FA64B5"/>
    <w:rsid w:val="00FA6684"/>
    <w:rsid w:val="00FA6A60"/>
    <w:rsid w:val="00FA731E"/>
    <w:rsid w:val="00FA74F7"/>
    <w:rsid w:val="00FB197F"/>
    <w:rsid w:val="00FB2B38"/>
    <w:rsid w:val="00FB2C1B"/>
    <w:rsid w:val="00FB34F1"/>
    <w:rsid w:val="00FB478E"/>
    <w:rsid w:val="00FB59B7"/>
    <w:rsid w:val="00FB6434"/>
    <w:rsid w:val="00FB6F7F"/>
    <w:rsid w:val="00FB709E"/>
    <w:rsid w:val="00FB7D44"/>
    <w:rsid w:val="00FB7FF3"/>
    <w:rsid w:val="00FC086C"/>
    <w:rsid w:val="00FC25AB"/>
    <w:rsid w:val="00FC52E7"/>
    <w:rsid w:val="00FC5A19"/>
    <w:rsid w:val="00FC6358"/>
    <w:rsid w:val="00FC7BB4"/>
    <w:rsid w:val="00FC7C79"/>
    <w:rsid w:val="00FC7D65"/>
    <w:rsid w:val="00FD0F1C"/>
    <w:rsid w:val="00FD1377"/>
    <w:rsid w:val="00FD2F9C"/>
    <w:rsid w:val="00FD320D"/>
    <w:rsid w:val="00FD345E"/>
    <w:rsid w:val="00FD3A65"/>
    <w:rsid w:val="00FD41DA"/>
    <w:rsid w:val="00FD6CA9"/>
    <w:rsid w:val="00FE23DE"/>
    <w:rsid w:val="00FE2FEB"/>
    <w:rsid w:val="00FE3D56"/>
    <w:rsid w:val="00FE4873"/>
    <w:rsid w:val="00FE7BDF"/>
    <w:rsid w:val="00FF06B6"/>
    <w:rsid w:val="00FF1034"/>
    <w:rsid w:val="00FF34A5"/>
    <w:rsid w:val="00FF4E63"/>
    <w:rsid w:val="00FF7C65"/>
    <w:rsid w:val="68F70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0"/>
    <w:qFormat/>
    <w:uiPriority w:val="0"/>
    <w:pPr>
      <w:keepNext/>
      <w:keepLines/>
      <w:spacing w:before="340" w:after="330" w:line="578" w:lineRule="auto"/>
      <w:outlineLvl w:val="0"/>
    </w:pPr>
    <w:rPr>
      <w:b/>
      <w:bCs/>
      <w:kern w:val="44"/>
      <w:sz w:val="44"/>
      <w:szCs w:val="44"/>
    </w:rPr>
  </w:style>
  <w:style w:type="character" w:default="1" w:styleId="35">
    <w:name w:val="Default Paragraph Font"/>
    <w:semiHidden/>
    <w:unhideWhenUsed/>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qFormat/>
    <w:uiPriority w:val="39"/>
    <w:pPr>
      <w:tabs>
        <w:tab w:val="right" w:leader="dot" w:pos="9241"/>
      </w:tabs>
      <w:ind w:firstLine="500" w:firstLineChars="500"/>
      <w:jc w:val="left"/>
    </w:pPr>
    <w:rPr>
      <w:rFonts w:ascii="宋体"/>
      <w:szCs w:val="21"/>
    </w:rPr>
  </w:style>
  <w:style w:type="paragraph" w:styleId="4">
    <w:name w:val="index 8"/>
    <w:basedOn w:val="1"/>
    <w:next w:val="1"/>
    <w:qFormat/>
    <w:uiPriority w:val="0"/>
    <w:pPr>
      <w:ind w:left="1680" w:hanging="210"/>
      <w:jc w:val="left"/>
    </w:pPr>
    <w:rPr>
      <w:rFonts w:ascii="Calibri" w:hAnsi="Calibri"/>
      <w:sz w:val="20"/>
      <w:szCs w:val="20"/>
    </w:rPr>
  </w:style>
  <w:style w:type="paragraph" w:styleId="5">
    <w:name w:val="caption"/>
    <w:basedOn w:val="1"/>
    <w:next w:val="1"/>
    <w:qFormat/>
    <w:uiPriority w:val="0"/>
    <w:pPr>
      <w:spacing w:before="152" w:after="160"/>
    </w:pPr>
    <w:rPr>
      <w:rFonts w:ascii="Arial" w:hAnsi="Arial" w:eastAsia="黑体" w:cs="Arial"/>
      <w:sz w:val="20"/>
      <w:szCs w:val="20"/>
    </w:rPr>
  </w:style>
  <w:style w:type="paragraph" w:styleId="6">
    <w:name w:val="index 5"/>
    <w:basedOn w:val="1"/>
    <w:next w:val="1"/>
    <w:qFormat/>
    <w:uiPriority w:val="0"/>
    <w:pPr>
      <w:ind w:left="1050" w:hanging="210"/>
      <w:jc w:val="left"/>
    </w:pPr>
    <w:rPr>
      <w:rFonts w:ascii="Calibri" w:hAnsi="Calibri"/>
      <w:sz w:val="20"/>
      <w:szCs w:val="20"/>
    </w:rPr>
  </w:style>
  <w:style w:type="paragraph" w:styleId="7">
    <w:name w:val="Document Map"/>
    <w:basedOn w:val="1"/>
    <w:semiHidden/>
    <w:qFormat/>
    <w:uiPriority w:val="0"/>
    <w:pPr>
      <w:shd w:val="clear" w:color="auto" w:fill="000080"/>
    </w:pPr>
  </w:style>
  <w:style w:type="paragraph" w:styleId="8">
    <w:name w:val="annotation text"/>
    <w:basedOn w:val="1"/>
    <w:link w:val="147"/>
    <w:qFormat/>
    <w:uiPriority w:val="0"/>
    <w:pPr>
      <w:jc w:val="left"/>
    </w:pPr>
  </w:style>
  <w:style w:type="paragraph" w:styleId="9">
    <w:name w:val="index 6"/>
    <w:basedOn w:val="1"/>
    <w:next w:val="1"/>
    <w:qFormat/>
    <w:uiPriority w:val="0"/>
    <w:pPr>
      <w:ind w:left="1260" w:hanging="210"/>
      <w:jc w:val="left"/>
    </w:pPr>
    <w:rPr>
      <w:rFonts w:ascii="Calibri" w:hAnsi="Calibri"/>
      <w:sz w:val="20"/>
      <w:szCs w:val="20"/>
    </w:rPr>
  </w:style>
  <w:style w:type="paragraph" w:styleId="10">
    <w:name w:val="index 4"/>
    <w:basedOn w:val="1"/>
    <w:next w:val="1"/>
    <w:qFormat/>
    <w:uiPriority w:val="0"/>
    <w:pPr>
      <w:ind w:left="840" w:hanging="210"/>
      <w:jc w:val="left"/>
    </w:pPr>
    <w:rPr>
      <w:rFonts w:ascii="Calibri" w:hAnsi="Calibri"/>
      <w:sz w:val="20"/>
      <w:szCs w:val="20"/>
    </w:rPr>
  </w:style>
  <w:style w:type="paragraph" w:styleId="11">
    <w:name w:val="toc 5"/>
    <w:basedOn w:val="1"/>
    <w:next w:val="1"/>
    <w:qFormat/>
    <w:uiPriority w:val="39"/>
    <w:pPr>
      <w:tabs>
        <w:tab w:val="right" w:leader="dot" w:pos="9241"/>
      </w:tabs>
      <w:ind w:firstLine="300" w:firstLineChars="300"/>
      <w:jc w:val="left"/>
    </w:pPr>
    <w:rPr>
      <w:rFonts w:ascii="宋体"/>
      <w:szCs w:val="21"/>
    </w:rPr>
  </w:style>
  <w:style w:type="paragraph" w:styleId="12">
    <w:name w:val="toc 3"/>
    <w:basedOn w:val="1"/>
    <w:next w:val="1"/>
    <w:qFormat/>
    <w:uiPriority w:val="39"/>
    <w:pPr>
      <w:tabs>
        <w:tab w:val="right" w:leader="dot" w:pos="9241"/>
      </w:tabs>
      <w:ind w:firstLine="100" w:firstLineChars="100"/>
      <w:jc w:val="left"/>
    </w:pPr>
    <w:rPr>
      <w:rFonts w:ascii="宋体"/>
      <w:szCs w:val="21"/>
    </w:rPr>
  </w:style>
  <w:style w:type="paragraph" w:styleId="13">
    <w:name w:val="toc 8"/>
    <w:basedOn w:val="1"/>
    <w:next w:val="1"/>
    <w:qFormat/>
    <w:uiPriority w:val="39"/>
    <w:pPr>
      <w:tabs>
        <w:tab w:val="right" w:leader="dot" w:pos="9241"/>
      </w:tabs>
      <w:ind w:firstLine="607" w:firstLineChars="600"/>
      <w:jc w:val="left"/>
    </w:pPr>
    <w:rPr>
      <w:rFonts w:ascii="宋体"/>
      <w:szCs w:val="21"/>
    </w:rPr>
  </w:style>
  <w:style w:type="paragraph" w:styleId="14">
    <w:name w:val="index 3"/>
    <w:basedOn w:val="1"/>
    <w:next w:val="1"/>
    <w:qFormat/>
    <w:uiPriority w:val="0"/>
    <w:pPr>
      <w:ind w:left="630" w:hanging="210"/>
      <w:jc w:val="left"/>
    </w:pPr>
    <w:rPr>
      <w:rFonts w:ascii="Calibri" w:hAnsi="Calibri"/>
      <w:sz w:val="20"/>
      <w:szCs w:val="20"/>
    </w:rPr>
  </w:style>
  <w:style w:type="paragraph" w:styleId="15">
    <w:name w:val="endnote text"/>
    <w:basedOn w:val="1"/>
    <w:semiHidden/>
    <w:qFormat/>
    <w:uiPriority w:val="0"/>
    <w:pPr>
      <w:snapToGrid w:val="0"/>
      <w:jc w:val="left"/>
    </w:pPr>
  </w:style>
  <w:style w:type="paragraph" w:styleId="16">
    <w:name w:val="Balloon Text"/>
    <w:basedOn w:val="1"/>
    <w:link w:val="146"/>
    <w:qFormat/>
    <w:uiPriority w:val="0"/>
    <w:rPr>
      <w:sz w:val="18"/>
      <w:szCs w:val="18"/>
    </w:rPr>
  </w:style>
  <w:style w:type="paragraph" w:styleId="17">
    <w:name w:val="footer"/>
    <w:basedOn w:val="1"/>
    <w:link w:val="140"/>
    <w:uiPriority w:val="99"/>
    <w:pPr>
      <w:snapToGrid w:val="0"/>
      <w:ind w:right="210" w:rightChars="100"/>
      <w:jc w:val="right"/>
    </w:pPr>
    <w:rPr>
      <w:sz w:val="18"/>
      <w:szCs w:val="18"/>
      <w:lang w:val="zh-CN" w:eastAsia="zh-CN"/>
    </w:rPr>
  </w:style>
  <w:style w:type="paragraph" w:styleId="18">
    <w:name w:val="header"/>
    <w:basedOn w:val="1"/>
    <w:qFormat/>
    <w:uiPriority w:val="0"/>
    <w:pPr>
      <w:snapToGrid w:val="0"/>
      <w:jc w:val="left"/>
    </w:pPr>
    <w:rPr>
      <w:sz w:val="18"/>
      <w:szCs w:val="18"/>
    </w:rPr>
  </w:style>
  <w:style w:type="paragraph" w:styleId="19">
    <w:name w:val="toc 1"/>
    <w:basedOn w:val="1"/>
    <w:next w:val="1"/>
    <w:uiPriority w:val="39"/>
    <w:pPr>
      <w:tabs>
        <w:tab w:val="right" w:leader="dot" w:pos="9242"/>
      </w:tabs>
      <w:spacing w:before="78" w:beforeLines="25" w:after="78" w:afterLines="25"/>
      <w:jc w:val="left"/>
    </w:pPr>
    <w:rPr>
      <w:rFonts w:ascii="宋体"/>
      <w:szCs w:val="21"/>
    </w:rPr>
  </w:style>
  <w:style w:type="paragraph" w:styleId="20">
    <w:name w:val="toc 4"/>
    <w:basedOn w:val="1"/>
    <w:next w:val="1"/>
    <w:qFormat/>
    <w:uiPriority w:val="39"/>
    <w:pPr>
      <w:tabs>
        <w:tab w:val="right" w:leader="dot" w:pos="9241"/>
      </w:tabs>
      <w:ind w:firstLine="200" w:firstLineChars="200"/>
      <w:jc w:val="left"/>
    </w:pPr>
    <w:rPr>
      <w:rFonts w:ascii="宋体"/>
      <w:szCs w:val="21"/>
    </w:rPr>
  </w:style>
  <w:style w:type="paragraph" w:styleId="21">
    <w:name w:val="index heading"/>
    <w:basedOn w:val="1"/>
    <w:next w:val="22"/>
    <w:qFormat/>
    <w:uiPriority w:val="0"/>
    <w:pPr>
      <w:spacing w:before="120" w:after="120"/>
      <w:jc w:val="center"/>
    </w:pPr>
    <w:rPr>
      <w:rFonts w:ascii="Calibri" w:hAnsi="Calibri"/>
      <w:b/>
      <w:bCs/>
      <w:iCs/>
      <w:szCs w:val="20"/>
    </w:rPr>
  </w:style>
  <w:style w:type="paragraph" w:styleId="22">
    <w:name w:val="index 1"/>
    <w:basedOn w:val="1"/>
    <w:next w:val="23"/>
    <w:qFormat/>
    <w:uiPriority w:val="0"/>
    <w:pPr>
      <w:tabs>
        <w:tab w:val="right" w:leader="dot" w:pos="9299"/>
      </w:tabs>
      <w:jc w:val="left"/>
    </w:pPr>
    <w:rPr>
      <w:rFonts w:ascii="宋体"/>
      <w:szCs w:val="21"/>
    </w:rPr>
  </w:style>
  <w:style w:type="paragraph" w:customStyle="1" w:styleId="23">
    <w:name w:val="段"/>
    <w:link w:val="4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4">
    <w:name w:val="footnote text"/>
    <w:basedOn w:val="1"/>
    <w:uiPriority w:val="0"/>
    <w:pPr>
      <w:numPr>
        <w:ilvl w:val="0"/>
        <w:numId w:val="1"/>
      </w:numPr>
      <w:snapToGrid w:val="0"/>
      <w:jc w:val="left"/>
    </w:pPr>
    <w:rPr>
      <w:rFonts w:ascii="宋体"/>
      <w:sz w:val="18"/>
      <w:szCs w:val="18"/>
    </w:rPr>
  </w:style>
  <w:style w:type="paragraph" w:styleId="25">
    <w:name w:val="toc 6"/>
    <w:basedOn w:val="1"/>
    <w:next w:val="1"/>
    <w:qFormat/>
    <w:uiPriority w:val="39"/>
    <w:pPr>
      <w:tabs>
        <w:tab w:val="right" w:leader="dot" w:pos="9241"/>
      </w:tabs>
      <w:ind w:firstLine="400" w:firstLineChars="400"/>
      <w:jc w:val="left"/>
    </w:pPr>
    <w:rPr>
      <w:rFonts w:ascii="宋体"/>
      <w:szCs w:val="21"/>
    </w:rPr>
  </w:style>
  <w:style w:type="paragraph" w:styleId="26">
    <w:name w:val="index 7"/>
    <w:basedOn w:val="1"/>
    <w:next w:val="1"/>
    <w:qFormat/>
    <w:uiPriority w:val="0"/>
    <w:pPr>
      <w:ind w:left="1470" w:hanging="210"/>
      <w:jc w:val="left"/>
    </w:pPr>
    <w:rPr>
      <w:rFonts w:ascii="Calibri" w:hAnsi="Calibri"/>
      <w:sz w:val="20"/>
      <w:szCs w:val="20"/>
    </w:rPr>
  </w:style>
  <w:style w:type="paragraph" w:styleId="27">
    <w:name w:val="index 9"/>
    <w:basedOn w:val="1"/>
    <w:next w:val="1"/>
    <w:qFormat/>
    <w:uiPriority w:val="0"/>
    <w:pPr>
      <w:ind w:left="1890" w:hanging="210"/>
      <w:jc w:val="left"/>
    </w:pPr>
    <w:rPr>
      <w:rFonts w:ascii="Calibri" w:hAnsi="Calibri"/>
      <w:sz w:val="20"/>
      <w:szCs w:val="20"/>
    </w:rPr>
  </w:style>
  <w:style w:type="paragraph" w:styleId="28">
    <w:name w:val="toc 2"/>
    <w:basedOn w:val="1"/>
    <w:next w:val="1"/>
    <w:qFormat/>
    <w:uiPriority w:val="39"/>
    <w:pPr>
      <w:tabs>
        <w:tab w:val="right" w:leader="dot" w:pos="9242"/>
      </w:tabs>
    </w:pPr>
    <w:rPr>
      <w:rFonts w:ascii="宋体"/>
      <w:szCs w:val="21"/>
    </w:rPr>
  </w:style>
  <w:style w:type="paragraph" w:styleId="29">
    <w:name w:val="toc 9"/>
    <w:basedOn w:val="1"/>
    <w:next w:val="1"/>
    <w:qFormat/>
    <w:uiPriority w:val="39"/>
    <w:pPr>
      <w:ind w:left="1470"/>
      <w:jc w:val="left"/>
    </w:pPr>
    <w:rPr>
      <w:sz w:val="20"/>
      <w:szCs w:val="20"/>
    </w:rPr>
  </w:style>
  <w:style w:type="paragraph" w:styleId="3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1">
    <w:name w:val="index 2"/>
    <w:basedOn w:val="1"/>
    <w:next w:val="1"/>
    <w:qFormat/>
    <w:uiPriority w:val="0"/>
    <w:pPr>
      <w:ind w:left="420" w:hanging="210"/>
      <w:jc w:val="left"/>
    </w:pPr>
    <w:rPr>
      <w:rFonts w:ascii="Calibri" w:hAnsi="Calibri"/>
      <w:sz w:val="20"/>
      <w:szCs w:val="20"/>
    </w:rPr>
  </w:style>
  <w:style w:type="paragraph" w:styleId="32">
    <w:name w:val="annotation subject"/>
    <w:basedOn w:val="8"/>
    <w:next w:val="8"/>
    <w:link w:val="148"/>
    <w:qFormat/>
    <w:uiPriority w:val="0"/>
    <w:rPr>
      <w:b/>
      <w:bCs/>
    </w:rPr>
  </w:style>
  <w:style w:type="table" w:styleId="34">
    <w:name w:val="Table Grid"/>
    <w:basedOn w:val="33"/>
    <w:qFormat/>
    <w:uiPriority w:val="3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6">
    <w:name w:val="endnote reference"/>
    <w:semiHidden/>
    <w:qFormat/>
    <w:uiPriority w:val="0"/>
    <w:rPr>
      <w:vertAlign w:val="superscript"/>
    </w:rPr>
  </w:style>
  <w:style w:type="character" w:styleId="37">
    <w:name w:val="page number"/>
    <w:qFormat/>
    <w:uiPriority w:val="0"/>
    <w:rPr>
      <w:rFonts w:ascii="Times New Roman" w:hAnsi="Times New Roman" w:eastAsia="宋体"/>
      <w:sz w:val="18"/>
    </w:rPr>
  </w:style>
  <w:style w:type="character" w:styleId="38">
    <w:name w:val="Hyperlink"/>
    <w:qFormat/>
    <w:uiPriority w:val="99"/>
    <w:rPr>
      <w:color w:val="0000FF"/>
      <w:spacing w:val="0"/>
      <w:w w:val="100"/>
      <w:szCs w:val="21"/>
      <w:u w:val="single"/>
    </w:rPr>
  </w:style>
  <w:style w:type="character" w:styleId="39">
    <w:name w:val="annotation reference"/>
    <w:qFormat/>
    <w:uiPriority w:val="0"/>
    <w:rPr>
      <w:sz w:val="21"/>
      <w:szCs w:val="21"/>
    </w:rPr>
  </w:style>
  <w:style w:type="character" w:styleId="40">
    <w:name w:val="footnote reference"/>
    <w:semiHidden/>
    <w:qFormat/>
    <w:uiPriority w:val="0"/>
    <w:rPr>
      <w:vertAlign w:val="superscript"/>
    </w:rPr>
  </w:style>
  <w:style w:type="character" w:customStyle="1" w:styleId="41">
    <w:name w:val="段 Char"/>
    <w:link w:val="23"/>
    <w:qFormat/>
    <w:uiPriority w:val="0"/>
    <w:rPr>
      <w:rFonts w:ascii="宋体"/>
      <w:sz w:val="21"/>
      <w:lang w:val="en-US" w:eastAsia="zh-CN" w:bidi="ar-SA"/>
    </w:rPr>
  </w:style>
  <w:style w:type="paragraph" w:customStyle="1" w:styleId="42">
    <w:name w:val="一级条标题"/>
    <w:next w:val="23"/>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43">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4">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5">
    <w:name w:val="章标题"/>
    <w:next w:val="23"/>
    <w:qFormat/>
    <w:uiPriority w:val="0"/>
    <w:pPr>
      <w:numPr>
        <w:ilvl w:val="0"/>
        <w:numId w:val="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6">
    <w:name w:val="二级条标题"/>
    <w:basedOn w:val="42"/>
    <w:next w:val="23"/>
    <w:qFormat/>
    <w:uiPriority w:val="0"/>
    <w:pPr>
      <w:numPr>
        <w:ilvl w:val="2"/>
      </w:numPr>
      <w:spacing w:before="50" w:after="50"/>
      <w:outlineLvl w:val="3"/>
    </w:pPr>
  </w:style>
  <w:style w:type="paragraph" w:customStyle="1" w:styleId="47">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48">
    <w:name w:val="列项——（一级）"/>
    <w:qFormat/>
    <w:uiPriority w:val="0"/>
    <w:pPr>
      <w:widowControl w:val="0"/>
      <w:numPr>
        <w:ilvl w:val="0"/>
        <w:numId w:val="3"/>
      </w:numPr>
      <w:jc w:val="both"/>
    </w:pPr>
    <w:rPr>
      <w:rFonts w:ascii="宋体" w:hAnsi="Times New Roman" w:eastAsia="宋体" w:cs="Times New Roman"/>
      <w:sz w:val="21"/>
      <w:lang w:val="en-US" w:eastAsia="zh-CN" w:bidi="ar-SA"/>
    </w:rPr>
  </w:style>
  <w:style w:type="paragraph" w:customStyle="1" w:styleId="49">
    <w:name w:val="列项●（二级）"/>
    <w:uiPriority w:val="0"/>
    <w:pPr>
      <w:numPr>
        <w:ilvl w:val="1"/>
        <w:numId w:val="3"/>
      </w:numPr>
      <w:tabs>
        <w:tab w:val="left" w:pos="840"/>
      </w:tabs>
      <w:jc w:val="both"/>
    </w:pPr>
    <w:rPr>
      <w:rFonts w:ascii="宋体" w:hAnsi="Times New Roman" w:eastAsia="宋体" w:cs="Times New Roman"/>
      <w:sz w:val="21"/>
      <w:lang w:val="en-US" w:eastAsia="zh-CN" w:bidi="ar-SA"/>
    </w:rPr>
  </w:style>
  <w:style w:type="paragraph" w:customStyle="1" w:styleId="50">
    <w:name w:val="目次、标准名称标题"/>
    <w:basedOn w:val="1"/>
    <w:next w:val="23"/>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51">
    <w:name w:val="三级条标题"/>
    <w:basedOn w:val="46"/>
    <w:next w:val="23"/>
    <w:qFormat/>
    <w:uiPriority w:val="0"/>
    <w:pPr>
      <w:numPr>
        <w:ilvl w:val="3"/>
      </w:numPr>
      <w:outlineLvl w:val="4"/>
    </w:pPr>
  </w:style>
  <w:style w:type="paragraph" w:customStyle="1" w:styleId="52">
    <w:name w:val="示例"/>
    <w:next w:val="53"/>
    <w:qFormat/>
    <w:uiPriority w:val="0"/>
    <w:pPr>
      <w:widowControl w:val="0"/>
      <w:numPr>
        <w:ilvl w:val="0"/>
        <w:numId w:val="4"/>
      </w:numPr>
      <w:jc w:val="both"/>
    </w:pPr>
    <w:rPr>
      <w:rFonts w:ascii="宋体" w:hAnsi="Times New Roman" w:eastAsia="宋体" w:cs="Times New Roman"/>
      <w:sz w:val="18"/>
      <w:szCs w:val="18"/>
      <w:lang w:val="en-US" w:eastAsia="zh-CN" w:bidi="ar-SA"/>
    </w:rPr>
  </w:style>
  <w:style w:type="paragraph" w:customStyle="1" w:styleId="53">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54">
    <w:name w:val="数字编号列项（二级）"/>
    <w:qFormat/>
    <w:uiPriority w:val="0"/>
    <w:pPr>
      <w:numPr>
        <w:ilvl w:val="1"/>
        <w:numId w:val="5"/>
      </w:numPr>
      <w:jc w:val="both"/>
    </w:pPr>
    <w:rPr>
      <w:rFonts w:ascii="宋体" w:hAnsi="Times New Roman" w:eastAsia="宋体" w:cs="Times New Roman"/>
      <w:sz w:val="21"/>
      <w:lang w:val="en-US" w:eastAsia="zh-CN" w:bidi="ar-SA"/>
    </w:rPr>
  </w:style>
  <w:style w:type="paragraph" w:customStyle="1" w:styleId="55">
    <w:name w:val="四级条标题"/>
    <w:basedOn w:val="51"/>
    <w:next w:val="23"/>
    <w:qFormat/>
    <w:uiPriority w:val="0"/>
    <w:pPr>
      <w:numPr>
        <w:ilvl w:val="4"/>
      </w:numPr>
      <w:outlineLvl w:val="5"/>
    </w:pPr>
  </w:style>
  <w:style w:type="paragraph" w:customStyle="1" w:styleId="56">
    <w:name w:val="五级条标题"/>
    <w:basedOn w:val="55"/>
    <w:next w:val="23"/>
    <w:qFormat/>
    <w:uiPriority w:val="0"/>
    <w:pPr>
      <w:numPr>
        <w:ilvl w:val="5"/>
      </w:numPr>
      <w:outlineLvl w:val="6"/>
    </w:pPr>
  </w:style>
  <w:style w:type="paragraph" w:customStyle="1" w:styleId="57">
    <w:name w:val="注："/>
    <w:next w:val="23"/>
    <w:uiPriority w:val="0"/>
    <w:pPr>
      <w:widowControl w:val="0"/>
      <w:numPr>
        <w:ilvl w:val="0"/>
        <w:numId w:val="6"/>
      </w:numPr>
      <w:autoSpaceDE w:val="0"/>
      <w:autoSpaceDN w:val="0"/>
      <w:jc w:val="both"/>
    </w:pPr>
    <w:rPr>
      <w:rFonts w:ascii="宋体" w:hAnsi="Times New Roman" w:eastAsia="宋体" w:cs="Times New Roman"/>
      <w:sz w:val="18"/>
      <w:szCs w:val="18"/>
      <w:lang w:val="en-US" w:eastAsia="zh-CN" w:bidi="ar-SA"/>
    </w:rPr>
  </w:style>
  <w:style w:type="paragraph" w:customStyle="1" w:styleId="58">
    <w:name w:val="注×："/>
    <w:qFormat/>
    <w:uiPriority w:val="0"/>
    <w:pPr>
      <w:widowControl w:val="0"/>
      <w:numPr>
        <w:ilvl w:val="0"/>
        <w:numId w:val="7"/>
      </w:numPr>
      <w:autoSpaceDE w:val="0"/>
      <w:autoSpaceDN w:val="0"/>
      <w:jc w:val="both"/>
    </w:pPr>
    <w:rPr>
      <w:rFonts w:ascii="宋体" w:hAnsi="Times New Roman" w:eastAsia="宋体" w:cs="Times New Roman"/>
      <w:sz w:val="18"/>
      <w:szCs w:val="18"/>
      <w:lang w:val="en-US" w:eastAsia="zh-CN" w:bidi="ar-SA"/>
    </w:rPr>
  </w:style>
  <w:style w:type="paragraph" w:customStyle="1" w:styleId="59">
    <w:name w:val="字母编号列项（一级）"/>
    <w:qFormat/>
    <w:uiPriority w:val="0"/>
    <w:pPr>
      <w:numPr>
        <w:ilvl w:val="0"/>
        <w:numId w:val="5"/>
      </w:numPr>
      <w:jc w:val="both"/>
    </w:pPr>
    <w:rPr>
      <w:rFonts w:ascii="宋体" w:hAnsi="Times New Roman" w:eastAsia="宋体" w:cs="Times New Roman"/>
      <w:sz w:val="21"/>
      <w:lang w:val="en-US" w:eastAsia="zh-CN" w:bidi="ar-SA"/>
    </w:rPr>
  </w:style>
  <w:style w:type="paragraph" w:customStyle="1" w:styleId="60">
    <w:name w:val="列项◆（三级）"/>
    <w:basedOn w:val="1"/>
    <w:qFormat/>
    <w:uiPriority w:val="0"/>
    <w:pPr>
      <w:numPr>
        <w:ilvl w:val="2"/>
        <w:numId w:val="3"/>
      </w:numPr>
    </w:pPr>
    <w:rPr>
      <w:rFonts w:ascii="宋体"/>
      <w:szCs w:val="21"/>
    </w:rPr>
  </w:style>
  <w:style w:type="paragraph" w:customStyle="1" w:styleId="61">
    <w:name w:val="编号列项（三级）"/>
    <w:qFormat/>
    <w:uiPriority w:val="0"/>
    <w:pPr>
      <w:numPr>
        <w:ilvl w:val="2"/>
        <w:numId w:val="5"/>
      </w:numPr>
    </w:pPr>
    <w:rPr>
      <w:rFonts w:ascii="宋体" w:hAnsi="Times New Roman" w:eastAsia="宋体" w:cs="Times New Roman"/>
      <w:sz w:val="21"/>
      <w:lang w:val="en-US" w:eastAsia="zh-CN" w:bidi="ar-SA"/>
    </w:rPr>
  </w:style>
  <w:style w:type="paragraph" w:customStyle="1" w:styleId="62">
    <w:name w:val="示例×："/>
    <w:basedOn w:val="45"/>
    <w:qFormat/>
    <w:uiPriority w:val="0"/>
    <w:pPr>
      <w:numPr>
        <w:numId w:val="8"/>
      </w:numPr>
      <w:spacing w:before="0" w:beforeLines="0" w:after="0" w:afterLines="0"/>
      <w:outlineLvl w:val="9"/>
    </w:pPr>
    <w:rPr>
      <w:rFonts w:ascii="宋体" w:eastAsia="宋体"/>
      <w:sz w:val="18"/>
      <w:szCs w:val="18"/>
    </w:rPr>
  </w:style>
  <w:style w:type="paragraph" w:customStyle="1" w:styleId="63">
    <w:name w:val="二级无"/>
    <w:basedOn w:val="46"/>
    <w:qFormat/>
    <w:uiPriority w:val="0"/>
    <w:pPr>
      <w:spacing w:before="0" w:beforeLines="0" w:after="0" w:afterLines="0"/>
    </w:pPr>
    <w:rPr>
      <w:rFonts w:ascii="宋体" w:eastAsia="宋体"/>
    </w:rPr>
  </w:style>
  <w:style w:type="paragraph" w:customStyle="1" w:styleId="64">
    <w:name w:val="注：（正文）"/>
    <w:basedOn w:val="57"/>
    <w:next w:val="23"/>
    <w:qFormat/>
    <w:uiPriority w:val="0"/>
  </w:style>
  <w:style w:type="paragraph" w:customStyle="1" w:styleId="65">
    <w:name w:val="注×：（正文）"/>
    <w:uiPriority w:val="0"/>
    <w:pPr>
      <w:numPr>
        <w:ilvl w:val="0"/>
        <w:numId w:val="9"/>
      </w:numPr>
      <w:jc w:val="both"/>
    </w:pPr>
    <w:rPr>
      <w:rFonts w:ascii="宋体" w:hAnsi="Times New Roman" w:eastAsia="宋体" w:cs="Times New Roman"/>
      <w:sz w:val="18"/>
      <w:szCs w:val="18"/>
      <w:lang w:val="en-US" w:eastAsia="zh-CN" w:bidi="ar-SA"/>
    </w:rPr>
  </w:style>
  <w:style w:type="paragraph" w:customStyle="1" w:styleId="66">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67">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68">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69">
    <w:name w:val="标准书眉_偶数页"/>
    <w:basedOn w:val="44"/>
    <w:next w:val="1"/>
    <w:uiPriority w:val="0"/>
    <w:pPr>
      <w:jc w:val="left"/>
    </w:pPr>
  </w:style>
  <w:style w:type="paragraph" w:customStyle="1" w:styleId="70">
    <w:name w:val="标准书眉一"/>
    <w:qFormat/>
    <w:uiPriority w:val="0"/>
    <w:pPr>
      <w:jc w:val="both"/>
    </w:pPr>
    <w:rPr>
      <w:rFonts w:ascii="Times New Roman" w:hAnsi="Times New Roman" w:eastAsia="宋体" w:cs="Times New Roman"/>
      <w:lang w:val="en-US" w:eastAsia="zh-CN" w:bidi="ar-SA"/>
    </w:rPr>
  </w:style>
  <w:style w:type="paragraph" w:customStyle="1" w:styleId="71">
    <w:name w:val="参考文献"/>
    <w:basedOn w:val="1"/>
    <w:next w:val="23"/>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72">
    <w:name w:val="参考文献、索引标题"/>
    <w:basedOn w:val="1"/>
    <w:next w:val="23"/>
    <w:uiPriority w:val="0"/>
    <w:pPr>
      <w:keepNext/>
      <w:pageBreakBefore/>
      <w:widowControl/>
      <w:shd w:val="clear" w:color="FFFFFF" w:fill="FFFFFF"/>
      <w:spacing w:before="640" w:after="200"/>
      <w:jc w:val="center"/>
      <w:outlineLvl w:val="0"/>
    </w:pPr>
    <w:rPr>
      <w:rFonts w:ascii="黑体" w:eastAsia="黑体"/>
      <w:kern w:val="0"/>
      <w:szCs w:val="20"/>
    </w:rPr>
  </w:style>
  <w:style w:type="character" w:customStyle="1" w:styleId="73">
    <w:name w:val="发布"/>
    <w:qFormat/>
    <w:uiPriority w:val="0"/>
    <w:rPr>
      <w:rFonts w:ascii="黑体" w:eastAsia="黑体"/>
      <w:spacing w:val="85"/>
      <w:w w:val="100"/>
      <w:position w:val="3"/>
      <w:sz w:val="28"/>
      <w:szCs w:val="28"/>
    </w:rPr>
  </w:style>
  <w:style w:type="paragraph" w:customStyle="1" w:styleId="74">
    <w:name w:val="发布部门"/>
    <w:next w:val="23"/>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75">
    <w:name w:val="发布日期"/>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76">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77">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8">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9">
    <w:name w:val="封面标准英文名称"/>
    <w:basedOn w:val="78"/>
    <w:qFormat/>
    <w:uiPriority w:val="0"/>
    <w:pPr>
      <w:framePr w:wrap="around"/>
      <w:spacing w:before="370" w:line="400" w:lineRule="exact"/>
    </w:pPr>
    <w:rPr>
      <w:rFonts w:ascii="Times New Roman"/>
      <w:sz w:val="28"/>
      <w:szCs w:val="28"/>
    </w:rPr>
  </w:style>
  <w:style w:type="paragraph" w:customStyle="1" w:styleId="80">
    <w:name w:val="封面一致性程度标识"/>
    <w:basedOn w:val="79"/>
    <w:qFormat/>
    <w:uiPriority w:val="0"/>
    <w:pPr>
      <w:framePr w:wrap="around"/>
      <w:spacing w:before="440"/>
    </w:pPr>
    <w:rPr>
      <w:rFonts w:ascii="宋体" w:eastAsia="宋体"/>
    </w:rPr>
  </w:style>
  <w:style w:type="paragraph" w:customStyle="1" w:styleId="81">
    <w:name w:val="封面标准文稿类别"/>
    <w:basedOn w:val="80"/>
    <w:qFormat/>
    <w:uiPriority w:val="0"/>
    <w:pPr>
      <w:framePr w:wrap="around"/>
      <w:spacing w:after="160" w:line="240" w:lineRule="auto"/>
    </w:pPr>
    <w:rPr>
      <w:sz w:val="24"/>
    </w:rPr>
  </w:style>
  <w:style w:type="paragraph" w:customStyle="1" w:styleId="82">
    <w:name w:val="封面标准文稿编辑信息"/>
    <w:basedOn w:val="81"/>
    <w:qFormat/>
    <w:uiPriority w:val="0"/>
    <w:pPr>
      <w:framePr w:wrap="around"/>
      <w:spacing w:before="180" w:line="180" w:lineRule="exact"/>
    </w:pPr>
    <w:rPr>
      <w:sz w:val="21"/>
    </w:rPr>
  </w:style>
  <w:style w:type="paragraph" w:customStyle="1" w:styleId="83">
    <w:name w:val="封面正文"/>
    <w:uiPriority w:val="0"/>
    <w:pPr>
      <w:jc w:val="both"/>
    </w:pPr>
    <w:rPr>
      <w:rFonts w:ascii="Times New Roman" w:hAnsi="Times New Roman" w:eastAsia="宋体" w:cs="Times New Roman"/>
      <w:lang w:val="en-US" w:eastAsia="zh-CN" w:bidi="ar-SA"/>
    </w:rPr>
  </w:style>
  <w:style w:type="paragraph" w:customStyle="1" w:styleId="84">
    <w:name w:val="附录标识"/>
    <w:basedOn w:val="1"/>
    <w:next w:val="23"/>
    <w:qFormat/>
    <w:uiPriority w:val="0"/>
    <w:pPr>
      <w:keepNext/>
      <w:widowControl/>
      <w:numPr>
        <w:ilvl w:val="0"/>
        <w:numId w:val="10"/>
      </w:numPr>
      <w:shd w:val="clear" w:color="FFFFFF" w:fill="FFFFFF"/>
      <w:tabs>
        <w:tab w:val="left" w:pos="360"/>
        <w:tab w:val="left" w:pos="6405"/>
      </w:tabs>
      <w:spacing w:before="640" w:after="280"/>
      <w:ind w:left="0"/>
      <w:jc w:val="center"/>
      <w:outlineLvl w:val="0"/>
    </w:pPr>
    <w:rPr>
      <w:rFonts w:ascii="黑体" w:eastAsia="黑体"/>
      <w:kern w:val="0"/>
      <w:szCs w:val="20"/>
    </w:rPr>
  </w:style>
  <w:style w:type="paragraph" w:customStyle="1" w:styleId="85">
    <w:name w:val="附录标题"/>
    <w:basedOn w:val="23"/>
    <w:next w:val="23"/>
    <w:qFormat/>
    <w:uiPriority w:val="0"/>
    <w:pPr>
      <w:ind w:firstLine="0" w:firstLineChars="0"/>
      <w:jc w:val="center"/>
    </w:pPr>
    <w:rPr>
      <w:rFonts w:ascii="黑体" w:eastAsia="黑体"/>
    </w:rPr>
  </w:style>
  <w:style w:type="paragraph" w:customStyle="1" w:styleId="86">
    <w:name w:val="附录表标号"/>
    <w:basedOn w:val="1"/>
    <w:next w:val="23"/>
    <w:uiPriority w:val="0"/>
    <w:pPr>
      <w:numPr>
        <w:ilvl w:val="0"/>
        <w:numId w:val="11"/>
      </w:numPr>
      <w:tabs>
        <w:tab w:val="clear" w:pos="0"/>
      </w:tabs>
      <w:spacing w:line="14" w:lineRule="exact"/>
      <w:ind w:left="811" w:hanging="448"/>
      <w:jc w:val="center"/>
      <w:outlineLvl w:val="0"/>
    </w:pPr>
    <w:rPr>
      <w:color w:val="FFFFFF"/>
    </w:rPr>
  </w:style>
  <w:style w:type="paragraph" w:customStyle="1" w:styleId="87">
    <w:name w:val="附录表标题"/>
    <w:basedOn w:val="1"/>
    <w:next w:val="23"/>
    <w:qFormat/>
    <w:uiPriority w:val="0"/>
    <w:pPr>
      <w:spacing w:before="50" w:beforeLines="50" w:after="50" w:afterLines="50"/>
      <w:jc w:val="center"/>
    </w:pPr>
    <w:rPr>
      <w:rFonts w:ascii="黑体" w:eastAsia="黑体"/>
      <w:szCs w:val="21"/>
    </w:rPr>
  </w:style>
  <w:style w:type="paragraph" w:customStyle="1" w:styleId="88">
    <w:name w:val="附录二级条标题"/>
    <w:basedOn w:val="1"/>
    <w:next w:val="23"/>
    <w:uiPriority w:val="0"/>
    <w:pPr>
      <w:widowControl/>
      <w:numPr>
        <w:ilvl w:val="3"/>
        <w:numId w:val="10"/>
      </w:numPr>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89">
    <w:name w:val="附录二级无"/>
    <w:basedOn w:val="88"/>
    <w:qFormat/>
    <w:uiPriority w:val="0"/>
    <w:pPr>
      <w:tabs>
        <w:tab w:val="clear" w:pos="360"/>
      </w:tabs>
      <w:spacing w:before="0" w:beforeLines="0" w:after="0" w:afterLines="0"/>
    </w:pPr>
    <w:rPr>
      <w:rFonts w:ascii="宋体" w:eastAsia="宋体"/>
      <w:szCs w:val="21"/>
    </w:rPr>
  </w:style>
  <w:style w:type="paragraph" w:customStyle="1" w:styleId="90">
    <w:name w:val="附录公式"/>
    <w:basedOn w:val="23"/>
    <w:next w:val="23"/>
    <w:link w:val="91"/>
    <w:qFormat/>
    <w:uiPriority w:val="0"/>
  </w:style>
  <w:style w:type="character" w:customStyle="1" w:styleId="91">
    <w:name w:val="附录公式 Char"/>
    <w:basedOn w:val="41"/>
    <w:link w:val="90"/>
    <w:qFormat/>
    <w:uiPriority w:val="0"/>
    <w:rPr>
      <w:rFonts w:ascii="宋体"/>
      <w:sz w:val="21"/>
      <w:lang w:val="en-US" w:eastAsia="zh-CN" w:bidi="ar-SA"/>
    </w:rPr>
  </w:style>
  <w:style w:type="paragraph" w:customStyle="1" w:styleId="92">
    <w:name w:val="附录公式编号制表符"/>
    <w:basedOn w:val="1"/>
    <w:next w:val="23"/>
    <w:qFormat/>
    <w:uiPriority w:val="0"/>
    <w:pPr>
      <w:widowControl/>
      <w:tabs>
        <w:tab w:val="center" w:pos="4201"/>
        <w:tab w:val="right" w:leader="dot" w:pos="9298"/>
      </w:tabs>
      <w:autoSpaceDE w:val="0"/>
      <w:autoSpaceDN w:val="0"/>
    </w:pPr>
    <w:rPr>
      <w:rFonts w:ascii="宋体"/>
      <w:kern w:val="0"/>
      <w:szCs w:val="20"/>
    </w:rPr>
  </w:style>
  <w:style w:type="paragraph" w:customStyle="1" w:styleId="93">
    <w:name w:val="附录三级条标题"/>
    <w:basedOn w:val="88"/>
    <w:next w:val="23"/>
    <w:uiPriority w:val="0"/>
    <w:pPr>
      <w:numPr>
        <w:ilvl w:val="4"/>
      </w:numPr>
      <w:outlineLvl w:val="4"/>
    </w:pPr>
  </w:style>
  <w:style w:type="paragraph" w:customStyle="1" w:styleId="94">
    <w:name w:val="附录三级无"/>
    <w:basedOn w:val="93"/>
    <w:uiPriority w:val="0"/>
    <w:pPr>
      <w:tabs>
        <w:tab w:val="clear" w:pos="360"/>
      </w:tabs>
      <w:spacing w:before="0" w:beforeLines="0" w:after="0" w:afterLines="0"/>
    </w:pPr>
    <w:rPr>
      <w:rFonts w:ascii="宋体" w:eastAsia="宋体"/>
      <w:szCs w:val="21"/>
    </w:rPr>
  </w:style>
  <w:style w:type="paragraph" w:customStyle="1" w:styleId="95">
    <w:name w:val="附录数字编号列项（二级）"/>
    <w:qFormat/>
    <w:uiPriority w:val="0"/>
    <w:pPr>
      <w:numPr>
        <w:ilvl w:val="1"/>
        <w:numId w:val="12"/>
      </w:numPr>
    </w:pPr>
    <w:rPr>
      <w:rFonts w:ascii="宋体" w:hAnsi="Times New Roman" w:eastAsia="宋体" w:cs="Times New Roman"/>
      <w:sz w:val="21"/>
      <w:lang w:val="en-US" w:eastAsia="zh-CN" w:bidi="ar-SA"/>
    </w:rPr>
  </w:style>
  <w:style w:type="paragraph" w:customStyle="1" w:styleId="96">
    <w:name w:val="附录四级条标题"/>
    <w:basedOn w:val="93"/>
    <w:next w:val="23"/>
    <w:qFormat/>
    <w:uiPriority w:val="0"/>
    <w:pPr>
      <w:numPr>
        <w:ilvl w:val="5"/>
      </w:numPr>
      <w:outlineLvl w:val="5"/>
    </w:pPr>
  </w:style>
  <w:style w:type="paragraph" w:customStyle="1" w:styleId="97">
    <w:name w:val="附录四级无"/>
    <w:basedOn w:val="96"/>
    <w:qFormat/>
    <w:uiPriority w:val="0"/>
    <w:pPr>
      <w:tabs>
        <w:tab w:val="clear" w:pos="360"/>
      </w:tabs>
      <w:spacing w:before="0" w:beforeLines="0" w:after="0" w:afterLines="0"/>
    </w:pPr>
    <w:rPr>
      <w:rFonts w:ascii="宋体" w:eastAsia="宋体"/>
      <w:szCs w:val="21"/>
    </w:rPr>
  </w:style>
  <w:style w:type="paragraph" w:customStyle="1" w:styleId="98">
    <w:name w:val="附录图标号"/>
    <w:basedOn w:val="1"/>
    <w:qFormat/>
    <w:uiPriority w:val="0"/>
    <w:pPr>
      <w:keepNext/>
      <w:pageBreakBefore/>
      <w:widowControl/>
      <w:numPr>
        <w:ilvl w:val="0"/>
        <w:numId w:val="13"/>
      </w:numPr>
      <w:spacing w:line="14" w:lineRule="exact"/>
      <w:ind w:left="0" w:firstLine="363"/>
      <w:jc w:val="center"/>
      <w:outlineLvl w:val="0"/>
    </w:pPr>
    <w:rPr>
      <w:color w:val="FFFFFF"/>
    </w:rPr>
  </w:style>
  <w:style w:type="paragraph" w:customStyle="1" w:styleId="99">
    <w:name w:val="附录图标题"/>
    <w:basedOn w:val="1"/>
    <w:next w:val="23"/>
    <w:qFormat/>
    <w:uiPriority w:val="0"/>
    <w:pPr>
      <w:numPr>
        <w:ilvl w:val="1"/>
        <w:numId w:val="13"/>
      </w:numPr>
      <w:tabs>
        <w:tab w:val="left" w:pos="363"/>
      </w:tabs>
      <w:spacing w:before="50" w:beforeLines="50" w:after="50" w:afterLines="50"/>
      <w:ind w:left="0" w:firstLine="0"/>
      <w:jc w:val="center"/>
    </w:pPr>
    <w:rPr>
      <w:rFonts w:ascii="黑体" w:eastAsia="黑体"/>
      <w:szCs w:val="21"/>
    </w:rPr>
  </w:style>
  <w:style w:type="paragraph" w:customStyle="1" w:styleId="100">
    <w:name w:val="附录五级条标题"/>
    <w:basedOn w:val="96"/>
    <w:next w:val="23"/>
    <w:qFormat/>
    <w:uiPriority w:val="0"/>
    <w:pPr>
      <w:numPr>
        <w:ilvl w:val="6"/>
      </w:numPr>
      <w:outlineLvl w:val="6"/>
    </w:pPr>
  </w:style>
  <w:style w:type="paragraph" w:customStyle="1" w:styleId="101">
    <w:name w:val="附录五级无"/>
    <w:basedOn w:val="100"/>
    <w:uiPriority w:val="0"/>
    <w:pPr>
      <w:tabs>
        <w:tab w:val="clear" w:pos="360"/>
      </w:tabs>
      <w:spacing w:before="0" w:beforeLines="0" w:after="0" w:afterLines="0"/>
    </w:pPr>
    <w:rPr>
      <w:rFonts w:ascii="宋体" w:eastAsia="宋体"/>
      <w:szCs w:val="21"/>
    </w:rPr>
  </w:style>
  <w:style w:type="paragraph" w:customStyle="1" w:styleId="102">
    <w:name w:val="附录章标题"/>
    <w:next w:val="23"/>
    <w:qFormat/>
    <w:uiPriority w:val="0"/>
    <w:pPr>
      <w:numPr>
        <w:ilvl w:val="1"/>
        <w:numId w:val="10"/>
      </w:numPr>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03">
    <w:name w:val="附录一级条标题"/>
    <w:basedOn w:val="102"/>
    <w:next w:val="23"/>
    <w:qFormat/>
    <w:uiPriority w:val="0"/>
    <w:pPr>
      <w:numPr>
        <w:ilvl w:val="2"/>
      </w:numPr>
      <w:autoSpaceDN w:val="0"/>
      <w:spacing w:before="50" w:beforeLines="50" w:after="50" w:afterLines="50"/>
      <w:outlineLvl w:val="2"/>
    </w:pPr>
  </w:style>
  <w:style w:type="paragraph" w:customStyle="1" w:styleId="104">
    <w:name w:val="附录一级无"/>
    <w:basedOn w:val="103"/>
    <w:uiPriority w:val="0"/>
    <w:pPr>
      <w:spacing w:before="0" w:beforeLines="0" w:after="0" w:afterLines="0"/>
    </w:pPr>
    <w:rPr>
      <w:rFonts w:ascii="宋体" w:eastAsia="宋体"/>
      <w:szCs w:val="21"/>
    </w:rPr>
  </w:style>
  <w:style w:type="paragraph" w:customStyle="1" w:styleId="105">
    <w:name w:val="附录字母编号列项（一级）"/>
    <w:qFormat/>
    <w:uiPriority w:val="0"/>
    <w:pPr>
      <w:numPr>
        <w:ilvl w:val="0"/>
        <w:numId w:val="12"/>
      </w:numPr>
    </w:pPr>
    <w:rPr>
      <w:rFonts w:ascii="宋体" w:hAnsi="Times New Roman" w:eastAsia="宋体" w:cs="Times New Roman"/>
      <w:sz w:val="21"/>
      <w:lang w:val="en-US" w:eastAsia="zh-CN" w:bidi="ar-SA"/>
    </w:rPr>
  </w:style>
  <w:style w:type="paragraph" w:customStyle="1" w:styleId="106">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07">
    <w:name w:val="列项说明数字编号"/>
    <w:uiPriority w:val="0"/>
    <w:pPr>
      <w:ind w:left="600" w:leftChars="400" w:hanging="200" w:hangingChars="200"/>
    </w:pPr>
    <w:rPr>
      <w:rFonts w:ascii="宋体" w:hAnsi="Times New Roman" w:eastAsia="宋体" w:cs="Times New Roman"/>
      <w:sz w:val="21"/>
      <w:lang w:val="en-US" w:eastAsia="zh-CN" w:bidi="ar-SA"/>
    </w:rPr>
  </w:style>
  <w:style w:type="paragraph" w:customStyle="1" w:styleId="108">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09">
    <w:name w:val="其他标准标志"/>
    <w:basedOn w:val="66"/>
    <w:qFormat/>
    <w:uiPriority w:val="0"/>
    <w:pPr>
      <w:framePr w:w="6101" w:wrap="around" w:vAnchor="page" w:hAnchor="page" w:x="4673" w:y="942"/>
    </w:pPr>
    <w:rPr>
      <w:w w:val="130"/>
    </w:rPr>
  </w:style>
  <w:style w:type="paragraph" w:customStyle="1" w:styleId="110">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11">
    <w:name w:val="其他发布部门"/>
    <w:basedOn w:val="74"/>
    <w:qFormat/>
    <w:uiPriority w:val="0"/>
    <w:pPr>
      <w:framePr w:wrap="around" w:y="15310"/>
      <w:spacing w:line="0" w:lineRule="atLeast"/>
    </w:pPr>
    <w:rPr>
      <w:rFonts w:ascii="黑体" w:eastAsia="黑体"/>
      <w:b w:val="0"/>
    </w:rPr>
  </w:style>
  <w:style w:type="paragraph" w:customStyle="1" w:styleId="112">
    <w:name w:val="前言、引言标题"/>
    <w:next w:val="23"/>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13">
    <w:name w:val="三级无"/>
    <w:basedOn w:val="51"/>
    <w:qFormat/>
    <w:uiPriority w:val="0"/>
    <w:pPr>
      <w:spacing w:before="0" w:beforeLines="0" w:after="0" w:afterLines="0"/>
    </w:pPr>
    <w:rPr>
      <w:rFonts w:ascii="宋体" w:eastAsia="宋体"/>
    </w:rPr>
  </w:style>
  <w:style w:type="paragraph" w:customStyle="1" w:styleId="114">
    <w:name w:val="实施日期"/>
    <w:basedOn w:val="75"/>
    <w:qFormat/>
    <w:uiPriority w:val="0"/>
    <w:pPr>
      <w:framePr w:wrap="around" w:vAnchor="page" w:hAnchor="text"/>
      <w:jc w:val="right"/>
    </w:pPr>
  </w:style>
  <w:style w:type="paragraph" w:customStyle="1" w:styleId="115">
    <w:name w:val="示例后文字"/>
    <w:basedOn w:val="23"/>
    <w:next w:val="23"/>
    <w:qFormat/>
    <w:uiPriority w:val="0"/>
    <w:pPr>
      <w:ind w:firstLine="360"/>
    </w:pPr>
    <w:rPr>
      <w:sz w:val="18"/>
    </w:rPr>
  </w:style>
  <w:style w:type="paragraph" w:customStyle="1" w:styleId="116">
    <w:name w:val="首示例"/>
    <w:next w:val="23"/>
    <w:link w:val="117"/>
    <w:qFormat/>
    <w:uiPriority w:val="0"/>
    <w:pPr>
      <w:numPr>
        <w:ilvl w:val="0"/>
        <w:numId w:val="14"/>
      </w:numPr>
      <w:tabs>
        <w:tab w:val="left" w:pos="360"/>
      </w:tabs>
      <w:ind w:firstLine="0"/>
    </w:pPr>
    <w:rPr>
      <w:rFonts w:ascii="宋体" w:hAnsi="宋体" w:eastAsia="宋体" w:cs="Times New Roman"/>
      <w:kern w:val="2"/>
      <w:sz w:val="18"/>
      <w:szCs w:val="18"/>
      <w:lang w:val="en-US" w:eastAsia="zh-CN" w:bidi="ar-SA"/>
    </w:rPr>
  </w:style>
  <w:style w:type="character" w:customStyle="1" w:styleId="117">
    <w:name w:val="首示例 Char"/>
    <w:link w:val="116"/>
    <w:qFormat/>
    <w:uiPriority w:val="0"/>
    <w:rPr>
      <w:rFonts w:ascii="宋体" w:hAnsi="宋体"/>
      <w:kern w:val="2"/>
      <w:sz w:val="18"/>
      <w:szCs w:val="18"/>
    </w:rPr>
  </w:style>
  <w:style w:type="paragraph" w:customStyle="1" w:styleId="118">
    <w:name w:val="四级无"/>
    <w:basedOn w:val="55"/>
    <w:qFormat/>
    <w:uiPriority w:val="0"/>
    <w:pPr>
      <w:spacing w:before="0" w:beforeLines="0" w:after="0" w:afterLines="0"/>
    </w:pPr>
    <w:rPr>
      <w:rFonts w:ascii="宋体" w:eastAsia="宋体"/>
    </w:rPr>
  </w:style>
  <w:style w:type="paragraph" w:customStyle="1" w:styleId="119">
    <w:name w:val="条文脚注"/>
    <w:basedOn w:val="24"/>
    <w:qFormat/>
    <w:uiPriority w:val="0"/>
    <w:pPr>
      <w:numPr>
        <w:numId w:val="0"/>
      </w:numPr>
      <w:jc w:val="both"/>
    </w:pPr>
  </w:style>
  <w:style w:type="paragraph" w:customStyle="1" w:styleId="120">
    <w:name w:val="图标脚注说明"/>
    <w:basedOn w:val="23"/>
    <w:qFormat/>
    <w:uiPriority w:val="0"/>
    <w:pPr>
      <w:ind w:left="840" w:hanging="420" w:firstLineChars="0"/>
    </w:pPr>
    <w:rPr>
      <w:sz w:val="18"/>
      <w:szCs w:val="18"/>
    </w:rPr>
  </w:style>
  <w:style w:type="paragraph" w:customStyle="1" w:styleId="121">
    <w:name w:val="图表脚注说明"/>
    <w:basedOn w:val="1"/>
    <w:qFormat/>
    <w:uiPriority w:val="0"/>
    <w:pPr>
      <w:numPr>
        <w:ilvl w:val="0"/>
        <w:numId w:val="15"/>
      </w:numPr>
    </w:pPr>
    <w:rPr>
      <w:rFonts w:ascii="宋体"/>
      <w:sz w:val="18"/>
      <w:szCs w:val="18"/>
    </w:rPr>
  </w:style>
  <w:style w:type="paragraph" w:customStyle="1" w:styleId="122">
    <w:name w:val="图的脚注"/>
    <w:next w:val="23"/>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23">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4">
    <w:name w:val="五级无"/>
    <w:basedOn w:val="56"/>
    <w:qFormat/>
    <w:uiPriority w:val="0"/>
    <w:pPr>
      <w:spacing w:before="0" w:beforeLines="0" w:after="0" w:afterLines="0"/>
    </w:pPr>
    <w:rPr>
      <w:rFonts w:ascii="宋体" w:eastAsia="宋体"/>
    </w:rPr>
  </w:style>
  <w:style w:type="paragraph" w:customStyle="1" w:styleId="125">
    <w:name w:val="一级无"/>
    <w:basedOn w:val="42"/>
    <w:qFormat/>
    <w:uiPriority w:val="0"/>
    <w:pPr>
      <w:spacing w:before="0" w:beforeLines="0" w:after="0" w:afterLines="0"/>
    </w:pPr>
    <w:rPr>
      <w:rFonts w:ascii="宋体" w:eastAsia="宋体"/>
    </w:rPr>
  </w:style>
  <w:style w:type="character" w:customStyle="1" w:styleId="126">
    <w:name w:val="已访问的超链接1"/>
    <w:uiPriority w:val="0"/>
    <w:rPr>
      <w:color w:val="800080"/>
      <w:u w:val="single"/>
    </w:rPr>
  </w:style>
  <w:style w:type="paragraph" w:customStyle="1" w:styleId="127">
    <w:name w:val="正文表标题"/>
    <w:next w:val="23"/>
    <w:uiPriority w:val="0"/>
    <w:pPr>
      <w:numPr>
        <w:ilvl w:val="0"/>
        <w:numId w:val="16"/>
      </w:numPr>
      <w:spacing w:before="156" w:beforeLines="50" w:after="156" w:afterLines="50"/>
      <w:jc w:val="center"/>
    </w:pPr>
    <w:rPr>
      <w:rFonts w:ascii="黑体" w:hAnsi="Times New Roman" w:eastAsia="黑体" w:cs="Times New Roman"/>
      <w:sz w:val="21"/>
      <w:lang w:val="en-US" w:eastAsia="zh-CN" w:bidi="ar-SA"/>
    </w:rPr>
  </w:style>
  <w:style w:type="paragraph" w:customStyle="1" w:styleId="128">
    <w:name w:val="正文公式编号制表符"/>
    <w:basedOn w:val="23"/>
    <w:next w:val="23"/>
    <w:qFormat/>
    <w:uiPriority w:val="0"/>
    <w:pPr>
      <w:ind w:firstLine="0" w:firstLineChars="0"/>
    </w:pPr>
  </w:style>
  <w:style w:type="paragraph" w:customStyle="1" w:styleId="129">
    <w:name w:val="正文图标题"/>
    <w:next w:val="23"/>
    <w:qFormat/>
    <w:uiPriority w:val="0"/>
    <w:pPr>
      <w:numPr>
        <w:ilvl w:val="0"/>
        <w:numId w:val="17"/>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130">
    <w:name w:val="终结线"/>
    <w:basedOn w:val="1"/>
    <w:qFormat/>
    <w:uiPriority w:val="0"/>
    <w:pPr>
      <w:framePr w:hSpace="181" w:vSpace="181" w:wrap="around" w:vAnchor="text" w:hAnchor="margin" w:xAlign="center" w:y="285"/>
    </w:pPr>
  </w:style>
  <w:style w:type="paragraph" w:customStyle="1" w:styleId="131">
    <w:name w:val="其他发布日期"/>
    <w:basedOn w:val="75"/>
    <w:uiPriority w:val="0"/>
    <w:pPr>
      <w:framePr w:wrap="around" w:vAnchor="page" w:hAnchor="text" w:x="1419"/>
    </w:pPr>
  </w:style>
  <w:style w:type="paragraph" w:customStyle="1" w:styleId="132">
    <w:name w:val="其他实施日期"/>
    <w:basedOn w:val="114"/>
    <w:uiPriority w:val="0"/>
    <w:pPr>
      <w:framePr w:wrap="around"/>
    </w:pPr>
  </w:style>
  <w:style w:type="paragraph" w:customStyle="1" w:styleId="133">
    <w:name w:val="封面标准名称2"/>
    <w:basedOn w:val="78"/>
    <w:uiPriority w:val="0"/>
    <w:pPr>
      <w:framePr w:wrap="around" w:y="4469"/>
      <w:spacing w:before="630" w:beforeLines="630"/>
    </w:pPr>
  </w:style>
  <w:style w:type="paragraph" w:customStyle="1" w:styleId="134">
    <w:name w:val="封面标准英文名称2"/>
    <w:basedOn w:val="79"/>
    <w:qFormat/>
    <w:uiPriority w:val="0"/>
    <w:pPr>
      <w:framePr w:wrap="around" w:y="4469"/>
    </w:pPr>
  </w:style>
  <w:style w:type="paragraph" w:customStyle="1" w:styleId="135">
    <w:name w:val="封面一致性程度标识2"/>
    <w:basedOn w:val="80"/>
    <w:uiPriority w:val="0"/>
    <w:pPr>
      <w:framePr w:wrap="around" w:y="4469"/>
    </w:pPr>
  </w:style>
  <w:style w:type="paragraph" w:customStyle="1" w:styleId="136">
    <w:name w:val="封面标准文稿类别2"/>
    <w:basedOn w:val="81"/>
    <w:uiPriority w:val="0"/>
    <w:pPr>
      <w:framePr w:wrap="around" w:y="4469"/>
    </w:pPr>
  </w:style>
  <w:style w:type="paragraph" w:customStyle="1" w:styleId="137">
    <w:name w:val="封面标准文稿编辑信息2"/>
    <w:basedOn w:val="82"/>
    <w:qFormat/>
    <w:uiPriority w:val="0"/>
    <w:pPr>
      <w:framePr w:wrap="around" w:y="4469"/>
    </w:pPr>
  </w:style>
  <w:style w:type="paragraph" w:styleId="138">
    <w:name w:val="List Paragraph"/>
    <w:basedOn w:val="1"/>
    <w:qFormat/>
    <w:uiPriority w:val="34"/>
    <w:pPr>
      <w:ind w:firstLine="420" w:firstLineChars="200"/>
    </w:pPr>
    <w:rPr>
      <w:rFonts w:ascii="Calibri" w:hAnsi="Calibri"/>
      <w:szCs w:val="22"/>
    </w:rPr>
  </w:style>
  <w:style w:type="paragraph" w:customStyle="1" w:styleId="139">
    <w:name w:val="Defaul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140">
    <w:name w:val="页脚 字符"/>
    <w:link w:val="17"/>
    <w:uiPriority w:val="99"/>
    <w:rPr>
      <w:kern w:val="2"/>
      <w:sz w:val="18"/>
      <w:szCs w:val="18"/>
    </w:rPr>
  </w:style>
  <w:style w:type="table" w:customStyle="1" w:styleId="141">
    <w:name w:val="网格型1"/>
    <w:basedOn w:val="33"/>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
    <w:name w:val="网格型2"/>
    <w:basedOn w:val="33"/>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
    <w:name w:val="网格型3"/>
    <w:basedOn w:val="33"/>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4">
    <w:name w:val="apple-converted-space"/>
    <w:basedOn w:val="35"/>
    <w:qFormat/>
    <w:uiPriority w:val="0"/>
  </w:style>
  <w:style w:type="character" w:customStyle="1" w:styleId="145">
    <w:name w:val="text-dst"/>
    <w:basedOn w:val="35"/>
    <w:uiPriority w:val="0"/>
  </w:style>
  <w:style w:type="character" w:customStyle="1" w:styleId="146">
    <w:name w:val="批注框文本 字符"/>
    <w:link w:val="16"/>
    <w:qFormat/>
    <w:uiPriority w:val="0"/>
    <w:rPr>
      <w:kern w:val="2"/>
      <w:sz w:val="18"/>
      <w:szCs w:val="18"/>
    </w:rPr>
  </w:style>
  <w:style w:type="character" w:customStyle="1" w:styleId="147">
    <w:name w:val="批注文字 字符"/>
    <w:link w:val="8"/>
    <w:qFormat/>
    <w:uiPriority w:val="0"/>
    <w:rPr>
      <w:kern w:val="2"/>
      <w:sz w:val="21"/>
      <w:szCs w:val="24"/>
    </w:rPr>
  </w:style>
  <w:style w:type="character" w:customStyle="1" w:styleId="148">
    <w:name w:val="批注主题 字符"/>
    <w:link w:val="32"/>
    <w:qFormat/>
    <w:uiPriority w:val="0"/>
    <w:rPr>
      <w:b/>
      <w:bCs/>
      <w:kern w:val="2"/>
      <w:sz w:val="21"/>
      <w:szCs w:val="24"/>
    </w:rPr>
  </w:style>
  <w:style w:type="paragraph" w:customStyle="1" w:styleId="149">
    <w:name w:val="Revision"/>
    <w:hidden/>
    <w:semiHidden/>
    <w:uiPriority w:val="99"/>
    <w:rPr>
      <w:rFonts w:ascii="Times New Roman" w:hAnsi="Times New Roman" w:eastAsia="宋体" w:cs="Times New Roman"/>
      <w:kern w:val="2"/>
      <w:sz w:val="21"/>
      <w:szCs w:val="24"/>
      <w:lang w:val="en-US" w:eastAsia="zh-CN" w:bidi="ar-SA"/>
    </w:rPr>
  </w:style>
  <w:style w:type="character" w:customStyle="1" w:styleId="150">
    <w:name w:val="标题 1 字符"/>
    <w:basedOn w:val="35"/>
    <w:link w:val="2"/>
    <w:uiPriority w:val="0"/>
    <w:rPr>
      <w:b/>
      <w:bCs/>
      <w:kern w:val="44"/>
      <w:sz w:val="44"/>
      <w:szCs w:val="44"/>
    </w:rPr>
  </w:style>
  <w:style w:type="paragraph" w:customStyle="1" w:styleId="15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52">
    <w:name w:val="fontstyle01"/>
    <w:basedOn w:val="35"/>
    <w:qFormat/>
    <w:uiPriority w:val="0"/>
    <w:rPr>
      <w:rFonts w:hint="default" w:ascii="Arial" w:hAnsi="Arial" w:cs="Arial"/>
      <w:color w:val="000000"/>
      <w:sz w:val="20"/>
      <w:szCs w:val="20"/>
    </w:rPr>
  </w:style>
  <w:style w:type="character" w:customStyle="1" w:styleId="153">
    <w:name w:val="fontstyle21"/>
    <w:basedOn w:val="35"/>
    <w:uiPriority w:val="0"/>
    <w:rPr>
      <w:rFonts w:hint="default" w:ascii="Arial" w:hAnsi="Arial" w:cs="Arial"/>
      <w:i/>
      <w:iCs/>
      <w:color w:val="000000"/>
      <w:sz w:val="20"/>
      <w:szCs w:val="20"/>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3" Type="http://schemas.microsoft.com/office/2011/relationships/people" Target="people.xml"/><Relationship Id="rId42" Type="http://schemas.openxmlformats.org/officeDocument/2006/relationships/fontTable" Target="fontTable.xml"/><Relationship Id="rId41" Type="http://schemas.microsoft.com/office/2006/relationships/keyMapCustomizations" Target="customizations.xml"/><Relationship Id="rId40" Type="http://schemas.openxmlformats.org/officeDocument/2006/relationships/customXml" Target="../customXml/item2.xml"/><Relationship Id="rId4" Type="http://schemas.microsoft.com/office/2011/relationships/commentsExtended" Target="commentsExtended.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7.emf"/><Relationship Id="rId36" Type="http://schemas.openxmlformats.org/officeDocument/2006/relationships/image" Target="media/image26.emf"/><Relationship Id="rId35" Type="http://schemas.openxmlformats.org/officeDocument/2006/relationships/image" Target="media/image25.emf"/><Relationship Id="rId34" Type="http://schemas.openxmlformats.org/officeDocument/2006/relationships/image" Target="media/image24.emf"/><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comments" Target="comment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emf"/><Relationship Id="rId23" Type="http://schemas.openxmlformats.org/officeDocument/2006/relationships/image" Target="media/image13.png"/><Relationship Id="rId22" Type="http://schemas.openxmlformats.org/officeDocument/2006/relationships/image" Target="media/image12.emf"/><Relationship Id="rId21" Type="http://schemas.openxmlformats.org/officeDocument/2006/relationships/image" Target="media/image11.emf"/><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image" Target="media/image8.emf"/><Relationship Id="rId17" Type="http://schemas.openxmlformats.org/officeDocument/2006/relationships/image" Target="media/image7.emf"/><Relationship Id="rId16" Type="http://schemas.openxmlformats.org/officeDocument/2006/relationships/image" Target="media/image6.emf"/><Relationship Id="rId15" Type="http://schemas.openxmlformats.org/officeDocument/2006/relationships/image" Target="media/image5.emf"/><Relationship Id="rId14" Type="http://schemas.openxmlformats.org/officeDocument/2006/relationships/image" Target="media/image4.emf"/><Relationship Id="rId13" Type="http://schemas.openxmlformats.org/officeDocument/2006/relationships/image" Target="media/image3.wmf"/><Relationship Id="rId12" Type="http://schemas.openxmlformats.org/officeDocument/2006/relationships/oleObject" Target="embeddings/oleObject1.bin"/><Relationship Id="rId11" Type="http://schemas.openxmlformats.org/officeDocument/2006/relationships/image" Target="media/image2.tif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E52A20-29B9-435F-9465-F56C5D8A2634}">
  <ds:schemaRefs/>
</ds:datastoreItem>
</file>

<file path=docProps/app.xml><?xml version="1.0" encoding="utf-8"?>
<Properties xmlns="http://schemas.openxmlformats.org/officeDocument/2006/extended-properties" xmlns:vt="http://schemas.openxmlformats.org/officeDocument/2006/docPropsVTypes">
  <Template>Normal</Template>
  <Company>zle</Company>
  <Pages>115</Pages>
  <Words>62738</Words>
  <Characters>87008</Characters>
  <Lines>820</Lines>
  <Paragraphs>231</Paragraphs>
  <TotalTime>5546</TotalTime>
  <ScaleCrop>false</ScaleCrop>
  <LinksUpToDate>false</LinksUpToDate>
  <CharactersWithSpaces>100275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2022-08-05T00:16:00Z</dcterms:created>
  <dc:creator>刘惠春</dc:creator>
  <cp:lastModifiedBy>风中無我</cp:lastModifiedBy>
  <dcterms:modified xsi:type="dcterms:W3CDTF">2023-01-12T08:08:08Z</dcterms:modified>
  <dc:title>标准名称</dc:title>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A62FADEF7B674DABB737B9A5498A5D79</vt:lpwstr>
  </property>
</Properties>
</file>