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52" w:rsidRDefault="00D30A52" w:rsidP="00D30A52">
      <w:pPr>
        <w:pStyle w:val="afffffc"/>
        <w:framePr w:wrap="around"/>
      </w:pPr>
      <w:r w:rsidRPr="00D30A52">
        <w:rPr>
          <w:rFonts w:ascii="Times New Roman"/>
        </w:rPr>
        <w:t>ICS</w:t>
      </w:r>
      <w:r>
        <w:rPr>
          <w:rFonts w:ascii="Cambria Math" w:hAnsi="Cambria Math" w:cs="Cambria Math"/>
        </w:rPr>
        <w:t> </w:t>
      </w:r>
      <w:bookmarkStart w:id="0" w:name="ICS"/>
      <w:r w:rsidR="00640AAC">
        <w:fldChar w:fldCharType="begin">
          <w:ffData>
            <w:name w:val="ICS"/>
            <w:enabled/>
            <w:calcOnExit w:val="0"/>
            <w:helpText w:type="autoText" w:val="请输入正确的ICS号："/>
            <w:textInput>
              <w:default w:val="点击此处添加ICS号"/>
            </w:textInput>
          </w:ffData>
        </w:fldChar>
      </w:r>
      <w:r>
        <w:instrText xml:space="preserve"> FORMTEXT </w:instrText>
      </w:r>
      <w:r w:rsidR="00640AAC">
        <w:fldChar w:fldCharType="separate"/>
      </w:r>
      <w:r>
        <w:rPr>
          <w:rFonts w:hint="eastAsia"/>
        </w:rPr>
        <w:t>83.040 10</w:t>
      </w:r>
      <w:r w:rsidR="00640AAC">
        <w:fldChar w:fldCharType="end"/>
      </w:r>
      <w:bookmarkEnd w:id="0"/>
    </w:p>
    <w:bookmarkStart w:id="1" w:name="WXFLH"/>
    <w:p w:rsidR="00D30A52" w:rsidRDefault="00640AAC" w:rsidP="00D30A52">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D30A52">
        <w:instrText xml:space="preserve"> FORMTEXT </w:instrText>
      </w:r>
      <w:r>
        <w:fldChar w:fldCharType="separate"/>
      </w:r>
      <w:r w:rsidR="00D30A52">
        <w:rPr>
          <w:rFonts w:hint="eastAsia"/>
        </w:rPr>
        <w:t>B 72</w:t>
      </w:r>
      <w:r>
        <w:fldChar w:fldCharType="end"/>
      </w:r>
      <w:bookmarkEnd w:id="1"/>
    </w:p>
    <w:p w:rsidR="00D30A52" w:rsidRDefault="0052732A" w:rsidP="00D30A52">
      <w:pPr>
        <w:pStyle w:val="affb"/>
        <w:framePr w:wrap="around"/>
      </w:pPr>
      <w:r>
        <w:rPr>
          <w:noProof/>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7"/>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D30A52" w:rsidRDefault="00D30A52" w:rsidP="00D30A52">
      <w:pPr>
        <w:pStyle w:val="affc"/>
        <w:framePr w:wrap="around"/>
      </w:pPr>
      <w:r>
        <w:rPr>
          <w:rFonts w:hint="eastAsia"/>
        </w:rPr>
        <w:t>中华人民共和国国家标准</w:t>
      </w:r>
    </w:p>
    <w:p w:rsidR="00D30A52" w:rsidRDefault="00D30A52" w:rsidP="00D30A52">
      <w:pPr>
        <w:pStyle w:val="2"/>
        <w:framePr w:wrap="around"/>
      </w:pPr>
      <w:r w:rsidRPr="00D30A52">
        <w:rPr>
          <w:rFonts w:ascii="Times New Roman"/>
        </w:rPr>
        <w:t>GB/T</w:t>
      </w:r>
      <w:r>
        <w:rPr>
          <w:rFonts w:ascii="Times New Roman"/>
        </w:rPr>
        <w:t xml:space="preserve"> </w:t>
      </w:r>
      <w:bookmarkStart w:id="2" w:name="StdNo1"/>
      <w:r w:rsidR="00640AAC">
        <w:fldChar w:fldCharType="begin">
          <w:ffData>
            <w:name w:val="StdNo1"/>
            <w:enabled/>
            <w:calcOnExit w:val="0"/>
            <w:textInput>
              <w:default w:val="XXXXX"/>
            </w:textInput>
          </w:ffData>
        </w:fldChar>
      </w:r>
      <w:r>
        <w:instrText xml:space="preserve"> FORMTEXT </w:instrText>
      </w:r>
      <w:r w:rsidR="00640AAC">
        <w:fldChar w:fldCharType="separate"/>
      </w:r>
      <w:r>
        <w:t>8</w:t>
      </w:r>
      <w:r>
        <w:rPr>
          <w:rFonts w:hint="eastAsia"/>
        </w:rPr>
        <w:t>297</w:t>
      </w:r>
      <w:r w:rsidR="00640AAC">
        <w:fldChar w:fldCharType="end"/>
      </w:r>
      <w:bookmarkEnd w:id="2"/>
      <w:r>
        <w:t>—</w:t>
      </w:r>
      <w:bookmarkStart w:id="3" w:name="StdNo2"/>
      <w:r w:rsidR="00640AAC">
        <w:fldChar w:fldCharType="begin">
          <w:ffData>
            <w:name w:val="StdNo2"/>
            <w:enabled/>
            <w:calcOnExit w:val="0"/>
            <w:textInput>
              <w:default w:val="XXXX"/>
              <w:maxLength w:val="4"/>
            </w:textInput>
          </w:ffData>
        </w:fldChar>
      </w:r>
      <w:r>
        <w:instrText xml:space="preserve"> FORMTEXT </w:instrText>
      </w:r>
      <w:r w:rsidR="00640AAC">
        <w:fldChar w:fldCharType="separate"/>
      </w:r>
      <w:r>
        <w:rPr>
          <w:noProof/>
        </w:rPr>
        <w:t>XXXX</w:t>
      </w:r>
      <w:r w:rsidR="00640AAC">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D30A52" w:rsidTr="00435FE5">
        <w:tc>
          <w:tcPr>
            <w:tcW w:w="9356" w:type="dxa"/>
            <w:tcBorders>
              <w:top w:val="nil"/>
              <w:left w:val="nil"/>
              <w:bottom w:val="nil"/>
              <w:right w:val="nil"/>
            </w:tcBorders>
            <w:shd w:val="clear" w:color="auto" w:fill="auto"/>
          </w:tcPr>
          <w:p w:rsidR="00D30A52" w:rsidRDefault="00640AAC" w:rsidP="00435FE5">
            <w:pPr>
              <w:pStyle w:val="afff6"/>
              <w:framePr w:wrap="around"/>
            </w:pPr>
            <w:bookmarkStart w:id="4" w:name="DT"/>
            <w:r>
              <w:rPr>
                <w:noProof/>
              </w:rPr>
              <w:pict>
                <v:rect id="DT" o:spid="_x0000_s1036" style="position:absolute;left:0;text-align:left;margin-left:372.8pt;margin-top:2.7pt;width:90pt;height:18pt;z-index:-251658752" stroked="f"/>
              </w:pict>
            </w:r>
            <w:r>
              <w:fldChar w:fldCharType="begin">
                <w:ffData>
                  <w:name w:val="DT"/>
                  <w:enabled/>
                  <w:calcOnExit w:val="0"/>
                  <w:entryMacro w:val="ShowHelp4"/>
                  <w:textInput/>
                </w:ffData>
              </w:fldChar>
            </w:r>
            <w:r w:rsidR="00D30A52">
              <w:instrText xml:space="preserve"> FORMTEXT </w:instrText>
            </w:r>
            <w:r>
              <w:fldChar w:fldCharType="separate"/>
            </w:r>
            <w:r w:rsidR="00D30A52">
              <w:rPr>
                <w:rFonts w:hint="eastAsia"/>
              </w:rPr>
              <w:t>代替</w:t>
            </w:r>
            <w:r w:rsidR="00D30A52">
              <w:t> </w:t>
            </w:r>
            <w:r w:rsidR="00D30A52">
              <w:t xml:space="preserve">GB/T </w:t>
            </w:r>
            <w:r w:rsidR="00D30A52">
              <w:rPr>
                <w:rFonts w:hint="eastAsia"/>
              </w:rPr>
              <w:t>8297-2008</w:t>
            </w:r>
            <w:r>
              <w:fldChar w:fldCharType="end"/>
            </w:r>
            <w:bookmarkEnd w:id="4"/>
          </w:p>
        </w:tc>
      </w:tr>
    </w:tbl>
    <w:p w:rsidR="00D30A52" w:rsidRDefault="00D30A52" w:rsidP="00D30A52">
      <w:pPr>
        <w:pStyle w:val="2"/>
        <w:framePr w:wrap="around"/>
      </w:pPr>
    </w:p>
    <w:p w:rsidR="00D30A52" w:rsidRDefault="00D30A52" w:rsidP="00D30A52">
      <w:pPr>
        <w:pStyle w:val="2"/>
        <w:framePr w:wrap="around"/>
      </w:pPr>
    </w:p>
    <w:bookmarkStart w:id="5" w:name="StdName"/>
    <w:p w:rsidR="00D30A52" w:rsidRDefault="00640AAC" w:rsidP="00D30A52">
      <w:pPr>
        <w:pStyle w:val="afff7"/>
        <w:framePr w:wrap="around"/>
      </w:pPr>
      <w:r>
        <w:fldChar w:fldCharType="begin">
          <w:ffData>
            <w:name w:val="StdName"/>
            <w:enabled/>
            <w:calcOnExit w:val="0"/>
            <w:textInput>
              <w:default w:val="点击此处添加标准名称"/>
            </w:textInput>
          </w:ffData>
        </w:fldChar>
      </w:r>
      <w:r w:rsidR="00D30A52">
        <w:instrText xml:space="preserve"> FORMTEXT </w:instrText>
      </w:r>
      <w:r>
        <w:fldChar w:fldCharType="separate"/>
      </w:r>
      <w:r w:rsidR="00D30A52">
        <w:rPr>
          <w:rFonts w:hint="eastAsia"/>
        </w:rPr>
        <w:t>浓缩天然胶乳 氢氧化钾（KOH）值的测定</w:t>
      </w:r>
      <w:r>
        <w:fldChar w:fldCharType="end"/>
      </w:r>
      <w:bookmarkEnd w:id="5"/>
    </w:p>
    <w:bookmarkStart w:id="6" w:name="StdEnglishName"/>
    <w:p w:rsidR="00D30A52" w:rsidRDefault="00640AAC" w:rsidP="00D30A52">
      <w:pPr>
        <w:pStyle w:val="afff8"/>
        <w:framePr w:wrap="around"/>
      </w:pPr>
      <w:r>
        <w:fldChar w:fldCharType="begin">
          <w:ffData>
            <w:name w:val="StdEnglishName"/>
            <w:enabled/>
            <w:calcOnExit w:val="0"/>
            <w:textInput>
              <w:default w:val="点击此处添加标准英文译名"/>
            </w:textInput>
          </w:ffData>
        </w:fldChar>
      </w:r>
      <w:r w:rsidR="00D30A52">
        <w:instrText xml:space="preserve"> FORMTEXT </w:instrText>
      </w:r>
      <w:r>
        <w:fldChar w:fldCharType="separate"/>
      </w:r>
      <w:r w:rsidR="00D30A52" w:rsidRPr="00D30A52">
        <w:t>Natural rubber latex concentrate—Determination of KOH number</w:t>
      </w:r>
      <w:r>
        <w:fldChar w:fldCharType="end"/>
      </w:r>
      <w:bookmarkEnd w:id="6"/>
    </w:p>
    <w:bookmarkStart w:id="7" w:name="YZBS"/>
    <w:p w:rsidR="00D30A52" w:rsidRPr="00D30A52" w:rsidRDefault="00640AAC" w:rsidP="00D30A52">
      <w:pPr>
        <w:pStyle w:val="afff9"/>
        <w:framePr w:wrap="around"/>
      </w:pPr>
      <w:r>
        <w:fldChar w:fldCharType="begin">
          <w:ffData>
            <w:name w:val="YZBS"/>
            <w:enabled/>
            <w:calcOnExit w:val="0"/>
            <w:textInput>
              <w:default w:val="点击此处添加与国际标准一致性程度的标识"/>
            </w:textInput>
          </w:ffData>
        </w:fldChar>
      </w:r>
      <w:r w:rsidR="00D30A52">
        <w:instrText xml:space="preserve"> FORMTEXT </w:instrText>
      </w:r>
      <w:r>
        <w:fldChar w:fldCharType="separate"/>
      </w:r>
      <w:r w:rsidR="00D30A52" w:rsidRPr="00D30A52">
        <w:t>(ISO 127:2012,IDT)</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D30A52" w:rsidTr="00435FE5">
        <w:tc>
          <w:tcPr>
            <w:tcW w:w="9855" w:type="dxa"/>
            <w:tcBorders>
              <w:top w:val="nil"/>
              <w:left w:val="nil"/>
              <w:bottom w:val="nil"/>
              <w:right w:val="nil"/>
            </w:tcBorders>
            <w:shd w:val="clear" w:color="auto" w:fill="auto"/>
          </w:tcPr>
          <w:p w:rsidR="00D30A52" w:rsidRDefault="00640AAC" w:rsidP="00435FE5">
            <w:pPr>
              <w:pStyle w:val="afffa"/>
              <w:framePr w:wrap="around"/>
            </w:pPr>
            <w:r>
              <w:rPr>
                <w:noProof/>
              </w:rPr>
              <w:pict>
                <v:rect id="RQ" o:spid="_x0000_s1038" style="position:absolute;left:0;text-align:left;margin-left:173.3pt;margin-top:45.15pt;width:150pt;height:20pt;z-index:-251656704" stroked="f">
                  <w10:anchorlock/>
                </v:rect>
              </w:pict>
            </w:r>
            <w:r>
              <w:rPr>
                <w:noProof/>
              </w:rPr>
              <w:pict>
                <v:rect id="LB" o:spid="_x0000_s1037" style="position:absolute;left:0;text-align:left;margin-left:193.3pt;margin-top:20.15pt;width:100pt;height:24pt;z-index:-251657728"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D30A52">
              <w:instrText xml:space="preserve"> FORMDROPDOWN </w:instrText>
            </w:r>
            <w:r>
              <w:fldChar w:fldCharType="end"/>
            </w:r>
            <w:bookmarkEnd w:id="8"/>
          </w:p>
        </w:tc>
      </w:tr>
      <w:bookmarkStart w:id="9" w:name="WCRQ"/>
      <w:tr w:rsidR="00D30A52" w:rsidTr="00435FE5">
        <w:tc>
          <w:tcPr>
            <w:tcW w:w="9855" w:type="dxa"/>
            <w:tcBorders>
              <w:top w:val="nil"/>
              <w:left w:val="nil"/>
              <w:bottom w:val="nil"/>
              <w:right w:val="nil"/>
            </w:tcBorders>
            <w:shd w:val="clear" w:color="auto" w:fill="auto"/>
          </w:tcPr>
          <w:p w:rsidR="00D30A52" w:rsidRDefault="00640AAC" w:rsidP="0037705A">
            <w:pPr>
              <w:pStyle w:val="afffb"/>
              <w:framePr w:wrap="around"/>
            </w:pPr>
            <w:r>
              <w:fldChar w:fldCharType="begin">
                <w:ffData>
                  <w:name w:val="WCRQ"/>
                  <w:enabled/>
                  <w:calcOnExit w:val="0"/>
                  <w:textInput/>
                </w:ffData>
              </w:fldChar>
            </w:r>
            <w:r w:rsidR="00D30A52">
              <w:instrText xml:space="preserve"> FORMTEXT </w:instrText>
            </w:r>
            <w:r>
              <w:fldChar w:fldCharType="separate"/>
            </w:r>
            <w:r w:rsidR="00D30A52">
              <w:rPr>
                <w:rFonts w:hint="eastAsia"/>
              </w:rPr>
              <w:t>（本稿完成日期：201</w:t>
            </w:r>
            <w:r w:rsidR="004474B7">
              <w:rPr>
                <w:rFonts w:hint="eastAsia"/>
              </w:rPr>
              <w:t>6</w:t>
            </w:r>
            <w:r w:rsidR="00D30A52">
              <w:rPr>
                <w:rFonts w:hint="eastAsia"/>
              </w:rPr>
              <w:t>-</w:t>
            </w:r>
            <w:r w:rsidR="0037705A">
              <w:rPr>
                <w:rFonts w:hint="eastAsia"/>
              </w:rPr>
              <w:t>8</w:t>
            </w:r>
            <w:r w:rsidR="00D30A52">
              <w:rPr>
                <w:rFonts w:hint="eastAsia"/>
              </w:rPr>
              <w:t>-12）</w:t>
            </w:r>
            <w:r>
              <w:fldChar w:fldCharType="end"/>
            </w:r>
            <w:bookmarkEnd w:id="9"/>
          </w:p>
        </w:tc>
      </w:tr>
    </w:tbl>
    <w:bookmarkStart w:id="10" w:name="FY"/>
    <w:p w:rsidR="00D30A52" w:rsidRDefault="00640AAC" w:rsidP="00D30A52">
      <w:pPr>
        <w:pStyle w:val="affffff5"/>
        <w:framePr w:wrap="around"/>
      </w:pPr>
      <w:r w:rsidRPr="00D30A52">
        <w:rPr>
          <w:rFonts w:ascii="黑体"/>
        </w:rPr>
        <w:fldChar w:fldCharType="begin">
          <w:ffData>
            <w:name w:val="FY"/>
            <w:enabled/>
            <w:calcOnExit w:val="0"/>
            <w:entryMacro w:val="ShowHelp8"/>
            <w:textInput>
              <w:default w:val="XXXX"/>
              <w:maxLength w:val="4"/>
            </w:textInput>
          </w:ffData>
        </w:fldChar>
      </w:r>
      <w:r w:rsidR="00D30A52" w:rsidRPr="00D30A52">
        <w:rPr>
          <w:rFonts w:ascii="黑体"/>
        </w:rPr>
        <w:instrText xml:space="preserve"> FORMTEXT </w:instrText>
      </w:r>
      <w:r w:rsidRPr="00D30A52">
        <w:rPr>
          <w:rFonts w:ascii="黑体"/>
        </w:rPr>
      </w:r>
      <w:r w:rsidRPr="00D30A52">
        <w:rPr>
          <w:rFonts w:ascii="黑体"/>
        </w:rPr>
        <w:fldChar w:fldCharType="separate"/>
      </w:r>
      <w:r w:rsidR="008C545B">
        <w:rPr>
          <w:rFonts w:ascii="黑体"/>
        </w:rPr>
        <w:t>XXXX</w:t>
      </w:r>
      <w:r w:rsidRPr="00D30A52">
        <w:rPr>
          <w:rFonts w:ascii="黑体"/>
        </w:rPr>
        <w:fldChar w:fldCharType="end"/>
      </w:r>
      <w:bookmarkEnd w:id="10"/>
      <w:r w:rsidR="00D30A52">
        <w:t xml:space="preserve"> </w:t>
      </w:r>
      <w:r w:rsidR="00D30A52" w:rsidRPr="00D30A52">
        <w:rPr>
          <w:rFonts w:ascii="黑体"/>
        </w:rPr>
        <w:t>-</w:t>
      </w:r>
      <w:r w:rsidR="00D30A52">
        <w:t xml:space="preserve"> </w:t>
      </w:r>
      <w:bookmarkStart w:id="11" w:name="FM"/>
      <w:r w:rsidRPr="00D30A52">
        <w:rPr>
          <w:rFonts w:ascii="黑体"/>
        </w:rPr>
        <w:fldChar w:fldCharType="begin">
          <w:ffData>
            <w:name w:val="FM"/>
            <w:enabled/>
            <w:calcOnExit w:val="0"/>
            <w:entryMacro w:val="ShowHelp8"/>
            <w:textInput>
              <w:default w:val="XX"/>
              <w:maxLength w:val="2"/>
            </w:textInput>
          </w:ffData>
        </w:fldChar>
      </w:r>
      <w:r w:rsidR="00D30A52" w:rsidRPr="00D30A52">
        <w:rPr>
          <w:rFonts w:ascii="黑体"/>
        </w:rPr>
        <w:instrText xml:space="preserve"> FORMTEXT </w:instrText>
      </w:r>
      <w:r w:rsidRPr="00D30A52">
        <w:rPr>
          <w:rFonts w:ascii="黑体"/>
        </w:rPr>
      </w:r>
      <w:r w:rsidRPr="00D30A52">
        <w:rPr>
          <w:rFonts w:ascii="黑体"/>
        </w:rPr>
        <w:fldChar w:fldCharType="separate"/>
      </w:r>
      <w:r w:rsidR="00D30A52">
        <w:rPr>
          <w:rFonts w:ascii="黑体"/>
          <w:noProof/>
        </w:rPr>
        <w:t>XX</w:t>
      </w:r>
      <w:r w:rsidRPr="00D30A52">
        <w:rPr>
          <w:rFonts w:ascii="黑体"/>
        </w:rPr>
        <w:fldChar w:fldCharType="end"/>
      </w:r>
      <w:bookmarkEnd w:id="11"/>
      <w:r w:rsidR="00D30A52">
        <w:t xml:space="preserve"> </w:t>
      </w:r>
      <w:r w:rsidR="00D30A52" w:rsidRPr="00D30A52">
        <w:rPr>
          <w:rFonts w:ascii="黑体"/>
        </w:rPr>
        <w:t>-</w:t>
      </w:r>
      <w:r w:rsidR="00D30A52">
        <w:t xml:space="preserve"> </w:t>
      </w:r>
      <w:bookmarkStart w:id="12" w:name="FD"/>
      <w:r w:rsidRPr="00D30A52">
        <w:rPr>
          <w:rFonts w:ascii="黑体"/>
        </w:rPr>
        <w:fldChar w:fldCharType="begin">
          <w:ffData>
            <w:name w:val="FD"/>
            <w:enabled/>
            <w:calcOnExit w:val="0"/>
            <w:entryMacro w:val="ShowHelp8"/>
            <w:textInput>
              <w:default w:val="XX"/>
              <w:maxLength w:val="2"/>
            </w:textInput>
          </w:ffData>
        </w:fldChar>
      </w:r>
      <w:r w:rsidR="00D30A52" w:rsidRPr="00D30A52">
        <w:rPr>
          <w:rFonts w:ascii="黑体"/>
        </w:rPr>
        <w:instrText xml:space="preserve"> FORMTEXT </w:instrText>
      </w:r>
      <w:r w:rsidRPr="00D30A52">
        <w:rPr>
          <w:rFonts w:ascii="黑体"/>
        </w:rPr>
      </w:r>
      <w:r w:rsidRPr="00D30A52">
        <w:rPr>
          <w:rFonts w:ascii="黑体"/>
        </w:rPr>
        <w:fldChar w:fldCharType="separate"/>
      </w:r>
      <w:r w:rsidR="00D30A52">
        <w:rPr>
          <w:rFonts w:ascii="黑体"/>
          <w:noProof/>
        </w:rPr>
        <w:t>XX</w:t>
      </w:r>
      <w:r w:rsidRPr="00D30A52">
        <w:rPr>
          <w:rFonts w:ascii="黑体"/>
        </w:rPr>
        <w:fldChar w:fldCharType="end"/>
      </w:r>
      <w:bookmarkEnd w:id="12"/>
      <w:r w:rsidR="00D30A52">
        <w:rPr>
          <w:rFonts w:hint="eastAsia"/>
        </w:rPr>
        <w:t>发布</w:t>
      </w:r>
      <w:r>
        <w:pict>
          <v:line id="_x0000_s1034" style="position:absolute;z-index:251655680;mso-position-horizontal-relative:text;mso-position-vertical-relative:page" from="-.05pt,728.5pt" to="481.85pt,728.5pt">
            <w10:wrap anchory="page"/>
            <w10:anchorlock/>
          </v:line>
        </w:pict>
      </w:r>
    </w:p>
    <w:bookmarkStart w:id="13" w:name="SY"/>
    <w:p w:rsidR="00D30A52" w:rsidRDefault="00640AAC" w:rsidP="00D30A52">
      <w:pPr>
        <w:pStyle w:val="affffff6"/>
        <w:framePr w:wrap="around"/>
      </w:pPr>
      <w:r w:rsidRPr="00D30A52">
        <w:rPr>
          <w:rFonts w:ascii="黑体"/>
        </w:rPr>
        <w:fldChar w:fldCharType="begin">
          <w:ffData>
            <w:name w:val="SY"/>
            <w:enabled/>
            <w:calcOnExit w:val="0"/>
            <w:entryMacro w:val="ShowHelp9"/>
            <w:textInput>
              <w:default w:val="XXXX"/>
              <w:maxLength w:val="4"/>
            </w:textInput>
          </w:ffData>
        </w:fldChar>
      </w:r>
      <w:r w:rsidR="00D30A52" w:rsidRPr="00D30A52">
        <w:rPr>
          <w:rFonts w:ascii="黑体"/>
        </w:rPr>
        <w:instrText xml:space="preserve"> FORMTEXT </w:instrText>
      </w:r>
      <w:r w:rsidRPr="00D30A52">
        <w:rPr>
          <w:rFonts w:ascii="黑体"/>
        </w:rPr>
      </w:r>
      <w:r w:rsidRPr="00D30A52">
        <w:rPr>
          <w:rFonts w:ascii="黑体"/>
        </w:rPr>
        <w:fldChar w:fldCharType="separate"/>
      </w:r>
      <w:r w:rsidR="00D30A52">
        <w:rPr>
          <w:rFonts w:ascii="黑体"/>
          <w:noProof/>
        </w:rPr>
        <w:t>XXXX</w:t>
      </w:r>
      <w:r w:rsidRPr="00D30A52">
        <w:rPr>
          <w:rFonts w:ascii="黑体"/>
        </w:rPr>
        <w:fldChar w:fldCharType="end"/>
      </w:r>
      <w:bookmarkEnd w:id="13"/>
      <w:r w:rsidR="00D30A52">
        <w:t xml:space="preserve"> </w:t>
      </w:r>
      <w:r w:rsidR="00D30A52" w:rsidRPr="00D30A52">
        <w:rPr>
          <w:rFonts w:ascii="黑体"/>
        </w:rPr>
        <w:t>-</w:t>
      </w:r>
      <w:r w:rsidR="00D30A52">
        <w:t xml:space="preserve"> </w:t>
      </w:r>
      <w:bookmarkStart w:id="14" w:name="SM"/>
      <w:r w:rsidRPr="00D30A52">
        <w:rPr>
          <w:rFonts w:ascii="黑体"/>
        </w:rPr>
        <w:fldChar w:fldCharType="begin">
          <w:ffData>
            <w:name w:val="SM"/>
            <w:enabled/>
            <w:calcOnExit w:val="0"/>
            <w:entryMacro w:val="ShowHelp9"/>
            <w:textInput>
              <w:default w:val="XX"/>
              <w:maxLength w:val="2"/>
            </w:textInput>
          </w:ffData>
        </w:fldChar>
      </w:r>
      <w:r w:rsidR="00D30A52" w:rsidRPr="00D30A52">
        <w:rPr>
          <w:rFonts w:ascii="黑体"/>
        </w:rPr>
        <w:instrText xml:space="preserve"> FORMTEXT </w:instrText>
      </w:r>
      <w:r w:rsidRPr="00D30A52">
        <w:rPr>
          <w:rFonts w:ascii="黑体"/>
        </w:rPr>
      </w:r>
      <w:r w:rsidRPr="00D30A52">
        <w:rPr>
          <w:rFonts w:ascii="黑体"/>
        </w:rPr>
        <w:fldChar w:fldCharType="separate"/>
      </w:r>
      <w:r w:rsidR="00D30A52">
        <w:rPr>
          <w:rFonts w:ascii="黑体"/>
          <w:noProof/>
        </w:rPr>
        <w:t>XX</w:t>
      </w:r>
      <w:r w:rsidRPr="00D30A52">
        <w:rPr>
          <w:rFonts w:ascii="黑体"/>
        </w:rPr>
        <w:fldChar w:fldCharType="end"/>
      </w:r>
      <w:bookmarkEnd w:id="14"/>
      <w:r w:rsidR="00D30A52">
        <w:t xml:space="preserve"> </w:t>
      </w:r>
      <w:r w:rsidR="00D30A52" w:rsidRPr="00D30A52">
        <w:rPr>
          <w:rFonts w:ascii="黑体"/>
        </w:rPr>
        <w:t>-</w:t>
      </w:r>
      <w:r w:rsidR="00D30A52">
        <w:t xml:space="preserve"> </w:t>
      </w:r>
      <w:bookmarkStart w:id="15" w:name="SD"/>
      <w:r w:rsidRPr="00D30A52">
        <w:rPr>
          <w:rFonts w:ascii="黑体"/>
        </w:rPr>
        <w:fldChar w:fldCharType="begin">
          <w:ffData>
            <w:name w:val="SD"/>
            <w:enabled/>
            <w:calcOnExit w:val="0"/>
            <w:entryMacro w:val="ShowHelp9"/>
            <w:textInput>
              <w:default w:val="XX"/>
              <w:maxLength w:val="2"/>
            </w:textInput>
          </w:ffData>
        </w:fldChar>
      </w:r>
      <w:r w:rsidR="00D30A52" w:rsidRPr="00D30A52">
        <w:rPr>
          <w:rFonts w:ascii="黑体"/>
        </w:rPr>
        <w:instrText xml:space="preserve"> FORMTEXT </w:instrText>
      </w:r>
      <w:r w:rsidRPr="00D30A52">
        <w:rPr>
          <w:rFonts w:ascii="黑体"/>
        </w:rPr>
      </w:r>
      <w:r w:rsidRPr="00D30A52">
        <w:rPr>
          <w:rFonts w:ascii="黑体"/>
        </w:rPr>
        <w:fldChar w:fldCharType="separate"/>
      </w:r>
      <w:r w:rsidR="00D30A52">
        <w:rPr>
          <w:rFonts w:ascii="黑体"/>
          <w:noProof/>
        </w:rPr>
        <w:t>XX</w:t>
      </w:r>
      <w:r w:rsidRPr="00D30A52">
        <w:rPr>
          <w:rFonts w:ascii="黑体"/>
        </w:rPr>
        <w:fldChar w:fldCharType="end"/>
      </w:r>
      <w:bookmarkEnd w:id="15"/>
      <w:r w:rsidR="00D30A52">
        <w:rPr>
          <w:rFonts w:hint="eastAsia"/>
        </w:rPr>
        <w:t>实施</w:t>
      </w:r>
    </w:p>
    <w:p w:rsidR="00D30A52" w:rsidRDefault="0052732A" w:rsidP="00D30A52">
      <w:pPr>
        <w:pStyle w:val="afff4"/>
        <w:framePr w:wrap="around"/>
      </w:pPr>
      <w:r>
        <w:rPr>
          <w:noProof/>
        </w:rPr>
        <w:drawing>
          <wp:inline distT="0" distB="0" distL="0" distR="0">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8"/>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D30A52" w:rsidRPr="00D30A52" w:rsidRDefault="00640AAC" w:rsidP="00D30A52">
      <w:pPr>
        <w:pStyle w:val="afe"/>
        <w:sectPr w:rsidR="00D30A52" w:rsidRPr="00D30A52" w:rsidSect="00D30A52">
          <w:headerReference w:type="even" r:id="rId9"/>
          <w:headerReference w:type="default" r:id="rId10"/>
          <w:footerReference w:type="even" r:id="rId11"/>
          <w:footerReference w:type="default" r:id="rId12"/>
          <w:headerReference w:type="first" r:id="rId13"/>
          <w:footerReference w:type="first" r:id="rId14"/>
          <w:pgSz w:w="11906" w:h="16838" w:code="9"/>
          <w:pgMar w:top="567" w:right="850" w:bottom="1134" w:left="1418" w:header="0" w:footer="0" w:gutter="0"/>
          <w:pgNumType w:start="1"/>
          <w:cols w:space="425"/>
          <w:docGrid w:type="lines" w:linePitch="312"/>
        </w:sectPr>
      </w:pPr>
      <w:r>
        <w:pict>
          <v:line id="_x0000_s1035" style="position:absolute;left:0;text-align:left;z-index:251656704" from="-.05pt,184.25pt" to="481.85pt,184.25pt"/>
        </w:pict>
      </w:r>
    </w:p>
    <w:p w:rsidR="00D30A52" w:rsidRDefault="00D30A52" w:rsidP="00D30A52">
      <w:pPr>
        <w:pStyle w:val="affffc"/>
      </w:pPr>
      <w:r>
        <w:rPr>
          <w:rFonts w:hint="eastAsia"/>
        </w:rPr>
        <w:lastRenderedPageBreak/>
        <w:t>前</w:t>
      </w:r>
      <w:bookmarkStart w:id="16" w:name="BKQY"/>
      <w:r>
        <w:rPr>
          <w:rFonts w:ascii="Cambria Math" w:hAnsi="Cambria Math" w:cs="Cambria Math"/>
        </w:rPr>
        <w:t> </w:t>
      </w:r>
      <w:r>
        <w:rPr>
          <w:rFonts w:ascii="Cambria Math" w:hAnsi="Cambria Math" w:cs="Cambria Math"/>
        </w:rPr>
        <w:t> </w:t>
      </w:r>
      <w:r>
        <w:rPr>
          <w:rFonts w:hint="eastAsia"/>
        </w:rPr>
        <w:t>言</w:t>
      </w:r>
      <w:bookmarkEnd w:id="16"/>
    </w:p>
    <w:p w:rsidR="00D30A52" w:rsidRPr="005005BF" w:rsidRDefault="00D30A52" w:rsidP="00D30A52">
      <w:pPr>
        <w:autoSpaceDE w:val="0"/>
        <w:autoSpaceDN w:val="0"/>
        <w:ind w:firstLineChars="200" w:firstLine="420"/>
        <w:rPr>
          <w:color w:val="000000" w:themeColor="text1"/>
        </w:rPr>
      </w:pPr>
      <w:r w:rsidRPr="005005BF">
        <w:rPr>
          <w:color w:val="000000" w:themeColor="text1"/>
        </w:rPr>
        <w:t>本标准按照</w:t>
      </w:r>
      <w:r w:rsidRPr="005005BF">
        <w:rPr>
          <w:color w:val="000000" w:themeColor="text1"/>
        </w:rPr>
        <w:t>GB/T 1.1</w:t>
      </w:r>
      <w:r w:rsidR="0037705A">
        <w:rPr>
          <w:rFonts w:hint="eastAsia"/>
          <w:color w:val="000000" w:themeColor="text1"/>
        </w:rPr>
        <w:t>-</w:t>
      </w:r>
      <w:r w:rsidRPr="005005BF">
        <w:rPr>
          <w:color w:val="000000" w:themeColor="text1"/>
        </w:rPr>
        <w:t>2009</w:t>
      </w:r>
      <w:r w:rsidRPr="005005BF">
        <w:rPr>
          <w:color w:val="000000" w:themeColor="text1"/>
        </w:rPr>
        <w:t>给出的规则起草。</w:t>
      </w:r>
    </w:p>
    <w:p w:rsidR="00D30A52" w:rsidRPr="005005BF" w:rsidRDefault="00D30A52" w:rsidP="00D30A52">
      <w:pPr>
        <w:autoSpaceDE w:val="0"/>
        <w:autoSpaceDN w:val="0"/>
        <w:ind w:firstLineChars="200" w:firstLine="420"/>
      </w:pPr>
      <w:r w:rsidRPr="005005BF">
        <w:t>本标准代替</w:t>
      </w:r>
      <w:r w:rsidRPr="005005BF">
        <w:t>GB/T 8</w:t>
      </w:r>
      <w:r w:rsidR="004474B7" w:rsidRPr="005005BF">
        <w:t>297</w:t>
      </w:r>
      <w:r w:rsidR="0037705A">
        <w:rPr>
          <w:rFonts w:hint="eastAsia"/>
        </w:rPr>
        <w:t>-</w:t>
      </w:r>
      <w:r w:rsidRPr="005005BF">
        <w:t>2008</w:t>
      </w:r>
      <w:r w:rsidRPr="005005BF">
        <w:t xml:space="preserve">《浓缩天然胶乳　</w:t>
      </w:r>
      <w:r w:rsidR="004474B7" w:rsidRPr="005005BF">
        <w:t>氢氧化钾（</w:t>
      </w:r>
      <w:r w:rsidR="004474B7" w:rsidRPr="005005BF">
        <w:t>KOH</w:t>
      </w:r>
      <w:r w:rsidR="004474B7" w:rsidRPr="005005BF">
        <w:t>）值</w:t>
      </w:r>
      <w:r w:rsidRPr="005005BF">
        <w:t>的测定》。与</w:t>
      </w:r>
      <w:r w:rsidRPr="005005BF">
        <w:t>GB/T 8297</w:t>
      </w:r>
      <w:r w:rsidR="0037705A">
        <w:rPr>
          <w:rFonts w:hint="eastAsia"/>
        </w:rPr>
        <w:t>-</w:t>
      </w:r>
      <w:r w:rsidRPr="005005BF">
        <w:t>2008</w:t>
      </w:r>
      <w:r w:rsidRPr="005005BF">
        <w:t>相比，除编辑性修改外，主要技术变化如下：</w:t>
      </w:r>
    </w:p>
    <w:p w:rsidR="00D30A52" w:rsidRPr="005005BF" w:rsidRDefault="00D30A52" w:rsidP="00D30A52">
      <w:pPr>
        <w:autoSpaceDE w:val="0"/>
        <w:autoSpaceDN w:val="0"/>
        <w:ind w:firstLineChars="250" w:firstLine="525"/>
      </w:pPr>
      <w:r w:rsidRPr="005005BF">
        <w:rPr>
          <w:noProof/>
          <w:kern w:val="0"/>
          <w:szCs w:val="20"/>
        </w:rPr>
        <w:t>——</w:t>
      </w:r>
      <w:r w:rsidRPr="005005BF">
        <w:rPr>
          <w:color w:val="000000"/>
        </w:rPr>
        <w:t>第</w:t>
      </w:r>
      <w:r w:rsidRPr="005005BF">
        <w:rPr>
          <w:color w:val="000000"/>
        </w:rPr>
        <w:t>2</w:t>
      </w:r>
      <w:r w:rsidRPr="005005BF">
        <w:rPr>
          <w:color w:val="000000"/>
        </w:rPr>
        <w:t>章规范性引用文件中的</w:t>
      </w:r>
      <w:r w:rsidRPr="005005BF">
        <w:rPr>
          <w:color w:val="000000"/>
        </w:rPr>
        <w:t>ISO/TR 9272</w:t>
      </w:r>
      <w:r w:rsidRPr="005005BF">
        <w:rPr>
          <w:color w:val="000000"/>
        </w:rPr>
        <w:t>《橡胶与橡胶制品试验方法标准</w:t>
      </w:r>
      <w:r w:rsidRPr="005005BF">
        <w:rPr>
          <w:color w:val="000000"/>
        </w:rPr>
        <w:t xml:space="preserve"> </w:t>
      </w:r>
      <w:r w:rsidRPr="005005BF">
        <w:rPr>
          <w:color w:val="000000"/>
        </w:rPr>
        <w:t>精密度的确定》改为参考文献。同时，</w:t>
      </w:r>
      <w:r w:rsidRPr="005005BF">
        <w:t>增加了</w:t>
      </w:r>
      <w:r w:rsidRPr="005005BF">
        <w:t>ISO 1382</w:t>
      </w:r>
      <w:r w:rsidR="00DD68D4">
        <w:rPr>
          <w:rFonts w:hint="eastAsia"/>
        </w:rPr>
        <w:t>：</w:t>
      </w:r>
      <w:r w:rsidRPr="005005BF">
        <w:t>2002</w:t>
      </w:r>
      <w:r w:rsidRPr="005005BF">
        <w:t>作为参考文献；</w:t>
      </w:r>
    </w:p>
    <w:p w:rsidR="00D30A52" w:rsidRDefault="00D30A52" w:rsidP="00D30A52">
      <w:pPr>
        <w:autoSpaceDE w:val="0"/>
        <w:autoSpaceDN w:val="0"/>
        <w:ind w:firstLineChars="250" w:firstLine="525"/>
        <w:rPr>
          <w:color w:val="000000" w:themeColor="text1"/>
        </w:rPr>
      </w:pPr>
      <w:r w:rsidRPr="005005BF">
        <w:rPr>
          <w:noProof/>
          <w:kern w:val="0"/>
          <w:szCs w:val="20"/>
        </w:rPr>
        <w:t>——</w:t>
      </w:r>
      <w:r w:rsidRPr="005005BF">
        <w:rPr>
          <w:noProof/>
          <w:kern w:val="0"/>
          <w:szCs w:val="20"/>
        </w:rPr>
        <w:t>将</w:t>
      </w:r>
      <w:r w:rsidRPr="005005BF">
        <w:rPr>
          <w:color w:val="000000"/>
        </w:rPr>
        <w:t>第</w:t>
      </w:r>
      <w:r w:rsidRPr="005005BF">
        <w:rPr>
          <w:color w:val="000000"/>
        </w:rPr>
        <w:t>5</w:t>
      </w:r>
      <w:r w:rsidRPr="005005BF">
        <w:rPr>
          <w:color w:val="000000"/>
        </w:rPr>
        <w:t>章关于自动滴定仪的注改为标准的条文（</w:t>
      </w:r>
      <w:r w:rsidRPr="005005BF">
        <w:rPr>
          <w:color w:val="000000" w:themeColor="text1"/>
        </w:rPr>
        <w:t>见第</w:t>
      </w:r>
      <w:r w:rsidRPr="005005BF">
        <w:rPr>
          <w:color w:val="000000" w:themeColor="text1"/>
        </w:rPr>
        <w:t>5</w:t>
      </w:r>
      <w:r w:rsidRPr="005005BF">
        <w:rPr>
          <w:color w:val="000000" w:themeColor="text1"/>
        </w:rPr>
        <w:t>章，</w:t>
      </w:r>
      <w:r w:rsidRPr="005005BF">
        <w:rPr>
          <w:color w:val="000000" w:themeColor="text1"/>
        </w:rPr>
        <w:t>2008</w:t>
      </w:r>
      <w:r w:rsidRPr="005005BF">
        <w:rPr>
          <w:color w:val="000000" w:themeColor="text1"/>
        </w:rPr>
        <w:t>年版的第</w:t>
      </w:r>
      <w:r w:rsidRPr="005005BF">
        <w:rPr>
          <w:color w:val="000000" w:themeColor="text1"/>
        </w:rPr>
        <w:t>5</w:t>
      </w:r>
      <w:r w:rsidRPr="005005BF">
        <w:rPr>
          <w:color w:val="000000" w:themeColor="text1"/>
        </w:rPr>
        <w:t>章）；</w:t>
      </w:r>
    </w:p>
    <w:p w:rsidR="00D30A52" w:rsidRPr="005005BF" w:rsidRDefault="00D30A52" w:rsidP="00D30A52">
      <w:pPr>
        <w:autoSpaceDE w:val="0"/>
        <w:autoSpaceDN w:val="0"/>
        <w:ind w:firstLineChars="250" w:firstLine="525"/>
        <w:rPr>
          <w:noProof/>
          <w:kern w:val="0"/>
          <w:szCs w:val="20"/>
        </w:rPr>
      </w:pPr>
      <w:bookmarkStart w:id="17" w:name="OLE_LINK5"/>
      <w:r w:rsidRPr="005005BF">
        <w:rPr>
          <w:noProof/>
          <w:color w:val="000000" w:themeColor="text1"/>
          <w:kern w:val="0"/>
          <w:szCs w:val="20"/>
        </w:rPr>
        <w:t>——</w:t>
      </w:r>
      <w:bookmarkEnd w:id="17"/>
      <w:r w:rsidRPr="005005BF">
        <w:rPr>
          <w:noProof/>
          <w:color w:val="000000" w:themeColor="text1"/>
          <w:kern w:val="0"/>
          <w:szCs w:val="20"/>
        </w:rPr>
        <w:t>将精密度的条文改为</w:t>
      </w:r>
      <w:r w:rsidRPr="005005BF">
        <w:rPr>
          <w:color w:val="000000" w:themeColor="text1"/>
        </w:rPr>
        <w:t>资料性附录</w:t>
      </w:r>
      <w:r w:rsidR="008C545B" w:rsidRPr="005005BF">
        <w:rPr>
          <w:color w:val="000000" w:themeColor="text1"/>
        </w:rPr>
        <w:t>C</w:t>
      </w:r>
      <w:r w:rsidRPr="005005BF">
        <w:rPr>
          <w:color w:val="000000" w:themeColor="text1"/>
        </w:rPr>
        <w:t>“</w:t>
      </w:r>
      <w:r w:rsidRPr="005005BF">
        <w:rPr>
          <w:rFonts w:hAnsi="宋体"/>
          <w:color w:val="000000" w:themeColor="text1"/>
        </w:rPr>
        <w:t>精密度</w:t>
      </w:r>
      <w:r w:rsidRPr="005005BF">
        <w:rPr>
          <w:color w:val="000000" w:themeColor="text1"/>
        </w:rPr>
        <w:t>”</w:t>
      </w:r>
      <w:r w:rsidRPr="005005BF">
        <w:rPr>
          <w:color w:val="000000" w:themeColor="text1"/>
        </w:rPr>
        <w:t>（</w:t>
      </w:r>
      <w:r w:rsidRPr="005005BF">
        <w:rPr>
          <w:noProof/>
          <w:color w:val="000000" w:themeColor="text1"/>
          <w:kern w:val="0"/>
          <w:szCs w:val="20"/>
        </w:rPr>
        <w:t>见第</w:t>
      </w:r>
      <w:r w:rsidRPr="005005BF">
        <w:rPr>
          <w:noProof/>
          <w:color w:val="000000" w:themeColor="text1"/>
          <w:kern w:val="0"/>
          <w:szCs w:val="20"/>
        </w:rPr>
        <w:t>9</w:t>
      </w:r>
      <w:r w:rsidRPr="005005BF">
        <w:rPr>
          <w:noProof/>
          <w:color w:val="000000" w:themeColor="text1"/>
          <w:kern w:val="0"/>
          <w:szCs w:val="20"/>
        </w:rPr>
        <w:t>章，</w:t>
      </w:r>
      <w:r w:rsidRPr="005005BF">
        <w:rPr>
          <w:noProof/>
          <w:color w:val="000000" w:themeColor="text1"/>
          <w:kern w:val="0"/>
          <w:szCs w:val="20"/>
        </w:rPr>
        <w:t>2008</w:t>
      </w:r>
      <w:r w:rsidRPr="005005BF">
        <w:rPr>
          <w:noProof/>
          <w:color w:val="000000" w:themeColor="text1"/>
          <w:kern w:val="0"/>
          <w:szCs w:val="20"/>
        </w:rPr>
        <w:t>年版的第</w:t>
      </w:r>
      <w:r w:rsidRPr="005005BF">
        <w:rPr>
          <w:noProof/>
          <w:color w:val="000000" w:themeColor="text1"/>
          <w:kern w:val="0"/>
          <w:szCs w:val="20"/>
        </w:rPr>
        <w:t>9</w:t>
      </w:r>
      <w:r w:rsidRPr="005005BF">
        <w:rPr>
          <w:noProof/>
          <w:color w:val="000000" w:themeColor="text1"/>
          <w:kern w:val="0"/>
          <w:szCs w:val="20"/>
        </w:rPr>
        <w:t>章</w:t>
      </w:r>
      <w:r w:rsidRPr="005005BF">
        <w:rPr>
          <w:color w:val="000000" w:themeColor="text1"/>
        </w:rPr>
        <w:t>）</w:t>
      </w:r>
      <w:r w:rsidRPr="005005BF">
        <w:t>；</w:t>
      </w:r>
    </w:p>
    <w:p w:rsidR="00D30A52" w:rsidRPr="005005BF" w:rsidRDefault="00D30A52" w:rsidP="00D30A52">
      <w:pPr>
        <w:pStyle w:val="afe"/>
        <w:rPr>
          <w:rFonts w:ascii="Times New Roman"/>
        </w:rPr>
      </w:pPr>
      <w:r w:rsidRPr="005005BF">
        <w:rPr>
          <w:rFonts w:ascii="Times New Roman"/>
        </w:rPr>
        <w:t>本标准采用翻译法等同采用</w:t>
      </w:r>
      <w:r w:rsidRPr="005005BF">
        <w:rPr>
          <w:rFonts w:ascii="Times New Roman"/>
        </w:rPr>
        <w:t>ISO 127</w:t>
      </w:r>
      <w:r w:rsidR="001A3E38">
        <w:rPr>
          <w:rFonts w:ascii="Times New Roman" w:hint="eastAsia"/>
        </w:rPr>
        <w:t>：</w:t>
      </w:r>
      <w:r w:rsidRPr="005005BF">
        <w:rPr>
          <w:rFonts w:ascii="Times New Roman"/>
        </w:rPr>
        <w:t>2012</w:t>
      </w:r>
      <w:r w:rsidRPr="005005BF">
        <w:rPr>
          <w:rFonts w:ascii="Times New Roman"/>
        </w:rPr>
        <w:t>《</w:t>
      </w:r>
      <w:r w:rsidRPr="005005BF">
        <w:rPr>
          <w:rFonts w:ascii="Times New Roman" w:hAnsi="宋体"/>
        </w:rPr>
        <w:t>浓缩天然胶乳</w:t>
      </w:r>
      <w:r w:rsidRPr="005005BF">
        <w:rPr>
          <w:rFonts w:ascii="Times New Roman"/>
        </w:rPr>
        <w:t xml:space="preserve"> </w:t>
      </w:r>
      <w:r w:rsidRPr="005005BF">
        <w:rPr>
          <w:rFonts w:ascii="Times New Roman" w:hAnsi="宋体"/>
        </w:rPr>
        <w:t>氢氧化钾值（</w:t>
      </w:r>
      <w:r w:rsidRPr="005005BF">
        <w:rPr>
          <w:rFonts w:ascii="Times New Roman"/>
        </w:rPr>
        <w:t>KOH</w:t>
      </w:r>
      <w:r w:rsidRPr="005005BF">
        <w:rPr>
          <w:rFonts w:ascii="Times New Roman" w:hAnsi="宋体"/>
        </w:rPr>
        <w:t>）的测定</w:t>
      </w:r>
      <w:r w:rsidRPr="005005BF">
        <w:rPr>
          <w:rFonts w:ascii="Times New Roman"/>
        </w:rPr>
        <w:t>》（英文版）。</w:t>
      </w:r>
    </w:p>
    <w:p w:rsidR="00D30A52" w:rsidRPr="005005BF" w:rsidRDefault="00D30A52" w:rsidP="00D30A52">
      <w:pPr>
        <w:pStyle w:val="afe"/>
        <w:ind w:rightChars="-45" w:right="-94"/>
        <w:rPr>
          <w:rFonts w:ascii="Times New Roman"/>
        </w:rPr>
      </w:pPr>
      <w:r w:rsidRPr="005005BF">
        <w:rPr>
          <w:rFonts w:ascii="Times New Roman"/>
        </w:rPr>
        <w:t>与本标准中规范性引用的国际文件有一致性对应关系的我国文件如下：</w:t>
      </w:r>
    </w:p>
    <w:p w:rsidR="00D30A52" w:rsidRPr="005005BF" w:rsidRDefault="00D30A52" w:rsidP="00D30A52">
      <w:pPr>
        <w:pStyle w:val="a8"/>
        <w:ind w:rightChars="-45" w:right="-94"/>
        <w:rPr>
          <w:rFonts w:ascii="Times New Roman"/>
        </w:rPr>
      </w:pPr>
      <w:r w:rsidRPr="005005BF">
        <w:rPr>
          <w:rFonts w:ascii="Times New Roman"/>
        </w:rPr>
        <w:t xml:space="preserve">GB/T 8290-2008 </w:t>
      </w:r>
      <w:r w:rsidRPr="005005BF">
        <w:rPr>
          <w:rFonts w:ascii="Times New Roman" w:hAnsi="宋体"/>
        </w:rPr>
        <w:t>浓缩天然胶乳</w:t>
      </w:r>
      <w:r w:rsidRPr="005005BF">
        <w:rPr>
          <w:rFonts w:ascii="Times New Roman"/>
        </w:rPr>
        <w:t xml:space="preserve"> </w:t>
      </w:r>
      <w:r w:rsidRPr="005005BF">
        <w:rPr>
          <w:rFonts w:ascii="Times New Roman" w:hAnsi="宋体"/>
        </w:rPr>
        <w:t>取样（</w:t>
      </w:r>
      <w:r w:rsidRPr="005005BF">
        <w:rPr>
          <w:rFonts w:ascii="Times New Roman"/>
        </w:rPr>
        <w:t>ISO 123</w:t>
      </w:r>
      <w:r w:rsidRPr="005005BF">
        <w:rPr>
          <w:rFonts w:ascii="Times New Roman"/>
        </w:rPr>
        <w:t>：</w:t>
      </w:r>
      <w:r w:rsidRPr="005005BF">
        <w:rPr>
          <w:rFonts w:ascii="Times New Roman"/>
        </w:rPr>
        <w:t>2001</w:t>
      </w:r>
      <w:r w:rsidRPr="005005BF">
        <w:rPr>
          <w:rFonts w:ascii="Times New Roman"/>
        </w:rPr>
        <w:t>，</w:t>
      </w:r>
      <w:r w:rsidRPr="005005BF">
        <w:rPr>
          <w:rFonts w:ascii="Times New Roman"/>
        </w:rPr>
        <w:t>MOD)</w:t>
      </w:r>
      <w:r w:rsidRPr="005005BF">
        <w:rPr>
          <w:rFonts w:ascii="Times New Roman"/>
        </w:rPr>
        <w:t>；</w:t>
      </w:r>
    </w:p>
    <w:p w:rsidR="00D30A52" w:rsidRPr="005005BF" w:rsidRDefault="00D30A52" w:rsidP="00D30A52">
      <w:pPr>
        <w:pStyle w:val="a8"/>
        <w:numPr>
          <w:ilvl w:val="0"/>
          <w:numId w:val="0"/>
        </w:numPr>
        <w:ind w:left="425" w:rightChars="-45" w:right="-94"/>
        <w:rPr>
          <w:rFonts w:ascii="Times New Roman"/>
        </w:rPr>
      </w:pPr>
      <w:r w:rsidRPr="005005BF">
        <w:rPr>
          <w:rFonts w:ascii="Times New Roman"/>
        </w:rPr>
        <w:t>——GB/T 8294-2008</w:t>
      </w:r>
      <w:r w:rsidRPr="005005BF">
        <w:rPr>
          <w:rFonts w:ascii="Times New Roman" w:hAnsi="宋体"/>
        </w:rPr>
        <w:t>浓缩天然胶乳</w:t>
      </w:r>
      <w:r w:rsidRPr="005005BF">
        <w:rPr>
          <w:rFonts w:ascii="Times New Roman"/>
        </w:rPr>
        <w:t>—</w:t>
      </w:r>
      <w:r w:rsidRPr="005005BF">
        <w:rPr>
          <w:rFonts w:ascii="Times New Roman" w:hAnsi="宋体"/>
        </w:rPr>
        <w:t>硼酸含量的测定</w:t>
      </w:r>
      <w:r w:rsidRPr="005005BF">
        <w:rPr>
          <w:rFonts w:ascii="Times New Roman"/>
        </w:rPr>
        <w:t xml:space="preserve"> (ISO 1802</w:t>
      </w:r>
      <w:r w:rsidRPr="005005BF">
        <w:rPr>
          <w:rFonts w:ascii="Times New Roman" w:hAnsi="宋体"/>
        </w:rPr>
        <w:t>：</w:t>
      </w:r>
      <w:r w:rsidRPr="005005BF">
        <w:rPr>
          <w:rFonts w:ascii="Times New Roman"/>
        </w:rPr>
        <w:t>1992</w:t>
      </w:r>
      <w:r w:rsidRPr="005005BF">
        <w:rPr>
          <w:rFonts w:ascii="Times New Roman" w:hAnsi="宋体"/>
        </w:rPr>
        <w:t>，</w:t>
      </w:r>
      <w:r w:rsidRPr="005005BF">
        <w:rPr>
          <w:rFonts w:ascii="Times New Roman"/>
        </w:rPr>
        <w:t>IDT</w:t>
      </w:r>
      <w:r w:rsidRPr="005005BF">
        <w:rPr>
          <w:rFonts w:ascii="Times New Roman"/>
        </w:rPr>
        <w:t>）；</w:t>
      </w:r>
    </w:p>
    <w:p w:rsidR="00D30A52" w:rsidRPr="005005BF" w:rsidRDefault="00D30A52" w:rsidP="00D30A52">
      <w:pPr>
        <w:ind w:firstLineChars="196" w:firstLine="412"/>
      </w:pPr>
      <w:r w:rsidRPr="005005BF">
        <w:t xml:space="preserve">——GB/T 8298-2008 </w:t>
      </w:r>
      <w:r w:rsidRPr="005005BF">
        <w:rPr>
          <w:rFonts w:hAnsi="宋体"/>
        </w:rPr>
        <w:t>浓缩天然胶乳</w:t>
      </w:r>
      <w:r w:rsidRPr="005005BF">
        <w:t>—</w:t>
      </w:r>
      <w:r w:rsidRPr="005005BF">
        <w:rPr>
          <w:rFonts w:hAnsi="宋体"/>
        </w:rPr>
        <w:t>总固体含量的测定（</w:t>
      </w:r>
      <w:r w:rsidRPr="005005BF">
        <w:t>ISO 124</w:t>
      </w:r>
      <w:r w:rsidRPr="005005BF">
        <w:rPr>
          <w:rFonts w:hAnsi="宋体"/>
        </w:rPr>
        <w:t>：</w:t>
      </w:r>
      <w:r w:rsidRPr="005005BF">
        <w:t>1997</w:t>
      </w:r>
      <w:r w:rsidRPr="005005BF">
        <w:rPr>
          <w:rFonts w:hAnsi="宋体"/>
        </w:rPr>
        <w:t>，</w:t>
      </w:r>
      <w:r w:rsidRPr="005005BF">
        <w:t>MOD</w:t>
      </w:r>
      <w:r w:rsidRPr="005005BF">
        <w:t>）；</w:t>
      </w:r>
    </w:p>
    <w:p w:rsidR="00D30A52" w:rsidRPr="005005BF" w:rsidRDefault="00D30A52" w:rsidP="00D30A52">
      <w:pPr>
        <w:ind w:firstLineChars="196" w:firstLine="412"/>
      </w:pPr>
      <w:r w:rsidRPr="005005BF">
        <w:t>——</w:t>
      </w:r>
      <w:r w:rsidRPr="009E0CF6">
        <w:rPr>
          <w:highlight w:val="yellow"/>
        </w:rPr>
        <w:t>GB/T 8300-20</w:t>
      </w:r>
      <w:r w:rsidR="009E0CF6">
        <w:rPr>
          <w:rFonts w:hint="eastAsia"/>
          <w:highlight w:val="yellow"/>
        </w:rPr>
        <w:t>XX</w:t>
      </w:r>
      <w:r w:rsidRPr="009E0CF6">
        <w:rPr>
          <w:highlight w:val="yellow"/>
        </w:rPr>
        <w:t xml:space="preserve"> </w:t>
      </w:r>
      <w:r w:rsidRPr="009E0CF6">
        <w:rPr>
          <w:rFonts w:hAnsi="宋体"/>
          <w:highlight w:val="yellow"/>
        </w:rPr>
        <w:t>浓缩天然胶乳</w:t>
      </w:r>
      <w:r w:rsidRPr="009E0CF6">
        <w:rPr>
          <w:highlight w:val="yellow"/>
        </w:rPr>
        <w:t>—</w:t>
      </w:r>
      <w:r w:rsidRPr="009E0CF6">
        <w:rPr>
          <w:rFonts w:hAnsi="宋体"/>
          <w:highlight w:val="yellow"/>
        </w:rPr>
        <w:t>碱度的测定</w:t>
      </w:r>
      <w:r w:rsidRPr="009E0CF6">
        <w:rPr>
          <w:highlight w:val="yellow"/>
        </w:rPr>
        <w:t xml:space="preserve"> (ISO 125</w:t>
      </w:r>
      <w:r w:rsidRPr="009E0CF6">
        <w:rPr>
          <w:rFonts w:hAnsi="宋体"/>
          <w:highlight w:val="yellow"/>
        </w:rPr>
        <w:t>：</w:t>
      </w:r>
      <w:r w:rsidRPr="009E0CF6">
        <w:rPr>
          <w:highlight w:val="yellow"/>
        </w:rPr>
        <w:t>20</w:t>
      </w:r>
      <w:r w:rsidR="009E0CF6">
        <w:rPr>
          <w:rFonts w:hint="eastAsia"/>
          <w:highlight w:val="yellow"/>
        </w:rPr>
        <w:t>11</w:t>
      </w:r>
      <w:r w:rsidRPr="009E0CF6">
        <w:rPr>
          <w:rFonts w:hAnsi="宋体"/>
          <w:highlight w:val="yellow"/>
        </w:rPr>
        <w:t>，</w:t>
      </w:r>
      <w:r w:rsidRPr="009E0CF6">
        <w:rPr>
          <w:highlight w:val="yellow"/>
        </w:rPr>
        <w:t>IDT</w:t>
      </w:r>
      <w:r w:rsidRPr="009E0CF6">
        <w:rPr>
          <w:highlight w:val="yellow"/>
        </w:rPr>
        <w:t>）；</w:t>
      </w:r>
    </w:p>
    <w:p w:rsidR="00D30A52" w:rsidRPr="005005BF" w:rsidRDefault="00D30A52" w:rsidP="00D30A52">
      <w:pPr>
        <w:ind w:firstLineChars="196" w:firstLine="412"/>
      </w:pPr>
      <w:r w:rsidRPr="005005BF">
        <w:t xml:space="preserve">——GB/T 18012-2008 </w:t>
      </w:r>
      <w:r w:rsidRPr="005005BF">
        <w:t>天然胶乳</w:t>
      </w:r>
      <w:r w:rsidRPr="005005BF">
        <w:t>—pH</w:t>
      </w:r>
      <w:r w:rsidRPr="005005BF">
        <w:rPr>
          <w:rFonts w:hAnsi="宋体"/>
        </w:rPr>
        <w:t>值的测定</w:t>
      </w:r>
      <w:r w:rsidRPr="005005BF">
        <w:t xml:space="preserve"> (ISO 976</w:t>
      </w:r>
      <w:r w:rsidRPr="005005BF">
        <w:t>：</w:t>
      </w:r>
      <w:r w:rsidRPr="005005BF">
        <w:t>1996</w:t>
      </w:r>
      <w:r w:rsidRPr="005005BF">
        <w:t>，</w:t>
      </w:r>
      <w:r w:rsidRPr="005005BF">
        <w:t>MOD)</w:t>
      </w:r>
      <w:r w:rsidRPr="005005BF">
        <w:t>；</w:t>
      </w:r>
    </w:p>
    <w:p w:rsidR="00D30A52" w:rsidRPr="005005BF" w:rsidRDefault="00D30A52" w:rsidP="00D30A52">
      <w:pPr>
        <w:pStyle w:val="afe"/>
        <w:rPr>
          <w:rFonts w:ascii="Times New Roman"/>
        </w:rPr>
      </w:pPr>
      <w:r w:rsidRPr="005005BF">
        <w:rPr>
          <w:rFonts w:ascii="Times New Roman"/>
        </w:rPr>
        <w:t>本标准由中国石油和化学工业联合会提出。</w:t>
      </w:r>
    </w:p>
    <w:p w:rsidR="00D30A52" w:rsidRPr="005005BF" w:rsidRDefault="00D30A52" w:rsidP="00D30A52">
      <w:pPr>
        <w:pStyle w:val="afe"/>
        <w:rPr>
          <w:rFonts w:ascii="Times New Roman"/>
        </w:rPr>
      </w:pPr>
      <w:r w:rsidRPr="005005BF">
        <w:rPr>
          <w:rFonts w:ascii="Times New Roman"/>
        </w:rPr>
        <w:t>本标准由全国橡胶与橡胶标准化技术委员会天然橡胶分技术委员会（</w:t>
      </w:r>
      <w:r w:rsidRPr="005005BF">
        <w:rPr>
          <w:rFonts w:ascii="Times New Roman"/>
        </w:rPr>
        <w:t>SAC/TC 35/SC 8</w:t>
      </w:r>
      <w:r w:rsidRPr="005005BF">
        <w:rPr>
          <w:rFonts w:ascii="Times New Roman"/>
        </w:rPr>
        <w:t>）归口。</w:t>
      </w:r>
    </w:p>
    <w:p w:rsidR="00D30A52" w:rsidRPr="005005BF" w:rsidRDefault="00D30A52" w:rsidP="00D30A52">
      <w:pPr>
        <w:pStyle w:val="afe"/>
        <w:rPr>
          <w:rFonts w:ascii="Times New Roman"/>
        </w:rPr>
      </w:pPr>
      <w:r w:rsidRPr="005005BF">
        <w:rPr>
          <w:rFonts w:ascii="Times New Roman"/>
        </w:rPr>
        <w:t>本标准起草单位：中国热带农业科学院农产品加工研究所、</w:t>
      </w:r>
      <w:r w:rsidRPr="005005BF">
        <w:rPr>
          <w:rFonts w:ascii="Times New Roman"/>
          <w:szCs w:val="21"/>
        </w:rPr>
        <w:t>海南天然橡胶产业集团股份有限公司、广东省广垦橡胶集团有限公司茂名分公司、农业部天然橡胶质量监督检验测试中心</w:t>
      </w:r>
      <w:r w:rsidRPr="005005BF">
        <w:rPr>
          <w:rFonts w:ascii="Times New Roman"/>
        </w:rPr>
        <w:t>。</w:t>
      </w:r>
    </w:p>
    <w:p w:rsidR="00D30A52" w:rsidRPr="005005BF" w:rsidRDefault="00D30A52" w:rsidP="00D30A52">
      <w:pPr>
        <w:pStyle w:val="afe"/>
        <w:rPr>
          <w:rFonts w:ascii="Times New Roman"/>
        </w:rPr>
      </w:pPr>
      <w:r w:rsidRPr="005005BF">
        <w:rPr>
          <w:rFonts w:ascii="Times New Roman" w:hAnsi="宋体"/>
        </w:rPr>
        <w:t>本标准主要起草人：</w:t>
      </w:r>
      <w:r w:rsidRPr="005005BF">
        <w:rPr>
          <w:rFonts w:ascii="Times New Roman"/>
        </w:rPr>
        <w:t xml:space="preserve"> </w:t>
      </w:r>
    </w:p>
    <w:p w:rsidR="00D30A52" w:rsidRPr="005005BF" w:rsidRDefault="00D30A52" w:rsidP="00D30A52">
      <w:pPr>
        <w:pStyle w:val="afe"/>
        <w:rPr>
          <w:rFonts w:ascii="Times New Roman"/>
        </w:rPr>
      </w:pPr>
      <w:r w:rsidRPr="005005BF">
        <w:rPr>
          <w:rFonts w:ascii="Times New Roman"/>
        </w:rPr>
        <w:t>本标准所代替标准的历次版本发布情况为：</w:t>
      </w:r>
    </w:p>
    <w:p w:rsidR="00D30A52" w:rsidRPr="005005BF" w:rsidRDefault="00D30A52" w:rsidP="00D30A52">
      <w:pPr>
        <w:pStyle w:val="afe"/>
        <w:rPr>
          <w:rFonts w:ascii="Times New Roman"/>
        </w:rPr>
      </w:pPr>
      <w:r w:rsidRPr="005005BF">
        <w:rPr>
          <w:rFonts w:ascii="Times New Roman"/>
        </w:rPr>
        <w:t>GB/T 8297</w:t>
      </w:r>
      <w:r w:rsidR="0037705A">
        <w:rPr>
          <w:rFonts w:ascii="Times New Roman" w:hint="eastAsia"/>
        </w:rPr>
        <w:t>-</w:t>
      </w:r>
      <w:r w:rsidRPr="005005BF">
        <w:rPr>
          <w:rFonts w:ascii="Times New Roman"/>
        </w:rPr>
        <w:t>1987</w:t>
      </w:r>
      <w:r w:rsidRPr="005005BF">
        <w:rPr>
          <w:rFonts w:ascii="Times New Roman"/>
        </w:rPr>
        <w:t>、</w:t>
      </w:r>
      <w:r w:rsidRPr="005005BF">
        <w:rPr>
          <w:rFonts w:ascii="Times New Roman"/>
        </w:rPr>
        <w:t>GB/T 8297</w:t>
      </w:r>
      <w:r w:rsidR="0037705A">
        <w:rPr>
          <w:rFonts w:ascii="Times New Roman" w:hint="eastAsia"/>
        </w:rPr>
        <w:t>-</w:t>
      </w:r>
      <w:r w:rsidRPr="005005BF">
        <w:rPr>
          <w:rFonts w:ascii="Times New Roman"/>
        </w:rPr>
        <w:t>2001</w:t>
      </w:r>
      <w:r w:rsidRPr="005005BF">
        <w:rPr>
          <w:rFonts w:ascii="Times New Roman"/>
        </w:rPr>
        <w:t>、</w:t>
      </w:r>
      <w:r w:rsidRPr="005005BF">
        <w:rPr>
          <w:rFonts w:ascii="Times New Roman"/>
        </w:rPr>
        <w:t>GB/T 8297</w:t>
      </w:r>
      <w:r w:rsidR="0037705A">
        <w:rPr>
          <w:rFonts w:ascii="Times New Roman" w:hint="eastAsia"/>
        </w:rPr>
        <w:t>-</w:t>
      </w:r>
      <w:r w:rsidRPr="005005BF">
        <w:rPr>
          <w:rFonts w:ascii="Times New Roman"/>
        </w:rPr>
        <w:t>2008</w:t>
      </w:r>
      <w:r w:rsidRPr="005005BF">
        <w:rPr>
          <w:rFonts w:ascii="Times New Roman"/>
        </w:rPr>
        <w:t>。</w:t>
      </w:r>
    </w:p>
    <w:p w:rsidR="00D30A52" w:rsidRPr="00D30A52" w:rsidRDefault="00D30A52" w:rsidP="00D30A52">
      <w:pPr>
        <w:pStyle w:val="afe"/>
      </w:pPr>
    </w:p>
    <w:p w:rsidR="00D30A52" w:rsidRPr="00D30A52" w:rsidRDefault="00D30A52" w:rsidP="00D30A52">
      <w:pPr>
        <w:pStyle w:val="afe"/>
        <w:sectPr w:rsidR="00D30A52" w:rsidRPr="00D30A52" w:rsidSect="00D30A52">
          <w:headerReference w:type="default" r:id="rId15"/>
          <w:footerReference w:type="default" r:id="rId16"/>
          <w:pgSz w:w="11906" w:h="16838" w:code="9"/>
          <w:pgMar w:top="567" w:right="1134" w:bottom="1134" w:left="1418" w:header="1418" w:footer="1134" w:gutter="0"/>
          <w:pgNumType w:fmt="upperRoman" w:start="1"/>
          <w:cols w:space="425"/>
          <w:formProt w:val="0"/>
          <w:docGrid w:type="lines" w:linePitch="312"/>
        </w:sectPr>
      </w:pPr>
    </w:p>
    <w:p w:rsidR="00F34B99" w:rsidRDefault="00D30A52" w:rsidP="00D30A52">
      <w:pPr>
        <w:pStyle w:val="aff1"/>
      </w:pPr>
      <w:r>
        <w:rPr>
          <w:rFonts w:hint="eastAsia"/>
        </w:rPr>
        <w:lastRenderedPageBreak/>
        <w:t>浓</w:t>
      </w:r>
      <w:bookmarkStart w:id="18" w:name="StandardName"/>
      <w:r>
        <w:rPr>
          <w:rFonts w:hint="eastAsia"/>
        </w:rPr>
        <w:t>缩天然胶乳 氢氧化钾（KOH）值的测定</w:t>
      </w:r>
      <w:bookmarkEnd w:id="18"/>
    </w:p>
    <w:p w:rsidR="00D30A52" w:rsidRPr="00D30A52" w:rsidRDefault="00D30A52" w:rsidP="00D30A52">
      <w:pPr>
        <w:pStyle w:val="afe"/>
        <w:ind w:firstLineChars="0" w:firstLine="0"/>
      </w:pPr>
      <w:r w:rsidRPr="00733F64">
        <w:rPr>
          <w:rFonts w:ascii="黑体" w:eastAsia="黑体" w:hAnsi="黑体" w:hint="eastAsia"/>
          <w:b/>
        </w:rPr>
        <w:t>警告：</w:t>
      </w:r>
      <w:r w:rsidRPr="00733F64">
        <w:rPr>
          <w:rFonts w:ascii="黑体" w:eastAsia="黑体" w:hAnsi="黑体" w:hint="eastAsia"/>
        </w:rPr>
        <w:t>使用本标准的人员应有正规实验室工作的实践经验。本标准并未指出所有可能的安全问题。使用者有责任采取适</w:t>
      </w:r>
      <w:r w:rsidR="0063645D">
        <w:rPr>
          <w:rFonts w:ascii="黑体" w:eastAsia="黑体" w:hAnsi="黑体" w:hint="eastAsia"/>
        </w:rPr>
        <w:t>当</w:t>
      </w:r>
      <w:r w:rsidRPr="00733F64">
        <w:rPr>
          <w:rFonts w:ascii="黑体" w:eastAsia="黑体" w:hAnsi="黑体" w:hint="eastAsia"/>
        </w:rPr>
        <w:t>的安全和卫生措施，并保证符合国家有关法规规定的条件。</w:t>
      </w:r>
    </w:p>
    <w:p w:rsidR="00F34B99" w:rsidRDefault="00F34B99" w:rsidP="00211195">
      <w:pPr>
        <w:pStyle w:val="a0"/>
        <w:spacing w:before="312" w:after="312"/>
      </w:pPr>
      <w:r>
        <w:rPr>
          <w:rFonts w:hint="eastAsia"/>
        </w:rPr>
        <w:t>范围</w:t>
      </w:r>
    </w:p>
    <w:p w:rsidR="00D30A52" w:rsidRDefault="00D30A52" w:rsidP="00D30A52">
      <w:pPr>
        <w:pStyle w:val="afe"/>
      </w:pPr>
      <w:r>
        <w:rPr>
          <w:rFonts w:hint="eastAsia"/>
        </w:rPr>
        <w:t>本标准规定了</w:t>
      </w:r>
      <w:r w:rsidR="00EF1057">
        <w:rPr>
          <w:rFonts w:hint="eastAsia"/>
        </w:rPr>
        <w:t>全部</w:t>
      </w:r>
      <w:r>
        <w:rPr>
          <w:rFonts w:hint="eastAsia"/>
        </w:rPr>
        <w:t>或部分</w:t>
      </w:r>
      <w:r w:rsidR="0063645D">
        <w:rPr>
          <w:rFonts w:hint="eastAsia"/>
        </w:rPr>
        <w:t>用</w:t>
      </w:r>
      <w:r>
        <w:rPr>
          <w:rFonts w:hint="eastAsia"/>
        </w:rPr>
        <w:t>氨保存的浓缩天然胶乳氢氧化钾（</w:t>
      </w:r>
      <w:r w:rsidRPr="009E0CF6">
        <w:rPr>
          <w:rFonts w:ascii="Times New Roman"/>
        </w:rPr>
        <w:t>KOH</w:t>
      </w:r>
      <w:r>
        <w:rPr>
          <w:rFonts w:hint="eastAsia"/>
        </w:rPr>
        <w:t>）值的测定方法。</w:t>
      </w:r>
    </w:p>
    <w:p w:rsidR="00D30A52" w:rsidRDefault="00D30A52" w:rsidP="00D30A52">
      <w:pPr>
        <w:pStyle w:val="afe"/>
      </w:pPr>
      <w:r>
        <w:rPr>
          <w:rFonts w:hint="eastAsia"/>
        </w:rPr>
        <w:t>本标准适用于含硼酸的胶乳。</w:t>
      </w:r>
    </w:p>
    <w:p w:rsidR="00D30A52" w:rsidRDefault="00D30A52" w:rsidP="00D30A52">
      <w:pPr>
        <w:pStyle w:val="afe"/>
      </w:pPr>
      <w:r>
        <w:rPr>
          <w:rFonts w:hint="eastAsia"/>
        </w:rPr>
        <w:t>本标准不适用于用氢氧化钾保存的胶乳。</w:t>
      </w:r>
    </w:p>
    <w:p w:rsidR="00F34B99" w:rsidRDefault="00D30A52" w:rsidP="00D30A52">
      <w:pPr>
        <w:pStyle w:val="afe"/>
      </w:pPr>
      <w:r w:rsidRPr="00733F64">
        <w:rPr>
          <w:rFonts w:ascii="Times New Roman"/>
        </w:rPr>
        <w:t>本标准并不一定适用于</w:t>
      </w:r>
      <w:r w:rsidRPr="00733F64">
        <w:rPr>
          <w:rFonts w:ascii="Times New Roman" w:hint="eastAsia"/>
        </w:rPr>
        <w:t>非</w:t>
      </w:r>
      <w:r w:rsidRPr="00733F64">
        <w:rPr>
          <w:rFonts w:ascii="Times New Roman"/>
        </w:rPr>
        <w:t>巴西</w:t>
      </w:r>
      <w:r w:rsidRPr="00733F64">
        <w:rPr>
          <w:rFonts w:ascii="Times New Roman" w:hint="eastAsia"/>
        </w:rPr>
        <w:t>三叶</w:t>
      </w:r>
      <w:r w:rsidRPr="00733F64">
        <w:rPr>
          <w:rFonts w:ascii="Times New Roman"/>
        </w:rPr>
        <w:t>橡胶树生产的天然胶乳，也不一定适用于合成胶乳、配合胶乳、硫化胶乳以及</w:t>
      </w:r>
      <w:r w:rsidRPr="00733F64">
        <w:rPr>
          <w:rFonts w:ascii="Times New Roman" w:hint="eastAsia"/>
        </w:rPr>
        <w:t>乳化</w:t>
      </w:r>
      <w:r w:rsidRPr="00733F64">
        <w:rPr>
          <w:rFonts w:ascii="Times New Roman"/>
        </w:rPr>
        <w:t>胶乳</w:t>
      </w:r>
      <w:r w:rsidR="0063645D">
        <w:rPr>
          <w:rFonts w:ascii="Times New Roman" w:hint="eastAsia"/>
        </w:rPr>
        <w:t>。</w:t>
      </w:r>
    </w:p>
    <w:p w:rsidR="00F34B99" w:rsidRDefault="00F34B99" w:rsidP="00211195">
      <w:pPr>
        <w:pStyle w:val="a0"/>
        <w:spacing w:before="312" w:after="312"/>
      </w:pPr>
      <w:r>
        <w:rPr>
          <w:rFonts w:hint="eastAsia"/>
        </w:rPr>
        <w:t>规范性引用文件</w:t>
      </w:r>
    </w:p>
    <w:p w:rsidR="00F34B99" w:rsidRDefault="00F34B99" w:rsidP="00F34B99">
      <w:pPr>
        <w:pStyle w:val="af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D30A52" w:rsidRPr="00E603D2" w:rsidRDefault="00D30A52" w:rsidP="00D30A52">
      <w:pPr>
        <w:ind w:firstLineChars="196" w:firstLine="412"/>
      </w:pPr>
      <w:r w:rsidRPr="00E603D2">
        <w:t xml:space="preserve">ISO 123  </w:t>
      </w:r>
      <w:r w:rsidRPr="00E603D2">
        <w:rPr>
          <w:rFonts w:hAnsi="宋体"/>
        </w:rPr>
        <w:t>胶乳</w:t>
      </w:r>
      <w:r w:rsidRPr="00E603D2">
        <w:t>—</w:t>
      </w:r>
      <w:r w:rsidRPr="00E603D2">
        <w:rPr>
          <w:rFonts w:hAnsi="宋体"/>
        </w:rPr>
        <w:t>取样</w:t>
      </w:r>
      <w:r w:rsidRPr="00E603D2">
        <w:t xml:space="preserve"> (Rubber latex</w:t>
      </w:r>
      <w:r w:rsidRPr="00E603D2">
        <w:rPr>
          <w:i/>
          <w:iCs/>
          <w:kern w:val="0"/>
          <w:sz w:val="20"/>
          <w:szCs w:val="20"/>
        </w:rPr>
        <w:t>—</w:t>
      </w:r>
      <w:r w:rsidRPr="00E603D2">
        <w:t>Sampling)</w:t>
      </w:r>
    </w:p>
    <w:p w:rsidR="00D30A52" w:rsidRPr="00E603D2" w:rsidRDefault="00D30A52" w:rsidP="00D30A52">
      <w:pPr>
        <w:ind w:firstLineChars="196" w:firstLine="412"/>
      </w:pPr>
      <w:r w:rsidRPr="00E603D2">
        <w:t xml:space="preserve">ISO 124  </w:t>
      </w:r>
      <w:r w:rsidRPr="00E603D2">
        <w:rPr>
          <w:rFonts w:hAnsi="宋体"/>
        </w:rPr>
        <w:t>浓缩天然胶乳</w:t>
      </w:r>
      <w:r w:rsidRPr="00E603D2">
        <w:t>—</w:t>
      </w:r>
      <w:r w:rsidRPr="00E603D2">
        <w:rPr>
          <w:rFonts w:hAnsi="宋体"/>
        </w:rPr>
        <w:t>总固体含量的测定（</w:t>
      </w:r>
      <w:r w:rsidRPr="00E603D2">
        <w:t>Latex, rubber</w:t>
      </w:r>
      <w:r w:rsidRPr="00E603D2">
        <w:rPr>
          <w:i/>
          <w:iCs/>
          <w:kern w:val="0"/>
          <w:sz w:val="20"/>
          <w:szCs w:val="20"/>
        </w:rPr>
        <w:t xml:space="preserve">— </w:t>
      </w:r>
      <w:r w:rsidRPr="00E603D2">
        <w:t>Determination of total solids content</w:t>
      </w:r>
      <w:r w:rsidRPr="00E603D2">
        <w:rPr>
          <w:rFonts w:hAnsi="宋体"/>
        </w:rPr>
        <w:t>）</w:t>
      </w:r>
    </w:p>
    <w:p w:rsidR="00D30A52" w:rsidRPr="00E603D2" w:rsidRDefault="00D30A52" w:rsidP="00D30A52">
      <w:pPr>
        <w:ind w:firstLineChars="196" w:firstLine="412"/>
      </w:pPr>
      <w:r w:rsidRPr="00E603D2">
        <w:t xml:space="preserve">ISO 125  </w:t>
      </w:r>
      <w:r w:rsidRPr="00E603D2">
        <w:rPr>
          <w:rFonts w:hAnsi="宋体"/>
        </w:rPr>
        <w:t>浓缩天然胶乳</w:t>
      </w:r>
      <w:r w:rsidRPr="00E603D2">
        <w:t>—</w:t>
      </w:r>
      <w:r w:rsidRPr="00E603D2">
        <w:rPr>
          <w:rFonts w:hAnsi="宋体"/>
        </w:rPr>
        <w:t>碱度的测定</w:t>
      </w:r>
      <w:r w:rsidRPr="00E603D2">
        <w:t xml:space="preserve"> (Natural rubber latex concentrate</w:t>
      </w:r>
      <w:r w:rsidRPr="00E603D2">
        <w:rPr>
          <w:i/>
          <w:iCs/>
          <w:kern w:val="0"/>
          <w:sz w:val="20"/>
          <w:szCs w:val="20"/>
        </w:rPr>
        <w:t xml:space="preserve">— </w:t>
      </w:r>
      <w:r w:rsidRPr="00E603D2">
        <w:t>Determination of alkalinity)</w:t>
      </w:r>
    </w:p>
    <w:p w:rsidR="00D30A52" w:rsidRPr="00E603D2" w:rsidRDefault="00D30A52" w:rsidP="00D30A52">
      <w:pPr>
        <w:ind w:firstLineChars="196" w:firstLine="412"/>
      </w:pPr>
      <w:r w:rsidRPr="00E603D2">
        <w:t>ISO 976</w:t>
      </w:r>
      <w:r w:rsidR="007F5F8B">
        <w:rPr>
          <w:rFonts w:hint="eastAsia"/>
        </w:rPr>
        <w:t xml:space="preserve"> </w:t>
      </w:r>
      <w:r w:rsidRPr="00E603D2">
        <w:rPr>
          <w:rFonts w:hAnsi="宋体"/>
        </w:rPr>
        <w:t>橡胶和塑料</w:t>
      </w:r>
      <w:r w:rsidRPr="00E603D2">
        <w:t>—</w:t>
      </w:r>
      <w:r w:rsidRPr="00E603D2">
        <w:rPr>
          <w:rFonts w:hAnsi="宋体"/>
        </w:rPr>
        <w:t>聚合物分散体和胶乳</w:t>
      </w:r>
      <w:r w:rsidRPr="00E603D2">
        <w:t>—pH</w:t>
      </w:r>
      <w:r w:rsidRPr="00E603D2">
        <w:rPr>
          <w:rFonts w:hAnsi="宋体"/>
        </w:rPr>
        <w:t>值的测定</w:t>
      </w:r>
      <w:r w:rsidR="00A90C4A" w:rsidRPr="00E603D2">
        <w:rPr>
          <w:rFonts w:hAnsi="宋体"/>
        </w:rPr>
        <w:t>（</w:t>
      </w:r>
      <w:r w:rsidRPr="00E603D2">
        <w:t>Rubber and plastics</w:t>
      </w:r>
      <w:r w:rsidRPr="00E603D2">
        <w:rPr>
          <w:i/>
          <w:iCs/>
          <w:kern w:val="0"/>
          <w:sz w:val="20"/>
          <w:szCs w:val="20"/>
        </w:rPr>
        <w:t>—</w:t>
      </w:r>
      <w:r w:rsidRPr="00E603D2">
        <w:t>Po</w:t>
      </w:r>
      <w:r w:rsidR="007F5F8B">
        <w:t>lymer dispersions and rubber la</w:t>
      </w:r>
      <w:r w:rsidRPr="00E603D2">
        <w:t>tices</w:t>
      </w:r>
      <w:r w:rsidRPr="00E603D2">
        <w:rPr>
          <w:i/>
          <w:iCs/>
          <w:kern w:val="0"/>
          <w:sz w:val="20"/>
          <w:szCs w:val="20"/>
        </w:rPr>
        <w:t xml:space="preserve">— </w:t>
      </w:r>
      <w:r w:rsidRPr="00E603D2">
        <w:t>Determination of pH</w:t>
      </w:r>
      <w:r w:rsidR="00A90C4A" w:rsidRPr="00E603D2">
        <w:t>)</w:t>
      </w:r>
    </w:p>
    <w:p w:rsidR="00F34B99" w:rsidRDefault="007F5F8B" w:rsidP="00D30A52">
      <w:pPr>
        <w:ind w:firstLineChars="196" w:firstLine="412"/>
      </w:pPr>
      <w:r>
        <w:t xml:space="preserve">ISO 1802 </w:t>
      </w:r>
      <w:r w:rsidR="00D30A52" w:rsidRPr="00E603D2">
        <w:rPr>
          <w:rFonts w:hAnsi="宋体"/>
        </w:rPr>
        <w:t>浓缩天然胶</w:t>
      </w:r>
      <w:r>
        <w:rPr>
          <w:rFonts w:hAnsi="宋体" w:hint="eastAsia"/>
        </w:rPr>
        <w:t>乳</w:t>
      </w:r>
      <w:r w:rsidR="00D30A52" w:rsidRPr="00E603D2">
        <w:t>—</w:t>
      </w:r>
      <w:r w:rsidR="00D30A52" w:rsidRPr="00E603D2">
        <w:rPr>
          <w:rFonts w:hAnsi="宋体"/>
        </w:rPr>
        <w:t>硼酸含量的测定</w:t>
      </w:r>
      <w:r w:rsidR="00D30A52" w:rsidRPr="00E603D2">
        <w:t xml:space="preserve"> (Natural rubber latex concentrate</w:t>
      </w:r>
      <w:r w:rsidR="00D30A52" w:rsidRPr="00E603D2">
        <w:rPr>
          <w:i/>
          <w:iCs/>
          <w:kern w:val="0"/>
          <w:sz w:val="20"/>
          <w:szCs w:val="20"/>
        </w:rPr>
        <w:t xml:space="preserve">— </w:t>
      </w:r>
      <w:r w:rsidR="00D30A52" w:rsidRPr="00E603D2">
        <w:t>Determination of boric acid content)</w:t>
      </w:r>
    </w:p>
    <w:p w:rsidR="00D30A52" w:rsidRDefault="00D30A52" w:rsidP="00211195">
      <w:pPr>
        <w:pStyle w:val="a0"/>
        <w:spacing w:before="312" w:after="312"/>
      </w:pPr>
      <w:r>
        <w:rPr>
          <w:rFonts w:hint="eastAsia"/>
        </w:rPr>
        <w:t>术语和定义</w:t>
      </w:r>
    </w:p>
    <w:p w:rsidR="006F6F7F" w:rsidRPr="006F6F7F" w:rsidRDefault="006F6F7F" w:rsidP="006F6F7F">
      <w:pPr>
        <w:pStyle w:val="afe"/>
      </w:pPr>
      <w:r>
        <w:rPr>
          <w:rFonts w:hint="eastAsia"/>
        </w:rPr>
        <w:t>下列术语和定义适用于本标准。</w:t>
      </w:r>
    </w:p>
    <w:p w:rsidR="00D30A52" w:rsidRPr="00733F64" w:rsidRDefault="00D30A52" w:rsidP="00211195">
      <w:pPr>
        <w:pStyle w:val="a1"/>
        <w:spacing w:before="156" w:after="156"/>
        <w:rPr>
          <w:rFonts w:ascii="Times New Roman"/>
        </w:rPr>
      </w:pPr>
    </w:p>
    <w:p w:rsidR="00D30A52" w:rsidRDefault="00D30A52" w:rsidP="00D30A52">
      <w:pPr>
        <w:ind w:firstLineChars="200" w:firstLine="420"/>
        <w:rPr>
          <w:rFonts w:ascii="黑体" w:eastAsia="黑体"/>
        </w:rPr>
      </w:pPr>
      <w:r>
        <w:rPr>
          <w:rFonts w:ascii="黑体" w:eastAsia="黑体" w:hint="eastAsia"/>
        </w:rPr>
        <w:t>胶乳的KOH值  KOH number（of latex）</w:t>
      </w:r>
    </w:p>
    <w:p w:rsidR="00D30A52" w:rsidRDefault="00D30A52" w:rsidP="00D30A52">
      <w:r>
        <w:rPr>
          <w:rFonts w:hint="eastAsia"/>
        </w:rPr>
        <w:t xml:space="preserve">    </w:t>
      </w:r>
      <w:r>
        <w:rPr>
          <w:rFonts w:hint="eastAsia"/>
        </w:rPr>
        <w:t>含</w:t>
      </w:r>
      <w:smartTag w:uri="urn:schemas-microsoft-com:office:smarttags" w:element="chmetcnv">
        <w:smartTagPr>
          <w:attr w:name="TCSC" w:val="0"/>
          <w:attr w:name="NumberType" w:val="1"/>
          <w:attr w:name="Negative" w:val="False"/>
          <w:attr w:name="HasSpace" w:val="True"/>
          <w:attr w:name="SourceValue" w:val="100"/>
          <w:attr w:name="UnitName" w:val="g"/>
        </w:smartTagPr>
        <w:r>
          <w:rPr>
            <w:rFonts w:hint="eastAsia"/>
          </w:rPr>
          <w:t>100 g</w:t>
        </w:r>
      </w:smartTag>
      <w:r>
        <w:rPr>
          <w:rFonts w:hint="eastAsia"/>
        </w:rPr>
        <w:t>总固体浓缩胶乳中与氨结合的酸根所相当的氢氧化钾（</w:t>
      </w:r>
      <w:r>
        <w:t>KOH</w:t>
      </w:r>
      <w:r>
        <w:rPr>
          <w:rFonts w:hint="eastAsia"/>
        </w:rPr>
        <w:t>）的量，以克表示。</w:t>
      </w:r>
    </w:p>
    <w:p w:rsidR="00D30A52" w:rsidRPr="00733F64" w:rsidRDefault="00D30A52" w:rsidP="00D30A52">
      <w:pPr>
        <w:ind w:firstLineChars="200" w:firstLine="420"/>
      </w:pPr>
      <w:r w:rsidRPr="00AC1210">
        <w:rPr>
          <w:rFonts w:ascii="宋体" w:hAnsi="宋体" w:cs="ArialMT"/>
          <w:kern w:val="0"/>
          <w:szCs w:val="21"/>
        </w:rPr>
        <w:t>[</w:t>
      </w:r>
      <w:r w:rsidRPr="00263515">
        <w:rPr>
          <w:kern w:val="0"/>
          <w:szCs w:val="21"/>
        </w:rPr>
        <w:t>ISO 1382:2008</w:t>
      </w:r>
      <w:r w:rsidRPr="00AC1210">
        <w:rPr>
          <w:rFonts w:ascii="宋体" w:hAnsi="宋体" w:cs="ArialMT"/>
          <w:kern w:val="0"/>
          <w:szCs w:val="21"/>
        </w:rPr>
        <w:t>]</w:t>
      </w:r>
    </w:p>
    <w:p w:rsidR="00D30A52" w:rsidRPr="00733F64" w:rsidRDefault="00D30A52" w:rsidP="00211195">
      <w:pPr>
        <w:pStyle w:val="a0"/>
        <w:spacing w:before="312" w:after="312"/>
        <w:rPr>
          <w:rFonts w:ascii="Times New Roman"/>
        </w:rPr>
      </w:pPr>
      <w:r w:rsidRPr="00733F64">
        <w:rPr>
          <w:rFonts w:ascii="Times New Roman"/>
        </w:rPr>
        <w:t>试剂</w:t>
      </w:r>
    </w:p>
    <w:p w:rsidR="00D30A52" w:rsidRPr="00733F64" w:rsidRDefault="00D30A52" w:rsidP="00D30A52">
      <w:pPr>
        <w:pStyle w:val="afe"/>
        <w:rPr>
          <w:rFonts w:ascii="Times New Roman"/>
        </w:rPr>
      </w:pPr>
      <w:r>
        <w:rPr>
          <w:rFonts w:ascii="Times New Roman" w:hint="eastAsia"/>
        </w:rPr>
        <w:t>本标准仅</w:t>
      </w:r>
      <w:r>
        <w:rPr>
          <w:rFonts w:hint="eastAsia"/>
        </w:rPr>
        <w:t>使用确认的分析纯试剂以及不含二氧化碳的蒸馏水或纯度与之相当的水</w:t>
      </w:r>
      <w:r w:rsidR="006F6F7F">
        <w:rPr>
          <w:rFonts w:hint="eastAsia"/>
        </w:rPr>
        <w:t>。</w:t>
      </w:r>
    </w:p>
    <w:p w:rsidR="00D30A52" w:rsidRPr="00C605D5" w:rsidRDefault="00D30A52" w:rsidP="00211195">
      <w:pPr>
        <w:pStyle w:val="a1"/>
        <w:spacing w:before="156" w:after="156"/>
        <w:rPr>
          <w:rFonts w:ascii="Times New Roman"/>
        </w:rPr>
      </w:pPr>
      <w:r>
        <w:rPr>
          <w:rFonts w:hint="eastAsia"/>
        </w:rPr>
        <w:t>氢氧化钾，</w:t>
      </w:r>
      <w:r w:rsidRPr="00C605D5">
        <w:rPr>
          <w:rFonts w:ascii="Times New Roman" w:eastAsia="宋体" w:hAnsi="宋体"/>
        </w:rPr>
        <w:t>标准滴定溶液</w:t>
      </w:r>
      <w:r w:rsidR="00C605D5">
        <w:rPr>
          <w:rFonts w:ascii="Times New Roman" w:eastAsia="宋体" w:hint="eastAsia"/>
        </w:rPr>
        <w:t>，</w:t>
      </w:r>
      <w:r w:rsidRPr="005005BF">
        <w:rPr>
          <w:rFonts w:ascii="Times New Roman" w:eastAsia="宋体"/>
          <w:i/>
        </w:rPr>
        <w:t>c</w:t>
      </w:r>
      <w:r w:rsidRPr="00C605D5">
        <w:rPr>
          <w:rFonts w:ascii="Times New Roman" w:eastAsia="宋体"/>
        </w:rPr>
        <w:t xml:space="preserve"> (KOH)=0.1 mol/ L</w:t>
      </w:r>
      <w:r w:rsidRPr="00C605D5">
        <w:rPr>
          <w:rFonts w:ascii="Times New Roman" w:eastAsia="宋体" w:hAnsi="宋体"/>
        </w:rPr>
        <w:t>，不含碳酸盐。</w:t>
      </w:r>
    </w:p>
    <w:p w:rsidR="00D30A52" w:rsidRPr="00733F64" w:rsidRDefault="00D30A52" w:rsidP="00211195">
      <w:pPr>
        <w:pStyle w:val="a1"/>
        <w:spacing w:before="156" w:after="156"/>
        <w:rPr>
          <w:rFonts w:ascii="Times New Roman"/>
        </w:rPr>
      </w:pPr>
      <w:r w:rsidRPr="00C605D5">
        <w:rPr>
          <w:rFonts w:ascii="Times New Roman"/>
        </w:rPr>
        <w:lastRenderedPageBreak/>
        <w:t>氢氧化钾，</w:t>
      </w:r>
      <w:r w:rsidRPr="00C605D5">
        <w:rPr>
          <w:rFonts w:ascii="Times New Roman" w:eastAsia="宋体" w:hAnsi="宋体"/>
        </w:rPr>
        <w:t>标准滴定溶液</w:t>
      </w:r>
      <w:r w:rsidR="00C605D5">
        <w:rPr>
          <w:rFonts w:ascii="Times New Roman" w:eastAsia="宋体" w:hint="eastAsia"/>
        </w:rPr>
        <w:t>，</w:t>
      </w:r>
      <w:r w:rsidRPr="005005BF">
        <w:rPr>
          <w:rFonts w:ascii="Times New Roman" w:eastAsia="宋体"/>
          <w:i/>
        </w:rPr>
        <w:t>c</w:t>
      </w:r>
      <w:r w:rsidRPr="00C605D5">
        <w:rPr>
          <w:rFonts w:ascii="Times New Roman" w:eastAsia="宋体"/>
        </w:rPr>
        <w:t xml:space="preserve"> (KOH)=0.5 mol/ L</w:t>
      </w:r>
      <w:r w:rsidRPr="00C605D5">
        <w:rPr>
          <w:rFonts w:ascii="Times New Roman" w:eastAsia="宋体" w:hAnsi="宋体"/>
        </w:rPr>
        <w:t>，</w:t>
      </w:r>
      <w:r w:rsidRPr="005261F8">
        <w:rPr>
          <w:rFonts w:ascii="宋体" w:eastAsia="宋体" w:hAnsi="宋体" w:hint="eastAsia"/>
        </w:rPr>
        <w:t>不含碳酸盐</w:t>
      </w:r>
      <w:r w:rsidRPr="005261F8">
        <w:rPr>
          <w:rFonts w:ascii="宋体" w:eastAsia="宋体" w:hAnsi="宋体"/>
        </w:rPr>
        <w:t>。</w:t>
      </w:r>
    </w:p>
    <w:p w:rsidR="00D30A52" w:rsidRPr="00733F64" w:rsidRDefault="00D30A52" w:rsidP="00211195">
      <w:pPr>
        <w:pStyle w:val="a1"/>
        <w:spacing w:before="156" w:after="156"/>
        <w:rPr>
          <w:rFonts w:ascii="Times New Roman"/>
        </w:rPr>
      </w:pPr>
      <w:r>
        <w:rPr>
          <w:rFonts w:hint="eastAsia"/>
        </w:rPr>
        <w:t>甲醛，</w:t>
      </w:r>
      <w:r w:rsidRPr="005A43C6">
        <w:rPr>
          <w:rFonts w:ascii="Times New Roman" w:eastAsia="宋体"/>
        </w:rPr>
        <w:t>45g/L~50g/L</w:t>
      </w:r>
      <w:r w:rsidRPr="005A43C6">
        <w:rPr>
          <w:rFonts w:ascii="Times New Roman" w:eastAsia="宋体" w:hAnsi="宋体"/>
        </w:rPr>
        <w:t>的无酸甲醛溶液</w:t>
      </w:r>
      <w:r w:rsidRPr="005A43C6">
        <w:rPr>
          <w:rFonts w:ascii="Times New Roman" w:eastAsia="宋体"/>
        </w:rPr>
        <w:t>[</w:t>
      </w:r>
      <w:r w:rsidRPr="005005BF">
        <w:rPr>
          <w:rFonts w:ascii="Times New Roman" w:eastAsia="宋体"/>
          <w:i/>
        </w:rPr>
        <w:t>c</w:t>
      </w:r>
      <w:r w:rsidRPr="005A43C6">
        <w:rPr>
          <w:rFonts w:ascii="Times New Roman" w:eastAsia="宋体"/>
        </w:rPr>
        <w:t xml:space="preserve"> (HCHO)=1.5 mol/L~1.67 mol/L]</w:t>
      </w:r>
      <w:r w:rsidRPr="005A43C6">
        <w:rPr>
          <w:rFonts w:ascii="Times New Roman" w:eastAsia="宋体" w:hAnsi="宋体"/>
        </w:rPr>
        <w:t>，</w:t>
      </w:r>
      <w:r>
        <w:rPr>
          <w:rFonts w:ascii="Times New Roman" w:eastAsia="宋体" w:hAnsi="宋体" w:hint="eastAsia"/>
        </w:rPr>
        <w:t>配制</w:t>
      </w:r>
      <w:r w:rsidRPr="005A43C6">
        <w:rPr>
          <w:rFonts w:ascii="Times New Roman" w:eastAsia="宋体" w:hAnsi="宋体"/>
        </w:rPr>
        <w:t>方法是用水稀释浓甲醛，再用</w:t>
      </w:r>
      <w:r w:rsidRPr="005A43C6">
        <w:rPr>
          <w:rFonts w:ascii="Times New Roman" w:eastAsia="宋体"/>
        </w:rPr>
        <w:t>0.1 mol/ L</w:t>
      </w:r>
      <w:r w:rsidRPr="005A43C6">
        <w:rPr>
          <w:rFonts w:ascii="Times New Roman" w:eastAsia="宋体" w:hAnsi="宋体"/>
        </w:rPr>
        <w:t>的氢氧化钾溶液</w:t>
      </w:r>
      <w:r w:rsidRPr="005A43C6">
        <w:rPr>
          <w:rFonts w:ascii="Times New Roman" w:eastAsia="宋体"/>
        </w:rPr>
        <w:t>(4.1)</w:t>
      </w:r>
      <w:r w:rsidRPr="005A43C6">
        <w:rPr>
          <w:rFonts w:ascii="Times New Roman" w:eastAsia="宋体" w:hAnsi="宋体"/>
        </w:rPr>
        <w:t>中和，用酚酞作指示剂，淡粉红色即为终点</w:t>
      </w:r>
      <w:r w:rsidRPr="005A43C6">
        <w:rPr>
          <w:rFonts w:ascii="Times New Roman" w:eastAsia="宋体"/>
        </w:rPr>
        <w:t>。</w:t>
      </w:r>
    </w:p>
    <w:p w:rsidR="00D30A52" w:rsidRDefault="00D30A52" w:rsidP="00D30A52">
      <w:pPr>
        <w:ind w:firstLineChars="200" w:firstLine="420"/>
      </w:pPr>
      <w:r>
        <w:rPr>
          <w:rFonts w:hint="eastAsia"/>
        </w:rPr>
        <w:t>按附录</w:t>
      </w:r>
      <w:r>
        <w:rPr>
          <w:rFonts w:hint="eastAsia"/>
        </w:rPr>
        <w:t>A</w:t>
      </w:r>
      <w:r>
        <w:rPr>
          <w:rFonts w:hint="eastAsia"/>
        </w:rPr>
        <w:t>所述的方法测定甲醛的浓度。</w:t>
      </w:r>
    </w:p>
    <w:p w:rsidR="00D30A52" w:rsidRPr="00733F64" w:rsidRDefault="00D30A52" w:rsidP="00D30A52">
      <w:pPr>
        <w:pStyle w:val="afe"/>
        <w:ind w:firstLineChars="250" w:firstLine="450"/>
        <w:rPr>
          <w:rFonts w:ascii="Times New Roman"/>
        </w:rPr>
      </w:pPr>
      <w:r w:rsidRPr="00211195">
        <w:rPr>
          <w:rFonts w:hint="eastAsia"/>
          <w:sz w:val="18"/>
          <w:szCs w:val="18"/>
        </w:rPr>
        <w:t>注：放置太久的甲醛溶液可能会吸收二氧化碳，而影响测定结果。应尽量使用新鲜的甲醛溶液</w:t>
      </w:r>
      <w:r w:rsidRPr="00733F64">
        <w:rPr>
          <w:rFonts w:ascii="Times New Roman"/>
        </w:rPr>
        <w:t>。</w:t>
      </w:r>
    </w:p>
    <w:p w:rsidR="00D30A52" w:rsidRPr="00733F64" w:rsidRDefault="00D30A52" w:rsidP="00211195">
      <w:pPr>
        <w:pStyle w:val="a0"/>
        <w:spacing w:before="312" w:after="312"/>
        <w:rPr>
          <w:rFonts w:ascii="Times New Roman"/>
        </w:rPr>
      </w:pPr>
      <w:r w:rsidRPr="00733F64">
        <w:rPr>
          <w:rFonts w:ascii="Times New Roman"/>
        </w:rPr>
        <w:t>仪器</w:t>
      </w:r>
    </w:p>
    <w:p w:rsidR="00D30A52" w:rsidRPr="00733F64" w:rsidRDefault="00146743" w:rsidP="00D30A52">
      <w:pPr>
        <w:pStyle w:val="afe"/>
        <w:rPr>
          <w:rFonts w:ascii="Times New Roman"/>
        </w:rPr>
      </w:pPr>
      <w:r w:rsidRPr="00733F64">
        <w:rPr>
          <w:rFonts w:ascii="Times New Roman"/>
        </w:rPr>
        <w:t>实验</w:t>
      </w:r>
      <w:r>
        <w:rPr>
          <w:rFonts w:ascii="Times New Roman" w:hint="eastAsia"/>
        </w:rPr>
        <w:t>室常规玻璃器皿</w:t>
      </w:r>
      <w:r w:rsidR="00D30A52" w:rsidRPr="00733F64">
        <w:rPr>
          <w:rFonts w:ascii="Times New Roman"/>
        </w:rPr>
        <w:t>，以及：</w:t>
      </w:r>
    </w:p>
    <w:p w:rsidR="00D30A52" w:rsidRPr="00F00906" w:rsidRDefault="00D30A52" w:rsidP="00211195">
      <w:pPr>
        <w:pStyle w:val="a1"/>
        <w:spacing w:before="156" w:after="156"/>
        <w:rPr>
          <w:rFonts w:ascii="Times New Roman" w:eastAsia="宋体"/>
        </w:rPr>
      </w:pPr>
      <w:r>
        <w:t>pH计，符合</w:t>
      </w:r>
      <w:r w:rsidRPr="00F00906">
        <w:rPr>
          <w:rFonts w:ascii="Times New Roman"/>
        </w:rPr>
        <w:t>ISO 976</w:t>
      </w:r>
      <w:r w:rsidRPr="00F00906">
        <w:rPr>
          <w:rFonts w:ascii="Times New Roman" w:hAnsi="宋体"/>
        </w:rPr>
        <w:t>的规定</w:t>
      </w:r>
      <w:r w:rsidRPr="00F00906">
        <w:rPr>
          <w:rFonts w:ascii="Times New Roman" w:eastAsia="宋体" w:hAnsi="宋体"/>
        </w:rPr>
        <w:t>，但精度为</w:t>
      </w:r>
      <w:r w:rsidRPr="00F00906">
        <w:rPr>
          <w:rFonts w:ascii="Times New Roman" w:eastAsia="宋体"/>
        </w:rPr>
        <w:t>0.01</w:t>
      </w:r>
      <w:r w:rsidRPr="00F00906">
        <w:rPr>
          <w:rFonts w:ascii="Times New Roman" w:eastAsia="宋体" w:hAnsi="宋体"/>
        </w:rPr>
        <w:t>个</w:t>
      </w:r>
      <w:r w:rsidRPr="00F00906">
        <w:rPr>
          <w:rFonts w:ascii="Times New Roman" w:eastAsia="宋体"/>
        </w:rPr>
        <w:t>pH</w:t>
      </w:r>
      <w:r w:rsidRPr="00F00906">
        <w:rPr>
          <w:rFonts w:ascii="Times New Roman" w:eastAsia="宋体" w:hAnsi="宋体"/>
        </w:rPr>
        <w:t>单位</w:t>
      </w:r>
      <w:r w:rsidRPr="00F00906">
        <w:rPr>
          <w:rFonts w:ascii="Times New Roman" w:eastAsia="宋体"/>
        </w:rPr>
        <w:t>。</w:t>
      </w:r>
    </w:p>
    <w:p w:rsidR="00D30A52" w:rsidRPr="00F00906" w:rsidRDefault="00D30A52" w:rsidP="00211195">
      <w:pPr>
        <w:pStyle w:val="a1"/>
        <w:spacing w:before="156" w:after="156"/>
        <w:rPr>
          <w:rFonts w:ascii="Times New Roman" w:eastAsia="宋体"/>
        </w:rPr>
      </w:pPr>
      <w:r w:rsidRPr="00F00906">
        <w:rPr>
          <w:rStyle w:val="Char2"/>
          <w:rFonts w:ascii="Times New Roman" w:hAnsi="宋体"/>
        </w:rPr>
        <w:t>玻璃电极，</w:t>
      </w:r>
      <w:r w:rsidRPr="00F00906">
        <w:rPr>
          <w:rStyle w:val="Char2"/>
          <w:rFonts w:ascii="Times New Roman" w:eastAsia="宋体" w:hAnsi="宋体"/>
        </w:rPr>
        <w:t>适用于在</w:t>
      </w:r>
      <w:r w:rsidRPr="00F00906">
        <w:rPr>
          <w:rStyle w:val="Char2"/>
          <w:rFonts w:ascii="Times New Roman" w:eastAsia="宋体"/>
        </w:rPr>
        <w:t>pH</w:t>
      </w:r>
      <w:r w:rsidRPr="00F00906">
        <w:rPr>
          <w:rStyle w:val="Char2"/>
          <w:rFonts w:ascii="Times New Roman" w:eastAsia="宋体" w:hAnsi="宋体"/>
        </w:rPr>
        <w:t>值高达</w:t>
      </w:r>
      <w:r w:rsidRPr="00F00906">
        <w:rPr>
          <w:rStyle w:val="Char2"/>
          <w:rFonts w:ascii="Times New Roman" w:eastAsia="宋体"/>
        </w:rPr>
        <w:t>12.0</w:t>
      </w:r>
      <w:r w:rsidRPr="00F00906">
        <w:rPr>
          <w:rStyle w:val="Char2"/>
          <w:rFonts w:ascii="Times New Roman" w:eastAsia="宋体" w:hAnsi="宋体"/>
        </w:rPr>
        <w:t>的溶液中使用</w:t>
      </w:r>
      <w:r w:rsidRPr="00F00906">
        <w:rPr>
          <w:rFonts w:ascii="Times New Roman" w:eastAsia="宋体"/>
        </w:rPr>
        <w:t>。</w:t>
      </w:r>
    </w:p>
    <w:p w:rsidR="00D30A52" w:rsidRPr="00F00906" w:rsidRDefault="00D30A52" w:rsidP="00211195">
      <w:pPr>
        <w:pStyle w:val="a1"/>
        <w:spacing w:before="156" w:after="156"/>
        <w:rPr>
          <w:rFonts w:ascii="Times New Roman" w:eastAsia="宋体"/>
        </w:rPr>
      </w:pPr>
      <w:r w:rsidRPr="00F00906">
        <w:rPr>
          <w:rFonts w:ascii="Times New Roman" w:hAnsi="宋体"/>
        </w:rPr>
        <w:t>机械搅拌器</w:t>
      </w:r>
      <w:r w:rsidRPr="00F00906">
        <w:rPr>
          <w:rFonts w:ascii="Times New Roman" w:eastAsia="宋体" w:hAnsi="宋体"/>
        </w:rPr>
        <w:t>，配备接地马达和玻璃桨叶，或</w:t>
      </w:r>
      <w:r w:rsidRPr="00F00906">
        <w:rPr>
          <w:rFonts w:ascii="Times New Roman"/>
        </w:rPr>
        <w:t>磁力搅拌器</w:t>
      </w:r>
      <w:r w:rsidRPr="00F00906">
        <w:rPr>
          <w:rFonts w:ascii="Times New Roman" w:eastAsia="宋体"/>
        </w:rPr>
        <w:t>。</w:t>
      </w:r>
    </w:p>
    <w:p w:rsidR="00D30A52" w:rsidRPr="003E2BFE" w:rsidRDefault="00D30A52" w:rsidP="00D30A52">
      <w:pPr>
        <w:pStyle w:val="afe"/>
      </w:pPr>
      <w:r w:rsidRPr="00F00906">
        <w:rPr>
          <w:rFonts w:ascii="Times New Roman" w:hAnsi="宋体"/>
          <w:szCs w:val="21"/>
        </w:rPr>
        <w:t>如果自动滴定仪经校准</w:t>
      </w:r>
      <w:r w:rsidR="008B73A1">
        <w:rPr>
          <w:rFonts w:ascii="Times New Roman" w:hAnsi="宋体" w:hint="eastAsia"/>
          <w:szCs w:val="21"/>
        </w:rPr>
        <w:t>后其</w:t>
      </w:r>
      <w:r w:rsidRPr="00F00906">
        <w:rPr>
          <w:rFonts w:ascii="Times New Roman" w:hAnsi="宋体"/>
          <w:szCs w:val="21"/>
        </w:rPr>
        <w:t>效果与标准方法相同，也可以使用</w:t>
      </w:r>
      <w:r>
        <w:rPr>
          <w:rFonts w:hAnsi="宋体" w:hint="eastAsia"/>
          <w:szCs w:val="21"/>
        </w:rPr>
        <w:t>。</w:t>
      </w:r>
    </w:p>
    <w:p w:rsidR="00D30A52" w:rsidRPr="00733F64" w:rsidRDefault="00D30A52" w:rsidP="00211195">
      <w:pPr>
        <w:pStyle w:val="a0"/>
        <w:spacing w:before="312" w:after="312"/>
        <w:rPr>
          <w:rFonts w:ascii="Times New Roman"/>
        </w:rPr>
      </w:pPr>
      <w:r w:rsidRPr="00733F64">
        <w:rPr>
          <w:rFonts w:ascii="Times New Roman"/>
        </w:rPr>
        <w:t>取样</w:t>
      </w:r>
    </w:p>
    <w:p w:rsidR="00D30A52" w:rsidRPr="00733F64" w:rsidRDefault="00D30A52" w:rsidP="00D30A52">
      <w:pPr>
        <w:pStyle w:val="afe"/>
        <w:rPr>
          <w:rFonts w:ascii="Times New Roman"/>
        </w:rPr>
      </w:pPr>
      <w:r w:rsidRPr="00733F64">
        <w:rPr>
          <w:rFonts w:ascii="Times New Roman"/>
        </w:rPr>
        <w:t>按照</w:t>
      </w:r>
      <w:r w:rsidRPr="00733F64">
        <w:rPr>
          <w:rFonts w:ascii="Times New Roman"/>
        </w:rPr>
        <w:t>ISO 123</w:t>
      </w:r>
      <w:r>
        <w:rPr>
          <w:rFonts w:ascii="Times New Roman" w:hint="eastAsia"/>
        </w:rPr>
        <w:t xml:space="preserve"> </w:t>
      </w:r>
      <w:r w:rsidRPr="00733F64">
        <w:rPr>
          <w:rFonts w:ascii="Times New Roman" w:hAnsi="宋体"/>
        </w:rPr>
        <w:t>规定的方法取样。</w:t>
      </w:r>
    </w:p>
    <w:p w:rsidR="00D30A52" w:rsidRPr="00531965" w:rsidRDefault="00D30A52" w:rsidP="00211195">
      <w:pPr>
        <w:pStyle w:val="a0"/>
        <w:spacing w:before="312" w:after="312"/>
        <w:rPr>
          <w:rFonts w:ascii="Times New Roman"/>
        </w:rPr>
      </w:pPr>
      <w:r w:rsidRPr="00531965">
        <w:rPr>
          <w:rFonts w:ascii="Times New Roman"/>
        </w:rPr>
        <w:t>操作程序</w:t>
      </w:r>
    </w:p>
    <w:p w:rsidR="00D30A52" w:rsidRPr="005005BF" w:rsidRDefault="00D30A52" w:rsidP="00D30A52">
      <w:pPr>
        <w:pStyle w:val="afe"/>
        <w:rPr>
          <w:rFonts w:ascii="Times New Roman"/>
        </w:rPr>
      </w:pPr>
      <w:r w:rsidRPr="005005BF">
        <w:rPr>
          <w:rFonts w:ascii="Times New Roman"/>
        </w:rPr>
        <w:t>按</w:t>
      </w:r>
      <w:r w:rsidRPr="005005BF">
        <w:rPr>
          <w:rFonts w:ascii="Times New Roman"/>
        </w:rPr>
        <w:t>ISO 976</w:t>
      </w:r>
      <w:r w:rsidRPr="005005BF">
        <w:rPr>
          <w:rFonts w:ascii="Times New Roman"/>
        </w:rPr>
        <w:t>中规定的方法校准</w:t>
      </w:r>
      <w:r w:rsidRPr="005005BF">
        <w:rPr>
          <w:rFonts w:ascii="Times New Roman"/>
        </w:rPr>
        <w:t>pH</w:t>
      </w:r>
      <w:r w:rsidRPr="005005BF">
        <w:rPr>
          <w:rFonts w:ascii="Times New Roman"/>
        </w:rPr>
        <w:t>计。如果胶乳的总固体含量（</w:t>
      </w:r>
      <w:r w:rsidR="00997DD9" w:rsidRPr="005005BF">
        <w:rPr>
          <w:rFonts w:ascii="Times New Roman"/>
          <w:i/>
        </w:rPr>
        <w:t>w</w:t>
      </w:r>
      <w:r w:rsidRPr="005005BF">
        <w:rPr>
          <w:rFonts w:ascii="Times New Roman"/>
          <w:vertAlign w:val="subscript"/>
        </w:rPr>
        <w:t>TS</w:t>
      </w:r>
      <w:r w:rsidRPr="005005BF">
        <w:rPr>
          <w:rFonts w:ascii="Times New Roman"/>
        </w:rPr>
        <w:t>）和碱度</w:t>
      </w:r>
      <w:r w:rsidRPr="005005BF">
        <w:rPr>
          <w:rFonts w:ascii="Times New Roman"/>
        </w:rPr>
        <w:t>(</w:t>
      </w:r>
      <w:r w:rsidRPr="005005BF">
        <w:rPr>
          <w:rFonts w:ascii="Times New Roman"/>
          <w:i/>
        </w:rPr>
        <w:t>A</w:t>
      </w:r>
      <w:r w:rsidRPr="005005BF">
        <w:rPr>
          <w:rFonts w:ascii="Times New Roman"/>
        </w:rPr>
        <w:t>)</w:t>
      </w:r>
      <w:r w:rsidRPr="005005BF">
        <w:rPr>
          <w:rFonts w:ascii="Times New Roman"/>
        </w:rPr>
        <w:t>未知，应分别采用</w:t>
      </w:r>
      <w:r w:rsidRPr="005005BF">
        <w:rPr>
          <w:rFonts w:ascii="Times New Roman"/>
        </w:rPr>
        <w:t>ISO 124</w:t>
      </w:r>
      <w:r w:rsidRPr="005005BF">
        <w:rPr>
          <w:rFonts w:ascii="Times New Roman"/>
        </w:rPr>
        <w:t>和</w:t>
      </w:r>
      <w:r w:rsidRPr="005005BF">
        <w:rPr>
          <w:rFonts w:ascii="Times New Roman"/>
        </w:rPr>
        <w:t>ISO 125</w:t>
      </w:r>
      <w:r w:rsidRPr="005005BF">
        <w:rPr>
          <w:rFonts w:ascii="Times New Roman"/>
        </w:rPr>
        <w:t>进行测定。如果胶乳中含有硼酸，而且未知其含量，应采用</w:t>
      </w:r>
      <w:r w:rsidRPr="005005BF">
        <w:rPr>
          <w:rFonts w:ascii="Times New Roman"/>
        </w:rPr>
        <w:t>ISO 1802</w:t>
      </w:r>
      <w:r w:rsidRPr="005005BF">
        <w:rPr>
          <w:rFonts w:ascii="Times New Roman"/>
        </w:rPr>
        <w:t>进行测定。</w:t>
      </w:r>
    </w:p>
    <w:p w:rsidR="00D30A52" w:rsidRPr="005005BF" w:rsidRDefault="00D30A52" w:rsidP="00D30A52">
      <w:pPr>
        <w:pStyle w:val="afe"/>
        <w:rPr>
          <w:rFonts w:ascii="Times New Roman"/>
        </w:rPr>
      </w:pPr>
      <w:r w:rsidRPr="005005BF">
        <w:rPr>
          <w:rFonts w:ascii="Times New Roman"/>
        </w:rPr>
        <w:t>进行双份平行测定。</w:t>
      </w:r>
    </w:p>
    <w:p w:rsidR="00D30A52" w:rsidRPr="005005BF" w:rsidRDefault="00D30A52" w:rsidP="00D30A52">
      <w:pPr>
        <w:pStyle w:val="afe"/>
        <w:rPr>
          <w:rFonts w:ascii="Times New Roman"/>
        </w:rPr>
      </w:pPr>
      <w:r w:rsidRPr="005005BF">
        <w:rPr>
          <w:rFonts w:ascii="Times New Roman"/>
        </w:rPr>
        <w:t>称取约含</w:t>
      </w:r>
      <w:smartTag w:uri="urn:schemas-microsoft-com:office:smarttags" w:element="chmetcnv">
        <w:smartTagPr>
          <w:attr w:name="TCSC" w:val="0"/>
          <w:attr w:name="NumberType" w:val="1"/>
          <w:attr w:name="Negative" w:val="False"/>
          <w:attr w:name="HasSpace" w:val="True"/>
          <w:attr w:name="SourceValue" w:val="50"/>
          <w:attr w:name="UnitName" w:val="g"/>
        </w:smartTagPr>
        <w:r w:rsidRPr="005005BF">
          <w:rPr>
            <w:rFonts w:ascii="Times New Roman"/>
          </w:rPr>
          <w:t>50 g</w:t>
        </w:r>
      </w:smartTag>
      <w:r w:rsidRPr="005005BF">
        <w:rPr>
          <w:rFonts w:ascii="Times New Roman"/>
        </w:rPr>
        <w:t>总固体的胶乳样品放人</w:t>
      </w:r>
      <w:r w:rsidRPr="005005BF">
        <w:rPr>
          <w:rFonts w:ascii="Times New Roman"/>
        </w:rPr>
        <w:t>400 mL</w:t>
      </w:r>
      <w:r w:rsidRPr="005005BF">
        <w:rPr>
          <w:rFonts w:ascii="Times New Roman"/>
        </w:rPr>
        <w:t>的烧杯中作为试样（质量</w:t>
      </w:r>
      <w:r w:rsidRPr="005005BF">
        <w:rPr>
          <w:rFonts w:ascii="Times New Roman"/>
          <w:i/>
        </w:rPr>
        <w:t>m</w:t>
      </w:r>
      <w:r w:rsidRPr="005005BF">
        <w:rPr>
          <w:rFonts w:ascii="Times New Roman"/>
        </w:rPr>
        <w:t>），精确至</w:t>
      </w:r>
      <w:smartTag w:uri="urn:schemas-microsoft-com:office:smarttags" w:element="chmetcnv">
        <w:smartTagPr>
          <w:attr w:name="TCSC" w:val="0"/>
          <w:attr w:name="NumberType" w:val="1"/>
          <w:attr w:name="Negative" w:val="False"/>
          <w:attr w:name="HasSpace" w:val="False"/>
          <w:attr w:name="SourceValue" w:val=".1"/>
          <w:attr w:name="UnitName" w:val="g"/>
        </w:smartTagPr>
        <w:r w:rsidRPr="005005BF">
          <w:rPr>
            <w:rFonts w:ascii="Times New Roman"/>
          </w:rPr>
          <w:t>0.1g</w:t>
        </w:r>
      </w:smartTag>
      <w:r w:rsidRPr="005005BF">
        <w:rPr>
          <w:rFonts w:ascii="Times New Roman"/>
        </w:rPr>
        <w:t>。必要时可边搅拌边加入需要量的甲醛溶液（</w:t>
      </w:r>
      <w:r w:rsidRPr="005005BF">
        <w:rPr>
          <w:rFonts w:ascii="Times New Roman"/>
        </w:rPr>
        <w:t>4.3</w:t>
      </w:r>
      <w:r w:rsidRPr="005005BF">
        <w:rPr>
          <w:rFonts w:ascii="Times New Roman"/>
        </w:rPr>
        <w:t>），将碱度调节到氨含量（</w:t>
      </w:r>
      <w:r w:rsidRPr="005005BF">
        <w:rPr>
          <w:rFonts w:ascii="Times New Roman"/>
        </w:rPr>
        <w:t>0.5</w:t>
      </w:r>
      <w:r w:rsidRPr="005005BF">
        <w:rPr>
          <w:rFonts w:ascii="Times New Roman"/>
        </w:rPr>
        <w:t>士</w:t>
      </w:r>
      <w:r w:rsidRPr="005005BF">
        <w:rPr>
          <w:rFonts w:ascii="Times New Roman"/>
        </w:rPr>
        <w:t>0.1</w:t>
      </w:r>
      <w:r w:rsidRPr="005005BF">
        <w:rPr>
          <w:rFonts w:ascii="Times New Roman"/>
        </w:rPr>
        <w:t>）</w:t>
      </w:r>
      <w:r w:rsidRPr="005005BF">
        <w:rPr>
          <w:rFonts w:ascii="Times New Roman"/>
        </w:rPr>
        <w:t xml:space="preserve">% </w:t>
      </w:r>
      <w:r w:rsidRPr="005005BF">
        <w:rPr>
          <w:rFonts w:ascii="Times New Roman"/>
        </w:rPr>
        <w:t>（按水相计）。</w:t>
      </w:r>
    </w:p>
    <w:p w:rsidR="00D30A52" w:rsidRPr="005005BF" w:rsidRDefault="00D30A52" w:rsidP="00D30A52">
      <w:pPr>
        <w:pStyle w:val="afe"/>
        <w:rPr>
          <w:rFonts w:ascii="Times New Roman"/>
        </w:rPr>
      </w:pPr>
      <w:r w:rsidRPr="005005BF">
        <w:rPr>
          <w:rFonts w:ascii="Times New Roman"/>
        </w:rPr>
        <w:t>采用式（</w:t>
      </w:r>
      <w:r w:rsidRPr="005005BF">
        <w:rPr>
          <w:rFonts w:ascii="Times New Roman"/>
        </w:rPr>
        <w:t>1</w:t>
      </w:r>
      <w:r w:rsidRPr="005005BF">
        <w:rPr>
          <w:rFonts w:ascii="Times New Roman"/>
        </w:rPr>
        <w:t>）计算需加入的甲醛溶液体积</w:t>
      </w:r>
      <w:r w:rsidR="00FE1E9A" w:rsidRPr="005005BF">
        <w:rPr>
          <w:rFonts w:ascii="Times New Roman"/>
          <w:i/>
        </w:rPr>
        <w:t>V</w:t>
      </w:r>
      <w:r w:rsidR="00FE1E9A" w:rsidRPr="005005BF">
        <w:rPr>
          <w:rFonts w:ascii="Times New Roman"/>
        </w:rPr>
        <w:t>f</w:t>
      </w:r>
      <w:r w:rsidR="00FE1E9A" w:rsidRPr="005005BF">
        <w:rPr>
          <w:rFonts w:ascii="Times New Roman"/>
        </w:rPr>
        <w:t>，以毫升（</w:t>
      </w:r>
      <w:r w:rsidR="00FE1E9A" w:rsidRPr="005005BF">
        <w:rPr>
          <w:rFonts w:ascii="Times New Roman"/>
        </w:rPr>
        <w:t>mL</w:t>
      </w:r>
      <w:r w:rsidR="00FE1E9A" w:rsidRPr="005005BF">
        <w:rPr>
          <w:rFonts w:ascii="Times New Roman"/>
        </w:rPr>
        <w:t>）表示</w:t>
      </w:r>
      <w:r w:rsidRPr="005005BF">
        <w:rPr>
          <w:rFonts w:ascii="Times New Roman"/>
        </w:rPr>
        <w:t>：</w:t>
      </w:r>
    </w:p>
    <w:p w:rsidR="00D30A52" w:rsidRPr="00B71BFF" w:rsidRDefault="005005BF" w:rsidP="00EB48ED">
      <w:pPr>
        <w:pStyle w:val="afe"/>
        <w:jc w:val="right"/>
        <w:rPr>
          <w:rFonts w:ascii="Times New Roman"/>
        </w:rPr>
      </w:pPr>
      <w:r w:rsidRPr="00B83E5A">
        <w:rPr>
          <w:rFonts w:ascii="Times New Roman"/>
          <w:position w:val="-30"/>
        </w:rPr>
        <w:object w:dxaOrig="26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34pt" o:ole="">
            <v:imagedata r:id="rId17" o:title=""/>
          </v:shape>
          <o:OLEObject Type="Embed" ProgID="Equation.3" ShapeID="_x0000_i1025" DrawAspect="Content" ObjectID="_1533454744" r:id="rId18"/>
        </w:object>
      </w:r>
      <w:r w:rsidR="00D30A52" w:rsidRPr="00B71BFF">
        <w:rPr>
          <w:rFonts w:ascii="Times New Roman"/>
        </w:rPr>
        <w:t xml:space="preserve">        ………………………</w:t>
      </w:r>
      <w:r w:rsidR="00D30A52" w:rsidRPr="00B71BFF">
        <w:rPr>
          <w:rFonts w:ascii="Times New Roman" w:hAnsi="宋体"/>
        </w:rPr>
        <w:t>（</w:t>
      </w:r>
      <w:r w:rsidR="00D30A52" w:rsidRPr="00B71BFF">
        <w:rPr>
          <w:rFonts w:ascii="Times New Roman"/>
        </w:rPr>
        <w:t>1</w:t>
      </w:r>
      <w:r w:rsidR="00D30A52" w:rsidRPr="00B71BFF">
        <w:rPr>
          <w:rFonts w:ascii="Times New Roman" w:hAnsi="宋体"/>
        </w:rPr>
        <w:t>）</w:t>
      </w:r>
    </w:p>
    <w:p w:rsidR="00D30A52" w:rsidRPr="00B71BFF" w:rsidRDefault="00D30A52" w:rsidP="00D30A52">
      <w:pPr>
        <w:pStyle w:val="afe"/>
        <w:rPr>
          <w:rFonts w:ascii="Times New Roman"/>
        </w:rPr>
      </w:pPr>
      <w:r w:rsidRPr="00B71BFF">
        <w:rPr>
          <w:rFonts w:ascii="Times New Roman"/>
        </w:rPr>
        <w:t>式中：</w:t>
      </w:r>
    </w:p>
    <w:p w:rsidR="00D30A52" w:rsidRPr="00B71BFF" w:rsidRDefault="00D30A52" w:rsidP="00D30A52">
      <w:pPr>
        <w:ind w:firstLineChars="200" w:firstLine="420"/>
      </w:pPr>
      <w:r w:rsidRPr="005005BF">
        <w:rPr>
          <w:i/>
        </w:rPr>
        <w:t>m</w:t>
      </w:r>
      <w:r w:rsidRPr="00B71BFF">
        <w:t>——</w:t>
      </w:r>
      <w:r w:rsidRPr="00B71BFF">
        <w:t>试样质量，单位为克</w:t>
      </w:r>
      <w:r w:rsidR="00FE1E9A">
        <w:rPr>
          <w:rFonts w:hint="eastAsia"/>
        </w:rPr>
        <w:t>（</w:t>
      </w:r>
      <w:r w:rsidR="00FE1E9A">
        <w:rPr>
          <w:rFonts w:hint="eastAsia"/>
        </w:rPr>
        <w:t>g</w:t>
      </w:r>
      <w:r w:rsidR="00FE1E9A">
        <w:rPr>
          <w:rFonts w:hint="eastAsia"/>
        </w:rPr>
        <w:t>）</w:t>
      </w:r>
      <w:r w:rsidRPr="00B71BFF">
        <w:t>；</w:t>
      </w:r>
    </w:p>
    <w:p w:rsidR="00D30A52" w:rsidRPr="00B71BFF" w:rsidRDefault="00D30A52" w:rsidP="00D30A52">
      <w:pPr>
        <w:ind w:firstLineChars="200" w:firstLine="420"/>
      </w:pPr>
      <w:r w:rsidRPr="005005BF">
        <w:rPr>
          <w:i/>
        </w:rPr>
        <w:t>w</w:t>
      </w:r>
      <w:r w:rsidRPr="00EB24A0">
        <w:rPr>
          <w:vertAlign w:val="subscript"/>
        </w:rPr>
        <w:t>TS</w:t>
      </w:r>
      <w:r w:rsidRPr="00B71BFF">
        <w:rPr>
          <w:i/>
        </w:rPr>
        <w:t>——</w:t>
      </w:r>
      <w:r>
        <w:t>浓缩胶乳总固体含量，以质量</w:t>
      </w:r>
      <w:r w:rsidRPr="00B71BFF">
        <w:t>分数表示；</w:t>
      </w:r>
    </w:p>
    <w:p w:rsidR="00D30A52" w:rsidRPr="00B71BFF" w:rsidRDefault="00D30A52" w:rsidP="00D30A52">
      <w:pPr>
        <w:ind w:firstLineChars="200" w:firstLine="420"/>
      </w:pPr>
      <w:r w:rsidRPr="005005BF">
        <w:rPr>
          <w:i/>
        </w:rPr>
        <w:t>A</w:t>
      </w:r>
      <w:r w:rsidRPr="00B71BFF">
        <w:t>——</w:t>
      </w:r>
      <w:r w:rsidRPr="00B71BFF">
        <w:t>碱度；</w:t>
      </w:r>
    </w:p>
    <w:p w:rsidR="00D30A52" w:rsidRPr="00B71BFF" w:rsidRDefault="00D30A52" w:rsidP="00D30A52">
      <w:pPr>
        <w:ind w:firstLineChars="200" w:firstLine="420"/>
      </w:pPr>
      <w:r w:rsidRPr="005005BF">
        <w:rPr>
          <w:i/>
        </w:rPr>
        <w:t>c</w:t>
      </w:r>
      <w:r w:rsidRPr="00997DD9">
        <w:t>(HCHO)</w:t>
      </w:r>
      <w:r w:rsidRPr="00B71BFF">
        <w:t>——</w:t>
      </w:r>
      <w:r w:rsidRPr="00B71BFF">
        <w:t>甲醛溶液</w:t>
      </w:r>
      <w:r w:rsidRPr="00B71BFF">
        <w:t>(4.3)</w:t>
      </w:r>
      <w:r w:rsidRPr="00B71BFF">
        <w:t>的实际浓度，单位为摩尔每升（</w:t>
      </w:r>
      <w:r w:rsidRPr="00B71BFF">
        <w:t>mol/L</w:t>
      </w:r>
      <w:r w:rsidRPr="00B71BFF">
        <w:t>）</w:t>
      </w:r>
      <w:r w:rsidR="00531965">
        <w:rPr>
          <w:rFonts w:hint="eastAsia"/>
        </w:rPr>
        <w:t>。</w:t>
      </w:r>
    </w:p>
    <w:p w:rsidR="00D30A52" w:rsidRDefault="00D30A52" w:rsidP="00D30A52">
      <w:pPr>
        <w:ind w:firstLine="435"/>
      </w:pPr>
      <w:r w:rsidRPr="00B71BFF">
        <w:t>用水将胶乳的总固体含量稀释到约</w:t>
      </w:r>
      <w:r w:rsidRPr="00B71BFF">
        <w:t>30%</w:t>
      </w:r>
      <w:r w:rsidRPr="00B71BFF">
        <w:t>。</w:t>
      </w:r>
    </w:p>
    <w:p w:rsidR="00FE1E9A" w:rsidRPr="00B71BFF" w:rsidRDefault="00FE1E9A" w:rsidP="00D30A52">
      <w:pPr>
        <w:ind w:firstLine="435"/>
      </w:pPr>
      <w:r>
        <w:rPr>
          <w:rFonts w:hint="eastAsia"/>
        </w:rPr>
        <w:t>将</w:t>
      </w:r>
      <w:r>
        <w:rPr>
          <w:rFonts w:hint="eastAsia"/>
        </w:rPr>
        <w:t>pH</w:t>
      </w:r>
      <w:r>
        <w:rPr>
          <w:rFonts w:hint="eastAsia"/>
        </w:rPr>
        <w:t>计（</w:t>
      </w:r>
      <w:r>
        <w:rPr>
          <w:rFonts w:hint="eastAsia"/>
        </w:rPr>
        <w:t>5.1</w:t>
      </w:r>
      <w:r>
        <w:rPr>
          <w:rFonts w:hint="eastAsia"/>
        </w:rPr>
        <w:t>）的电极插入到稀释的胶乳中，并记录</w:t>
      </w:r>
      <w:r>
        <w:rPr>
          <w:rFonts w:hint="eastAsia"/>
        </w:rPr>
        <w:t>pH</w:t>
      </w:r>
      <w:r>
        <w:rPr>
          <w:rFonts w:hint="eastAsia"/>
        </w:rPr>
        <w:t>值。</w:t>
      </w:r>
    </w:p>
    <w:p w:rsidR="00D30A52" w:rsidRPr="00B71BFF" w:rsidRDefault="00D30A52" w:rsidP="00D30A52">
      <w:pPr>
        <w:ind w:firstLineChars="200" w:firstLine="420"/>
      </w:pPr>
      <w:r w:rsidRPr="00B71BFF">
        <w:t>如果起始</w:t>
      </w:r>
      <w:r w:rsidRPr="00B71BFF">
        <w:t>pH</w:t>
      </w:r>
      <w:r w:rsidRPr="00B71BFF">
        <w:t>值低于</w:t>
      </w:r>
      <w:r w:rsidRPr="00B71BFF">
        <w:t>10.3</w:t>
      </w:r>
      <w:r w:rsidRPr="00B71BFF">
        <w:t>，</w:t>
      </w:r>
      <w:r>
        <w:rPr>
          <w:rFonts w:hint="eastAsia"/>
        </w:rPr>
        <w:t>在</w:t>
      </w:r>
      <w:r w:rsidRPr="00B71BFF">
        <w:t>玻璃桨叶</w:t>
      </w:r>
      <w:r>
        <w:rPr>
          <w:rFonts w:hint="eastAsia"/>
        </w:rPr>
        <w:t>或磁力搅拌装置（</w:t>
      </w:r>
      <w:r>
        <w:rPr>
          <w:rFonts w:hint="eastAsia"/>
        </w:rPr>
        <w:t>5.3</w:t>
      </w:r>
      <w:r>
        <w:rPr>
          <w:rFonts w:hint="eastAsia"/>
        </w:rPr>
        <w:t>）缓慢</w:t>
      </w:r>
      <w:r w:rsidRPr="00B71BFF">
        <w:t>搅拌</w:t>
      </w:r>
      <w:r>
        <w:rPr>
          <w:rFonts w:hint="eastAsia"/>
        </w:rPr>
        <w:t>的条件下，缓慢</w:t>
      </w:r>
      <w:r w:rsidRPr="00B71BFF">
        <w:t>地加入</w:t>
      </w:r>
      <w:r w:rsidRPr="00B71BFF">
        <w:t>5 mL</w:t>
      </w:r>
      <w:r>
        <w:rPr>
          <w:rFonts w:hint="eastAsia"/>
        </w:rPr>
        <w:t>浓度为</w:t>
      </w:r>
      <w:r>
        <w:rPr>
          <w:rFonts w:hint="eastAsia"/>
        </w:rPr>
        <w:t>0.5</w:t>
      </w:r>
      <w:r w:rsidR="005005BF">
        <w:t xml:space="preserve"> mol/</w:t>
      </w:r>
      <w:r w:rsidRPr="00B71BFF">
        <w:t>L</w:t>
      </w:r>
      <w:r w:rsidRPr="00B71BFF">
        <w:t>的氢氧化钾溶液</w:t>
      </w:r>
      <w:r>
        <w:rPr>
          <w:rFonts w:hint="eastAsia"/>
        </w:rPr>
        <w:t>（</w:t>
      </w:r>
      <w:r w:rsidRPr="00B71BFF">
        <w:t>4.2</w:t>
      </w:r>
      <w:r>
        <w:rPr>
          <w:rFonts w:hint="eastAsia"/>
        </w:rPr>
        <w:t>）</w:t>
      </w:r>
      <w:r w:rsidRPr="00B71BFF">
        <w:t>。记录达到平衡时的</w:t>
      </w:r>
      <w:r w:rsidRPr="00B71BFF">
        <w:t>pH</w:t>
      </w:r>
      <w:r w:rsidRPr="00B71BFF">
        <w:t>读数。继续搅拌，同时以固定时间间隔</w:t>
      </w:r>
      <w:r w:rsidR="00FE1E9A">
        <w:rPr>
          <w:rFonts w:hint="eastAsia"/>
        </w:rPr>
        <w:t>（</w:t>
      </w:r>
      <w:r w:rsidRPr="00B71BFF">
        <w:t>如</w:t>
      </w:r>
      <w:r w:rsidRPr="00B71BFF">
        <w:t>15s</w:t>
      </w:r>
      <w:r w:rsidR="00FE1E9A">
        <w:rPr>
          <w:rFonts w:hint="eastAsia"/>
        </w:rPr>
        <w:t>）</w:t>
      </w:r>
      <w:r w:rsidRPr="00B71BFF">
        <w:rPr>
          <w:rFonts w:hAnsi="宋体"/>
        </w:rPr>
        <w:t>加入</w:t>
      </w:r>
      <w:r w:rsidRPr="00B71BFF">
        <w:t>0.5 mol/L</w:t>
      </w:r>
      <w:r w:rsidRPr="00B71BFF">
        <w:t>氢氧化钾溶液</w:t>
      </w:r>
      <w:r>
        <w:rPr>
          <w:rFonts w:hint="eastAsia"/>
        </w:rPr>
        <w:t>（</w:t>
      </w:r>
      <w:r w:rsidRPr="00B71BFF">
        <w:t>4.2</w:t>
      </w:r>
      <w:r>
        <w:rPr>
          <w:rFonts w:hint="eastAsia"/>
        </w:rPr>
        <w:t>）</w:t>
      </w:r>
      <w:r w:rsidRPr="00B71BFF">
        <w:t>，每次</w:t>
      </w:r>
      <w:r w:rsidRPr="00B71BFF">
        <w:t>1 mL</w:t>
      </w:r>
      <w:r w:rsidRPr="00B71BFF">
        <w:t>。记下每次加入氢氧化钾溶液达到平衡时的</w:t>
      </w:r>
      <w:r w:rsidRPr="00B71BFF">
        <w:t>pH</w:t>
      </w:r>
      <w:r w:rsidRPr="00B71BFF">
        <w:t>值，直到超过终点为止。</w:t>
      </w:r>
    </w:p>
    <w:p w:rsidR="00D30A52" w:rsidRPr="00B71BFF" w:rsidRDefault="00D30A52" w:rsidP="00D30A52">
      <w:pPr>
        <w:ind w:firstLineChars="200" w:firstLine="420"/>
      </w:pPr>
      <w:r w:rsidRPr="00B71BFF">
        <w:lastRenderedPageBreak/>
        <w:t>如果起始</w:t>
      </w:r>
      <w:r w:rsidRPr="00B71BFF">
        <w:t>pH</w:t>
      </w:r>
      <w:r w:rsidRPr="00B71BFF">
        <w:t>值</w:t>
      </w:r>
      <w:r w:rsidR="00EE577B">
        <w:rPr>
          <w:rFonts w:hint="eastAsia"/>
        </w:rPr>
        <w:t>是</w:t>
      </w:r>
      <w:r w:rsidRPr="00B71BFF">
        <w:t>10.3</w:t>
      </w:r>
      <w:r w:rsidRPr="00B71BFF">
        <w:rPr>
          <w:rFonts w:hAnsi="宋体"/>
        </w:rPr>
        <w:t>或高于</w:t>
      </w:r>
      <w:r w:rsidRPr="00B71BFF">
        <w:t>10.3</w:t>
      </w:r>
      <w:r w:rsidRPr="00B71BFF">
        <w:rPr>
          <w:rFonts w:hAnsi="宋体"/>
        </w:rPr>
        <w:t>，可省去最初一次加入</w:t>
      </w:r>
      <w:r w:rsidRPr="00B71BFF">
        <w:t>5 mL</w:t>
      </w:r>
      <w:r>
        <w:t>（氢氧化钾溶液的步骤），直接按上</w:t>
      </w:r>
      <w:r w:rsidRPr="00B71BFF">
        <w:t>述操作步骤，</w:t>
      </w:r>
      <w:r>
        <w:rPr>
          <w:rFonts w:hint="eastAsia"/>
        </w:rPr>
        <w:t>以</w:t>
      </w:r>
      <w:r w:rsidRPr="00B71BFF">
        <w:t>每一时间间隔滴加</w:t>
      </w:r>
      <w:r w:rsidRPr="00B71BFF">
        <w:t xml:space="preserve">1 mL </w:t>
      </w:r>
      <w:r w:rsidRPr="00B71BFF">
        <w:t>的频率，滴</w:t>
      </w:r>
      <w:r w:rsidRPr="00B71BFF">
        <w:rPr>
          <w:rFonts w:hAnsi="宋体"/>
        </w:rPr>
        <w:t>加</w:t>
      </w:r>
      <w:r w:rsidRPr="00B71BFF">
        <w:t>0.5 mol/ L</w:t>
      </w:r>
      <w:r w:rsidRPr="00B71BFF">
        <w:t>氢氧化钾溶液</w:t>
      </w:r>
      <w:r>
        <w:rPr>
          <w:rFonts w:hint="eastAsia"/>
        </w:rPr>
        <w:t>（</w:t>
      </w:r>
      <w:r w:rsidRPr="00B71BFF">
        <w:t>4.2</w:t>
      </w:r>
      <w:r>
        <w:rPr>
          <w:rFonts w:hint="eastAsia"/>
        </w:rPr>
        <w:t>）</w:t>
      </w:r>
      <w:r w:rsidRPr="00B71BFF">
        <w:t>。</w:t>
      </w:r>
    </w:p>
    <w:p w:rsidR="00D30A52" w:rsidRDefault="00D30A52" w:rsidP="00D30A52">
      <w:pPr>
        <w:ind w:firstLineChars="200" w:firstLine="420"/>
      </w:pPr>
      <w:r>
        <w:rPr>
          <w:rFonts w:hint="eastAsia"/>
        </w:rPr>
        <w:t>滴定终点是</w:t>
      </w:r>
      <w:r>
        <w:rPr>
          <w:rFonts w:hint="eastAsia"/>
        </w:rPr>
        <w:t>pH</w:t>
      </w:r>
      <w:r>
        <w:rPr>
          <w:rFonts w:hint="eastAsia"/>
        </w:rPr>
        <w:t>值对氢氧化钾溶液滴定体积（以</w:t>
      </w:r>
      <w:r>
        <w:t>mL</w:t>
      </w:r>
      <w:r>
        <w:rPr>
          <w:rFonts w:hint="eastAsia"/>
        </w:rPr>
        <w:t>计）的滴定曲线的拐点。在</w:t>
      </w:r>
      <w:r w:rsidR="00EE577B">
        <w:rPr>
          <w:rFonts w:hint="eastAsia"/>
        </w:rPr>
        <w:t>这一点上</w:t>
      </w:r>
      <w:r>
        <w:rPr>
          <w:rFonts w:hint="eastAsia"/>
        </w:rPr>
        <w:t>，曲线的斜率（即一阶微分）达到最大值，而二阶微分则由正值变为负值。假定二阶微分由正值变为负值与每次加入</w:t>
      </w:r>
      <w:r>
        <w:rPr>
          <w:rFonts w:ascii="宋体" w:hAnsi="宋体" w:hint="eastAsia"/>
        </w:rPr>
        <w:t>1</w:t>
      </w:r>
      <w:r>
        <w:rPr>
          <w:rFonts w:hint="eastAsia"/>
        </w:rPr>
        <w:t xml:space="preserve"> </w:t>
      </w:r>
      <w:r>
        <w:t>mL</w:t>
      </w:r>
      <w:r>
        <w:rPr>
          <w:rFonts w:hint="eastAsia"/>
        </w:rPr>
        <w:t>氢氧化钾之间呈线形关系，那么终点应按照二阶微分进行计算。</w:t>
      </w:r>
    </w:p>
    <w:p w:rsidR="00D30A52" w:rsidRDefault="00D30A52" w:rsidP="00D30A52">
      <w:pPr>
        <w:ind w:firstLineChars="200" w:firstLine="420"/>
      </w:pPr>
      <w:r>
        <w:rPr>
          <w:rFonts w:hint="eastAsia"/>
        </w:rPr>
        <w:t>附录</w:t>
      </w:r>
      <w:r>
        <w:rPr>
          <w:rFonts w:hint="eastAsia"/>
        </w:rPr>
        <w:t xml:space="preserve"> B</w:t>
      </w:r>
      <w:r>
        <w:rPr>
          <w:rFonts w:hint="eastAsia"/>
        </w:rPr>
        <w:t>给出了一个滴定和计算终点的范例。</w:t>
      </w:r>
    </w:p>
    <w:p w:rsidR="00D30A52" w:rsidRPr="00733F64" w:rsidRDefault="00D30A52" w:rsidP="00D30A52">
      <w:pPr>
        <w:pStyle w:val="afe"/>
        <w:rPr>
          <w:rFonts w:ascii="Times New Roman"/>
        </w:rPr>
      </w:pPr>
      <w:r>
        <w:rPr>
          <w:rFonts w:hint="eastAsia"/>
        </w:rPr>
        <w:t>双份平行测定结果之差不应大于</w:t>
      </w:r>
      <w:r>
        <w:rPr>
          <w:rFonts w:hAnsi="宋体" w:hint="eastAsia"/>
        </w:rPr>
        <w:t>5</w:t>
      </w:r>
      <w:r>
        <w:rPr>
          <w:rFonts w:hint="eastAsia"/>
        </w:rPr>
        <w:t>％(质量分数)</w:t>
      </w:r>
      <w:r w:rsidRPr="00733F64">
        <w:rPr>
          <w:rFonts w:ascii="Times New Roman"/>
        </w:rPr>
        <w:t>。</w:t>
      </w:r>
    </w:p>
    <w:p w:rsidR="00D30A52" w:rsidRPr="00733F64" w:rsidRDefault="00D30A52" w:rsidP="00211195">
      <w:pPr>
        <w:pStyle w:val="a0"/>
        <w:spacing w:before="312" w:after="312"/>
        <w:rPr>
          <w:rFonts w:ascii="Times New Roman"/>
        </w:rPr>
      </w:pPr>
      <w:r>
        <w:rPr>
          <w:rFonts w:ascii="Times New Roman" w:hint="eastAsia"/>
        </w:rPr>
        <w:t>结果表示</w:t>
      </w:r>
    </w:p>
    <w:p w:rsidR="00D30A52" w:rsidRPr="005005BF" w:rsidRDefault="00D30A52" w:rsidP="00D30A52">
      <w:pPr>
        <w:pStyle w:val="afe"/>
        <w:rPr>
          <w:rFonts w:ascii="Times New Roman"/>
        </w:rPr>
      </w:pPr>
      <w:r w:rsidRPr="005005BF">
        <w:rPr>
          <w:rFonts w:ascii="Times New Roman"/>
        </w:rPr>
        <w:t>按式</w:t>
      </w:r>
      <w:r w:rsidRPr="005005BF">
        <w:rPr>
          <w:rFonts w:ascii="Times New Roman" w:hAnsi="宋体"/>
        </w:rPr>
        <w:t>（</w:t>
      </w:r>
      <w:r w:rsidRPr="005005BF">
        <w:rPr>
          <w:rFonts w:ascii="Times New Roman"/>
        </w:rPr>
        <w:t>2</w:t>
      </w:r>
      <w:r w:rsidRPr="005005BF">
        <w:rPr>
          <w:rFonts w:ascii="Times New Roman" w:hAnsi="宋体"/>
        </w:rPr>
        <w:t>）</w:t>
      </w:r>
      <w:r w:rsidR="00531965" w:rsidRPr="005005BF">
        <w:rPr>
          <w:rFonts w:ascii="Times New Roman"/>
        </w:rPr>
        <w:t>计算</w:t>
      </w:r>
      <w:r w:rsidRPr="005005BF">
        <w:rPr>
          <w:rFonts w:ascii="Times New Roman"/>
        </w:rPr>
        <w:t>浓缩天然胶乳的氢氧化钾（</w:t>
      </w:r>
      <w:r w:rsidRPr="005005BF">
        <w:rPr>
          <w:rFonts w:ascii="Times New Roman"/>
        </w:rPr>
        <w:t>KOH</w:t>
      </w:r>
      <w:r w:rsidRPr="005005BF">
        <w:rPr>
          <w:rFonts w:ascii="Times New Roman"/>
        </w:rPr>
        <w:t>）值</w:t>
      </w:r>
      <w:r w:rsidRPr="005005BF">
        <w:rPr>
          <w:rFonts w:ascii="Times New Roman"/>
          <w:i/>
        </w:rPr>
        <w:t>K</w:t>
      </w:r>
      <w:r w:rsidRPr="005005BF">
        <w:rPr>
          <w:rFonts w:ascii="Times New Roman"/>
        </w:rPr>
        <w:t>：</w:t>
      </w:r>
    </w:p>
    <w:p w:rsidR="00D30A52" w:rsidRPr="005005BF" w:rsidRDefault="00531965" w:rsidP="00EB48ED">
      <w:pPr>
        <w:pStyle w:val="afe"/>
        <w:jc w:val="right"/>
        <w:rPr>
          <w:rFonts w:ascii="Times New Roman"/>
        </w:rPr>
      </w:pPr>
      <w:r w:rsidRPr="005005BF">
        <w:rPr>
          <w:rFonts w:ascii="Times New Roman"/>
          <w:position w:val="-30"/>
        </w:rPr>
        <w:object w:dxaOrig="1180" w:dyaOrig="680">
          <v:shape id="_x0000_i1026" type="#_x0000_t75" style="width:59.35pt;height:34pt" o:ole="">
            <v:imagedata r:id="rId19" o:title=""/>
          </v:shape>
          <o:OLEObject Type="Embed" ProgID="Equation.3" ShapeID="_x0000_i1026" DrawAspect="Content" ObjectID="_1533454745" r:id="rId20"/>
        </w:object>
      </w:r>
      <w:r w:rsidR="00D30A52" w:rsidRPr="005005BF">
        <w:rPr>
          <w:rFonts w:ascii="Times New Roman"/>
        </w:rPr>
        <w:t xml:space="preserve">   </w:t>
      </w:r>
      <w:r w:rsidRPr="005005BF">
        <w:rPr>
          <w:rFonts w:ascii="Times New Roman"/>
        </w:rPr>
        <w:t>……………………</w:t>
      </w:r>
      <w:r w:rsidR="00D30A52" w:rsidRPr="005005BF">
        <w:rPr>
          <w:rFonts w:ascii="Times New Roman"/>
        </w:rPr>
        <w:t>………………………</w:t>
      </w:r>
      <w:r w:rsidR="00D30A52" w:rsidRPr="005005BF">
        <w:rPr>
          <w:rFonts w:ascii="Times New Roman" w:hAnsi="宋体"/>
        </w:rPr>
        <w:t>（</w:t>
      </w:r>
      <w:r w:rsidR="00D30A52" w:rsidRPr="005005BF">
        <w:rPr>
          <w:rFonts w:ascii="Times New Roman"/>
        </w:rPr>
        <w:t>2</w:t>
      </w:r>
      <w:r w:rsidR="00D30A52" w:rsidRPr="005005BF">
        <w:rPr>
          <w:rFonts w:ascii="Times New Roman" w:hAnsi="宋体"/>
        </w:rPr>
        <w:t>）</w:t>
      </w:r>
    </w:p>
    <w:p w:rsidR="00D30A52" w:rsidRPr="005005BF" w:rsidRDefault="00D30A52" w:rsidP="00D30A52">
      <w:pPr>
        <w:pStyle w:val="afe"/>
        <w:rPr>
          <w:rFonts w:ascii="Times New Roman"/>
        </w:rPr>
      </w:pPr>
      <w:r w:rsidRPr="005005BF">
        <w:rPr>
          <w:rFonts w:ascii="Times New Roman"/>
        </w:rPr>
        <w:t>式中：</w:t>
      </w:r>
    </w:p>
    <w:p w:rsidR="00D30A52" w:rsidRPr="005005BF" w:rsidRDefault="00D30A52" w:rsidP="00D30A52">
      <w:pPr>
        <w:ind w:firstLineChars="250" w:firstLine="525"/>
      </w:pPr>
      <w:r w:rsidRPr="005005BF">
        <w:rPr>
          <w:i/>
        </w:rPr>
        <w:t>c</w:t>
      </w:r>
      <w:r w:rsidRPr="005005BF">
        <w:t>——</w:t>
      </w:r>
      <w:r w:rsidRPr="005005BF">
        <w:t>氢氧化钾溶液（</w:t>
      </w:r>
      <w:r w:rsidRPr="005005BF">
        <w:t>4.2</w:t>
      </w:r>
      <w:r w:rsidRPr="005005BF">
        <w:t>）的实际浓度，单位为摩尔每升（</w:t>
      </w:r>
      <w:r w:rsidRPr="005005BF">
        <w:t>mol/ L</w:t>
      </w:r>
      <w:r w:rsidRPr="005005BF">
        <w:t>）；</w:t>
      </w:r>
    </w:p>
    <w:p w:rsidR="00D30A52" w:rsidRPr="005005BF" w:rsidRDefault="00D30A52" w:rsidP="00D30A52">
      <w:pPr>
        <w:ind w:firstLine="420"/>
      </w:pPr>
      <w:r w:rsidRPr="005005BF">
        <w:rPr>
          <w:i/>
        </w:rPr>
        <w:t>Ｖ</w:t>
      </w:r>
      <w:r w:rsidRPr="005005BF">
        <w:t>——</w:t>
      </w:r>
      <w:r w:rsidRPr="005005BF">
        <w:t>达到终点所需的</w:t>
      </w:r>
      <w:r w:rsidRPr="005005BF">
        <w:t>0.5 mol/L</w:t>
      </w:r>
      <w:r w:rsidRPr="005005BF">
        <w:t>氢氧化钾溶液（</w:t>
      </w:r>
      <w:r w:rsidRPr="005005BF">
        <w:t>4.2</w:t>
      </w:r>
      <w:r w:rsidRPr="005005BF">
        <w:t>）的体积，单位为毫升（</w:t>
      </w:r>
      <w:r w:rsidRPr="005005BF">
        <w:t>mL</w:t>
      </w:r>
      <w:r w:rsidRPr="005005BF">
        <w:t>）；</w:t>
      </w:r>
    </w:p>
    <w:p w:rsidR="00D30A52" w:rsidRPr="005005BF" w:rsidRDefault="00D30A52" w:rsidP="00D30A52">
      <w:pPr>
        <w:ind w:firstLine="435"/>
      </w:pPr>
      <w:r w:rsidRPr="005005BF">
        <w:rPr>
          <w:i/>
        </w:rPr>
        <w:t>w</w:t>
      </w:r>
      <w:r w:rsidRPr="005005BF">
        <w:rPr>
          <w:vertAlign w:val="subscript"/>
        </w:rPr>
        <w:t xml:space="preserve">TS </w:t>
      </w:r>
      <w:r w:rsidRPr="005005BF">
        <w:t>——</w:t>
      </w:r>
      <w:r w:rsidRPr="005005BF">
        <w:t>浓缩胶乳的总固体含量，以质量分数表示；</w:t>
      </w:r>
    </w:p>
    <w:p w:rsidR="00D30A52" w:rsidRPr="005005BF" w:rsidRDefault="00D30A52" w:rsidP="00D30A52">
      <w:pPr>
        <w:ind w:firstLine="435"/>
      </w:pPr>
      <w:r w:rsidRPr="005005BF">
        <w:rPr>
          <w:i/>
        </w:rPr>
        <w:t>m</w:t>
      </w:r>
      <w:r w:rsidRPr="005005BF">
        <w:t>——</w:t>
      </w:r>
      <w:r w:rsidRPr="005005BF">
        <w:rPr>
          <w:szCs w:val="21"/>
        </w:rPr>
        <w:t>试样</w:t>
      </w:r>
      <w:r w:rsidRPr="005005BF">
        <w:t>的质量，单位为克（</w:t>
      </w:r>
      <w:r w:rsidRPr="005005BF">
        <w:t>g</w:t>
      </w:r>
      <w:r w:rsidRPr="005005BF">
        <w:t>）。</w:t>
      </w:r>
    </w:p>
    <w:p w:rsidR="00D30A52" w:rsidRPr="005005BF" w:rsidRDefault="00D30A52" w:rsidP="00D30A52">
      <w:pPr>
        <w:ind w:firstLineChars="200" w:firstLine="420"/>
      </w:pPr>
      <w:r w:rsidRPr="005005BF">
        <w:t>如果浓缩天然胶乳中含有硼酸，则应将式</w:t>
      </w:r>
      <w:r w:rsidRPr="005005BF">
        <w:rPr>
          <w:rFonts w:hAnsi="宋体"/>
        </w:rPr>
        <w:t>（</w:t>
      </w:r>
      <w:r w:rsidRPr="005005BF">
        <w:t>2</w:t>
      </w:r>
      <w:r w:rsidRPr="005005BF">
        <w:rPr>
          <w:rFonts w:hAnsi="宋体"/>
        </w:rPr>
        <w:t>）</w:t>
      </w:r>
      <w:r w:rsidRPr="005005BF">
        <w:t>中得到的氢氧化钾（</w:t>
      </w:r>
      <w:r w:rsidRPr="005005BF">
        <w:t>KOH</w:t>
      </w:r>
      <w:r w:rsidRPr="005005BF">
        <w:t>）值减去相当于硼酸含量的氢氧化钾（</w:t>
      </w:r>
      <w:r w:rsidRPr="005005BF">
        <w:t>KOH</w:t>
      </w:r>
      <w:r w:rsidRPr="005005BF">
        <w:t>）值。相当于硼酸含量的</w:t>
      </w:r>
      <w:r w:rsidRPr="005005BF">
        <w:t>KOH</w:t>
      </w:r>
      <w:r w:rsidRPr="005005BF">
        <w:t>值</w:t>
      </w:r>
      <w:r w:rsidR="00531965" w:rsidRPr="005005BF">
        <w:t>K</w:t>
      </w:r>
      <w:r w:rsidR="00531965" w:rsidRPr="005005BF">
        <w:rPr>
          <w:vertAlign w:val="subscript"/>
        </w:rPr>
        <w:t>BA</w:t>
      </w:r>
      <w:r w:rsidRPr="005005BF">
        <w:t>按式</w:t>
      </w:r>
      <w:r w:rsidRPr="005005BF">
        <w:rPr>
          <w:rFonts w:hAnsi="宋体"/>
        </w:rPr>
        <w:t>（</w:t>
      </w:r>
      <w:r w:rsidRPr="005005BF">
        <w:t>3</w:t>
      </w:r>
      <w:r w:rsidRPr="005005BF">
        <w:rPr>
          <w:rFonts w:hAnsi="宋体"/>
        </w:rPr>
        <w:t>）</w:t>
      </w:r>
      <w:r w:rsidRPr="005005BF">
        <w:t>计算：</w:t>
      </w:r>
    </w:p>
    <w:p w:rsidR="00D30A52" w:rsidRPr="005005BF" w:rsidRDefault="005005BF" w:rsidP="00531965">
      <w:pPr>
        <w:pStyle w:val="afe"/>
        <w:jc w:val="right"/>
        <w:rPr>
          <w:rFonts w:ascii="Times New Roman"/>
        </w:rPr>
      </w:pPr>
      <w:r w:rsidRPr="005005BF">
        <w:rPr>
          <w:rFonts w:ascii="Times New Roman"/>
          <w:position w:val="-30"/>
        </w:rPr>
        <w:object w:dxaOrig="1480" w:dyaOrig="680">
          <v:shape id="_x0000_i1027" type="#_x0000_t75" style="width:73.35pt;height:34.65pt" o:ole="">
            <v:imagedata r:id="rId21" o:title=""/>
          </v:shape>
          <o:OLEObject Type="Embed" ProgID="Equation.3" ShapeID="_x0000_i1027" DrawAspect="Content" ObjectID="_1533454746" r:id="rId22"/>
        </w:object>
      </w:r>
      <w:r w:rsidR="00531965" w:rsidRPr="005005BF">
        <w:rPr>
          <w:rFonts w:ascii="Times New Roman"/>
        </w:rPr>
        <w:t xml:space="preserve">   </w:t>
      </w:r>
      <w:r w:rsidR="00D30A52" w:rsidRPr="005005BF">
        <w:rPr>
          <w:rFonts w:ascii="Times New Roman"/>
        </w:rPr>
        <w:t xml:space="preserve"> ……………</w:t>
      </w:r>
      <w:r w:rsidR="00531965" w:rsidRPr="005005BF">
        <w:rPr>
          <w:rFonts w:ascii="Times New Roman"/>
        </w:rPr>
        <w:t>……………………</w:t>
      </w:r>
      <w:r w:rsidR="00D30A52" w:rsidRPr="005005BF">
        <w:rPr>
          <w:rFonts w:ascii="Times New Roman"/>
        </w:rPr>
        <w:t>…………</w:t>
      </w:r>
      <w:r w:rsidR="00D30A52" w:rsidRPr="005005BF">
        <w:rPr>
          <w:rFonts w:ascii="Times New Roman" w:hAnsi="宋体"/>
        </w:rPr>
        <w:t>（</w:t>
      </w:r>
      <w:r w:rsidR="00D30A52" w:rsidRPr="005005BF">
        <w:rPr>
          <w:rFonts w:ascii="Times New Roman"/>
        </w:rPr>
        <w:t>3</w:t>
      </w:r>
      <w:r w:rsidR="00D30A52" w:rsidRPr="005005BF">
        <w:rPr>
          <w:rFonts w:ascii="Times New Roman" w:hAnsi="宋体"/>
        </w:rPr>
        <w:t>）</w:t>
      </w:r>
    </w:p>
    <w:p w:rsidR="00D30A52" w:rsidRPr="005005BF" w:rsidRDefault="00D30A52" w:rsidP="00D30A52">
      <w:pPr>
        <w:ind w:firstLineChars="200" w:firstLine="420"/>
      </w:pPr>
      <w:r w:rsidRPr="005005BF">
        <w:rPr>
          <w:rFonts w:hAnsi="Arial"/>
        </w:rPr>
        <w:t>式中：</w:t>
      </w:r>
    </w:p>
    <w:p w:rsidR="00D30A52" w:rsidRPr="005005BF" w:rsidRDefault="00531965" w:rsidP="00D30A52">
      <w:pPr>
        <w:ind w:firstLineChars="200" w:firstLine="420"/>
      </w:pPr>
      <w:r w:rsidRPr="005005BF">
        <w:rPr>
          <w:i/>
        </w:rPr>
        <w:t>w</w:t>
      </w:r>
      <w:r w:rsidR="00D30A52" w:rsidRPr="005005BF">
        <w:rPr>
          <w:szCs w:val="21"/>
          <w:vertAlign w:val="subscript"/>
        </w:rPr>
        <w:t>BA</w:t>
      </w:r>
      <w:r w:rsidR="00D30A52" w:rsidRPr="005005BF">
        <w:t>——</w:t>
      </w:r>
      <w:r w:rsidR="00D30A52" w:rsidRPr="005005BF">
        <w:rPr>
          <w:rFonts w:hAnsi="宋体"/>
        </w:rPr>
        <w:t>硼酸含量，以质量分数表示</w:t>
      </w:r>
      <w:r w:rsidRPr="005005BF">
        <w:rPr>
          <w:rFonts w:hAnsi="宋体"/>
        </w:rPr>
        <w:t>；</w:t>
      </w:r>
    </w:p>
    <w:p w:rsidR="00531965" w:rsidRPr="005005BF" w:rsidRDefault="00531965" w:rsidP="00D30A52">
      <w:pPr>
        <w:ind w:firstLineChars="200" w:firstLine="420"/>
      </w:pPr>
      <w:r w:rsidRPr="005005BF">
        <w:rPr>
          <w:i/>
        </w:rPr>
        <w:t>w</w:t>
      </w:r>
      <w:r w:rsidRPr="005005BF">
        <w:rPr>
          <w:vertAlign w:val="subscript"/>
        </w:rPr>
        <w:t>TS</w:t>
      </w:r>
      <w:r w:rsidRPr="005005BF">
        <w:t>——</w:t>
      </w:r>
      <w:r w:rsidRPr="005005BF">
        <w:t>浓缩胶乳的总固体含量，以质量分数表示；</w:t>
      </w:r>
    </w:p>
    <w:p w:rsidR="00D30A52" w:rsidRPr="005005BF" w:rsidRDefault="00D30A52" w:rsidP="00211195">
      <w:pPr>
        <w:pStyle w:val="a0"/>
        <w:spacing w:before="312" w:after="312"/>
        <w:rPr>
          <w:rFonts w:ascii="Times New Roman"/>
        </w:rPr>
      </w:pPr>
      <w:r w:rsidRPr="005005BF">
        <w:rPr>
          <w:rFonts w:ascii="Times New Roman"/>
        </w:rPr>
        <w:t>精密度</w:t>
      </w:r>
    </w:p>
    <w:p w:rsidR="00D30A52" w:rsidRPr="005005BF" w:rsidRDefault="00D30A52" w:rsidP="00D30A52">
      <w:pPr>
        <w:pStyle w:val="afe"/>
        <w:rPr>
          <w:rFonts w:ascii="Times New Roman"/>
        </w:rPr>
      </w:pPr>
      <w:r w:rsidRPr="005005BF">
        <w:rPr>
          <w:rFonts w:ascii="Times New Roman"/>
        </w:rPr>
        <w:t>见附录</w:t>
      </w:r>
      <w:r w:rsidRPr="005005BF">
        <w:rPr>
          <w:rFonts w:ascii="Times New Roman"/>
        </w:rPr>
        <w:t>C</w:t>
      </w:r>
      <w:r w:rsidRPr="005005BF">
        <w:rPr>
          <w:rFonts w:ascii="Times New Roman"/>
        </w:rPr>
        <w:t>。</w:t>
      </w:r>
    </w:p>
    <w:p w:rsidR="00D30A52" w:rsidRPr="00733F64" w:rsidRDefault="00D30A52" w:rsidP="00211195">
      <w:pPr>
        <w:pStyle w:val="a0"/>
        <w:spacing w:before="312" w:after="312"/>
        <w:rPr>
          <w:rFonts w:ascii="Times New Roman"/>
        </w:rPr>
      </w:pPr>
      <w:r w:rsidRPr="00733F64">
        <w:rPr>
          <w:rFonts w:ascii="Times New Roman"/>
        </w:rPr>
        <w:t>试验报告</w:t>
      </w:r>
    </w:p>
    <w:p w:rsidR="00D30A52" w:rsidRPr="00733F64" w:rsidRDefault="00D30A52" w:rsidP="00D30A52">
      <w:pPr>
        <w:ind w:firstLineChars="200" w:firstLine="420"/>
      </w:pPr>
      <w:r w:rsidRPr="00733F64">
        <w:t>试验报告至少应包括以下内容：</w:t>
      </w:r>
    </w:p>
    <w:p w:rsidR="00D30A52" w:rsidRPr="00733F64" w:rsidRDefault="00D30A52" w:rsidP="00D30A52">
      <w:pPr>
        <w:numPr>
          <w:ilvl w:val="0"/>
          <w:numId w:val="35"/>
        </w:numPr>
      </w:pPr>
      <w:r w:rsidRPr="00733F64">
        <w:t>本标准</w:t>
      </w:r>
      <w:r>
        <w:rPr>
          <w:rFonts w:hint="eastAsia"/>
        </w:rPr>
        <w:t>的</w:t>
      </w:r>
      <w:r w:rsidRPr="00733F64">
        <w:t>编号；</w:t>
      </w:r>
    </w:p>
    <w:p w:rsidR="00D30A52" w:rsidRPr="00733F64" w:rsidRDefault="00D30A52" w:rsidP="00D30A52">
      <w:pPr>
        <w:numPr>
          <w:ilvl w:val="0"/>
          <w:numId w:val="35"/>
        </w:numPr>
      </w:pPr>
      <w:r w:rsidRPr="00733F64">
        <w:t>识别样品所需的全部细节；</w:t>
      </w:r>
    </w:p>
    <w:p w:rsidR="00D30A52" w:rsidRPr="00733F64" w:rsidRDefault="00D30A52" w:rsidP="00D30A52">
      <w:pPr>
        <w:numPr>
          <w:ilvl w:val="0"/>
          <w:numId w:val="35"/>
        </w:numPr>
      </w:pPr>
      <w:r>
        <w:rPr>
          <w:rFonts w:hint="eastAsia"/>
        </w:rPr>
        <w:t>标记所用的</w:t>
      </w:r>
      <w:r>
        <w:rPr>
          <w:rFonts w:hint="eastAsia"/>
        </w:rPr>
        <w:t>pH</w:t>
      </w:r>
      <w:r>
        <w:rPr>
          <w:rFonts w:hint="eastAsia"/>
        </w:rPr>
        <w:t>计的全部细节</w:t>
      </w:r>
      <w:r w:rsidRPr="00733F64">
        <w:t>；</w:t>
      </w:r>
    </w:p>
    <w:p w:rsidR="00D30A52" w:rsidRPr="00733F64" w:rsidRDefault="00D30A52" w:rsidP="00D30A52">
      <w:pPr>
        <w:numPr>
          <w:ilvl w:val="0"/>
          <w:numId w:val="35"/>
        </w:numPr>
      </w:pPr>
      <w:r w:rsidRPr="00733F64">
        <w:t>测定结果；</w:t>
      </w:r>
    </w:p>
    <w:p w:rsidR="00D30A52" w:rsidRDefault="00D30A52" w:rsidP="00D30A52">
      <w:pPr>
        <w:numPr>
          <w:ilvl w:val="0"/>
          <w:numId w:val="35"/>
        </w:numPr>
      </w:pPr>
      <w:r>
        <w:rPr>
          <w:rFonts w:hint="eastAsia"/>
        </w:rPr>
        <w:t>如果含有硼酸，对硼酸的校正；</w:t>
      </w:r>
    </w:p>
    <w:p w:rsidR="00D30A52" w:rsidRPr="00733F64" w:rsidRDefault="00D30A52" w:rsidP="00D30A52">
      <w:pPr>
        <w:numPr>
          <w:ilvl w:val="0"/>
          <w:numId w:val="35"/>
        </w:numPr>
      </w:pPr>
      <w:r>
        <w:rPr>
          <w:rFonts w:hint="eastAsia"/>
        </w:rPr>
        <w:t>在本标准中未包括的，而被认为是可以采用的任何操作</w:t>
      </w:r>
      <w:r w:rsidRPr="00733F64">
        <w:t>；</w:t>
      </w:r>
    </w:p>
    <w:p w:rsidR="00D30A52" w:rsidRDefault="00D30A52" w:rsidP="00531965">
      <w:pPr>
        <w:numPr>
          <w:ilvl w:val="0"/>
          <w:numId w:val="35"/>
        </w:numPr>
      </w:pPr>
      <w:r w:rsidRPr="00733F64">
        <w:t>实验日期。</w:t>
      </w:r>
    </w:p>
    <w:p w:rsidR="00D30A52" w:rsidRPr="00D30A52" w:rsidRDefault="00D30A52" w:rsidP="00D30A52">
      <w:pPr>
        <w:pStyle w:val="afe"/>
      </w:pPr>
    </w:p>
    <w:p w:rsidR="00D30A52" w:rsidRDefault="00D30A52" w:rsidP="00D30A52">
      <w:pPr>
        <w:pStyle w:val="a6"/>
      </w:pPr>
    </w:p>
    <w:p w:rsidR="00D30A52" w:rsidRDefault="00D30A52" w:rsidP="00D30A52">
      <w:pPr>
        <w:pStyle w:val="af"/>
      </w:pPr>
    </w:p>
    <w:p w:rsidR="00D30A52" w:rsidRDefault="00D30A52" w:rsidP="00D30A52">
      <w:pPr>
        <w:pStyle w:val="af1"/>
      </w:pPr>
      <w:r>
        <w:br/>
      </w:r>
      <w:r>
        <w:rPr>
          <w:rFonts w:hint="eastAsia"/>
        </w:rPr>
        <w:t>（资料性附录）</w:t>
      </w:r>
      <w:r>
        <w:br/>
      </w:r>
      <w:r>
        <w:rPr>
          <w:rFonts w:hint="eastAsia"/>
        </w:rPr>
        <w:t>甲醛的测定</w:t>
      </w:r>
    </w:p>
    <w:p w:rsidR="00D30A52" w:rsidRPr="00F00906" w:rsidRDefault="00D30A52" w:rsidP="00D30A52">
      <w:pPr>
        <w:pStyle w:val="afe"/>
        <w:rPr>
          <w:rFonts w:ascii="Times New Roman"/>
          <w:szCs w:val="21"/>
        </w:rPr>
      </w:pPr>
      <w:r w:rsidRPr="00410257">
        <w:rPr>
          <w:rFonts w:hAnsi="宋体" w:cs="ArialMT" w:hint="eastAsia"/>
          <w:szCs w:val="21"/>
        </w:rPr>
        <w:t>由于认为氨水</w:t>
      </w:r>
      <w:r>
        <w:rPr>
          <w:rFonts w:hAnsi="宋体" w:cs="ArialMT" w:hint="eastAsia"/>
          <w:szCs w:val="21"/>
        </w:rPr>
        <w:t>并不是一种令人满意的</w:t>
      </w:r>
      <w:r w:rsidRPr="00410257">
        <w:rPr>
          <w:rFonts w:hAnsi="宋体" w:cs="ArialMT" w:hint="eastAsia"/>
          <w:szCs w:val="21"/>
        </w:rPr>
        <w:t>标准溶液，本标准第一、第二版规定</w:t>
      </w:r>
      <w:r>
        <w:rPr>
          <w:rFonts w:hAnsi="宋体" w:cs="ArialMT" w:hint="eastAsia"/>
          <w:szCs w:val="21"/>
        </w:rPr>
        <w:t>的采</w:t>
      </w:r>
      <w:r w:rsidRPr="00410257">
        <w:rPr>
          <w:rFonts w:hAnsi="宋体" w:cs="ArialMT" w:hint="eastAsia"/>
          <w:szCs w:val="21"/>
        </w:rPr>
        <w:t>用氨水标准溶液测定甲醛溶液的浓度</w:t>
      </w:r>
      <w:r>
        <w:rPr>
          <w:rFonts w:hAnsi="宋体" w:cs="ArialMT" w:hint="eastAsia"/>
          <w:szCs w:val="21"/>
        </w:rPr>
        <w:t>的方法</w:t>
      </w:r>
      <w:r w:rsidRPr="00410257">
        <w:rPr>
          <w:rFonts w:hAnsi="宋体" w:cs="ArialMT" w:hint="eastAsia"/>
          <w:szCs w:val="21"/>
        </w:rPr>
        <w:t>似乎并未广泛使用。</w:t>
      </w:r>
      <w:r w:rsidR="008C545B">
        <w:rPr>
          <w:rFonts w:hAnsi="宋体" w:cs="ArialMT" w:hint="eastAsia"/>
          <w:szCs w:val="21"/>
        </w:rPr>
        <w:t>鉴于</w:t>
      </w:r>
      <w:r w:rsidRPr="00410257">
        <w:rPr>
          <w:rFonts w:hAnsi="宋体" w:cs="ArialMT" w:hint="eastAsia"/>
          <w:szCs w:val="21"/>
        </w:rPr>
        <w:t>高浓度分析纯甲醛溶液具有质量一致性，</w:t>
      </w:r>
      <w:r w:rsidR="008C545B" w:rsidRPr="00410257">
        <w:rPr>
          <w:rFonts w:hAnsi="宋体" w:cs="ArialMT" w:hint="eastAsia"/>
          <w:szCs w:val="21"/>
        </w:rPr>
        <w:t>大多数分析人</w:t>
      </w:r>
      <w:r w:rsidR="008C545B" w:rsidRPr="00F00906">
        <w:rPr>
          <w:rFonts w:ascii="Times New Roman" w:hAnsi="宋体"/>
          <w:szCs w:val="21"/>
        </w:rPr>
        <w:t>员直接</w:t>
      </w:r>
      <w:r w:rsidRPr="00F00906">
        <w:rPr>
          <w:rFonts w:ascii="Times New Roman" w:hAnsi="宋体"/>
          <w:szCs w:val="21"/>
        </w:rPr>
        <w:t>采用高浓度分析纯甲醛溶液配制甲醛标准溶液。</w:t>
      </w:r>
    </w:p>
    <w:p w:rsidR="00D30A52" w:rsidRPr="00F00906" w:rsidRDefault="00D30A52" w:rsidP="00D30A52">
      <w:pPr>
        <w:pStyle w:val="afe"/>
        <w:rPr>
          <w:rFonts w:ascii="Times New Roman"/>
        </w:rPr>
      </w:pPr>
      <w:r w:rsidRPr="00F00906">
        <w:rPr>
          <w:rFonts w:ascii="Times New Roman" w:hAnsi="宋体"/>
          <w:szCs w:val="21"/>
        </w:rPr>
        <w:t>测定甲醛溶液浓度的方法很多，具体可参考</w:t>
      </w:r>
      <w:r w:rsidRPr="00F00906">
        <w:rPr>
          <w:rFonts w:ascii="Times New Roman"/>
          <w:szCs w:val="21"/>
        </w:rPr>
        <w:t xml:space="preserve">Interscience </w:t>
      </w:r>
      <w:r w:rsidRPr="00F00906">
        <w:rPr>
          <w:rFonts w:ascii="Times New Roman" w:hAnsi="宋体"/>
          <w:szCs w:val="21"/>
        </w:rPr>
        <w:t>出版社</w:t>
      </w:r>
      <w:r w:rsidRPr="00F00906">
        <w:rPr>
          <w:rFonts w:ascii="Times New Roman"/>
          <w:szCs w:val="21"/>
        </w:rPr>
        <w:t>1971</w:t>
      </w:r>
      <w:r w:rsidRPr="00F00906">
        <w:rPr>
          <w:rFonts w:ascii="Times New Roman" w:hAnsi="宋体"/>
          <w:szCs w:val="21"/>
        </w:rPr>
        <w:t>年出版的《工业化学分析百科全书》第</w:t>
      </w:r>
      <w:r w:rsidRPr="00F00906">
        <w:rPr>
          <w:rFonts w:ascii="Times New Roman"/>
          <w:szCs w:val="21"/>
        </w:rPr>
        <w:t>13</w:t>
      </w:r>
      <w:r w:rsidRPr="00F00906">
        <w:rPr>
          <w:rFonts w:ascii="Times New Roman" w:hAnsi="宋体"/>
          <w:szCs w:val="21"/>
        </w:rPr>
        <w:t>卷。本资料性附录给出的测定方法仅供参考。</w:t>
      </w:r>
    </w:p>
    <w:p w:rsidR="00D30A52" w:rsidRPr="005005BF" w:rsidRDefault="00D30A52" w:rsidP="00D30A52">
      <w:pPr>
        <w:pStyle w:val="af2"/>
        <w:spacing w:before="312" w:after="312"/>
        <w:rPr>
          <w:rFonts w:ascii="Times New Roman"/>
        </w:rPr>
      </w:pPr>
      <w:r w:rsidRPr="005005BF">
        <w:rPr>
          <w:rFonts w:ascii="Times New Roman"/>
        </w:rPr>
        <w:t>试剂</w:t>
      </w:r>
    </w:p>
    <w:p w:rsidR="00D30A52" w:rsidRPr="005005BF" w:rsidRDefault="00D30A52" w:rsidP="00D30A52">
      <w:pPr>
        <w:pStyle w:val="af3"/>
        <w:spacing w:before="156" w:after="156"/>
        <w:rPr>
          <w:rFonts w:ascii="Times New Roman"/>
        </w:rPr>
      </w:pPr>
      <w:r w:rsidRPr="005005BF">
        <w:rPr>
          <w:rFonts w:ascii="Times New Roman"/>
        </w:rPr>
        <w:t>无水亚硫酸钠，</w:t>
      </w:r>
      <w:r w:rsidRPr="005005BF">
        <w:rPr>
          <w:rFonts w:ascii="Times New Roman" w:eastAsia="宋体" w:hAnsi="宋体"/>
        </w:rPr>
        <w:t>分析纯。</w:t>
      </w:r>
    </w:p>
    <w:p w:rsidR="00D30A52" w:rsidRPr="005005BF" w:rsidRDefault="00D30A52" w:rsidP="00B83E5A">
      <w:pPr>
        <w:pStyle w:val="af3"/>
        <w:tabs>
          <w:tab w:val="num" w:pos="360"/>
        </w:tabs>
        <w:spacing w:before="156" w:after="156"/>
        <w:rPr>
          <w:rFonts w:ascii="Times New Roman"/>
        </w:rPr>
      </w:pPr>
      <w:r w:rsidRPr="005005BF">
        <w:rPr>
          <w:rFonts w:ascii="Times New Roman"/>
        </w:rPr>
        <w:t>硫酸，标准滴定溶液，</w:t>
      </w:r>
      <w:r w:rsidRPr="00E42A97">
        <w:rPr>
          <w:rFonts w:ascii="Times New Roman"/>
          <w:i/>
        </w:rPr>
        <w:t>c</w:t>
      </w:r>
      <w:r w:rsidRPr="005005BF">
        <w:rPr>
          <w:rFonts w:ascii="Times New Roman"/>
        </w:rPr>
        <w:t>(H</w:t>
      </w:r>
      <w:r w:rsidRPr="005005BF">
        <w:rPr>
          <w:rFonts w:ascii="Times New Roman"/>
          <w:vertAlign w:val="subscript"/>
        </w:rPr>
        <w:t>2</w:t>
      </w:r>
      <w:r w:rsidRPr="005005BF">
        <w:rPr>
          <w:rFonts w:ascii="Times New Roman"/>
        </w:rPr>
        <w:t>SO</w:t>
      </w:r>
      <w:r w:rsidRPr="005005BF">
        <w:rPr>
          <w:rFonts w:ascii="Times New Roman"/>
          <w:vertAlign w:val="subscript"/>
        </w:rPr>
        <w:t>4</w:t>
      </w:r>
      <w:r w:rsidRPr="005005BF">
        <w:rPr>
          <w:rFonts w:ascii="Times New Roman"/>
        </w:rPr>
        <w:t>)=0.25 mol/L</w:t>
      </w:r>
      <w:r w:rsidRPr="005005BF">
        <w:rPr>
          <w:rFonts w:ascii="Times New Roman"/>
        </w:rPr>
        <w:t>。</w:t>
      </w:r>
    </w:p>
    <w:p w:rsidR="00D30A52" w:rsidRPr="005005BF" w:rsidRDefault="00D30A52" w:rsidP="00D30A52">
      <w:pPr>
        <w:pStyle w:val="af3"/>
        <w:spacing w:before="156" w:after="156"/>
        <w:rPr>
          <w:rFonts w:ascii="Times New Roman"/>
        </w:rPr>
      </w:pPr>
      <w:r w:rsidRPr="005005BF">
        <w:rPr>
          <w:rFonts w:ascii="Times New Roman"/>
        </w:rPr>
        <w:t>百里酚酞，</w:t>
      </w:r>
      <w:r w:rsidRPr="005005BF">
        <w:rPr>
          <w:rFonts w:ascii="Times New Roman" w:eastAsia="宋体" w:hAnsi="宋体"/>
        </w:rPr>
        <w:t>指示剂溶液</w:t>
      </w:r>
      <w:r w:rsidRPr="005005BF">
        <w:rPr>
          <w:rFonts w:ascii="Times New Roman"/>
        </w:rPr>
        <w:t>。</w:t>
      </w:r>
    </w:p>
    <w:p w:rsidR="00D30A52" w:rsidRPr="005005BF" w:rsidRDefault="00D30A52" w:rsidP="00D30A52">
      <w:pPr>
        <w:pStyle w:val="afe"/>
        <w:rPr>
          <w:rFonts w:ascii="Times New Roman"/>
        </w:rPr>
      </w:pPr>
      <w:r w:rsidRPr="005005BF">
        <w:rPr>
          <w:rFonts w:ascii="Times New Roman"/>
        </w:rPr>
        <w:t>将</w:t>
      </w:r>
      <w:r w:rsidRPr="005005BF">
        <w:rPr>
          <w:rFonts w:ascii="Times New Roman"/>
        </w:rPr>
        <w:t>80 mg</w:t>
      </w:r>
      <w:r w:rsidRPr="005005BF">
        <w:rPr>
          <w:rFonts w:ascii="Times New Roman"/>
        </w:rPr>
        <w:t>百里酚酞溶解于</w:t>
      </w:r>
      <w:r w:rsidRPr="005005BF">
        <w:rPr>
          <w:rFonts w:ascii="Times New Roman"/>
        </w:rPr>
        <w:t>100 mL</w:t>
      </w:r>
      <w:r w:rsidRPr="005005BF">
        <w:rPr>
          <w:rFonts w:ascii="Times New Roman"/>
        </w:rPr>
        <w:t>乙醇中，然后用</w:t>
      </w:r>
      <w:r w:rsidRPr="005005BF">
        <w:rPr>
          <w:rFonts w:ascii="Times New Roman"/>
        </w:rPr>
        <w:t>100 mL</w:t>
      </w:r>
      <w:r w:rsidRPr="005005BF">
        <w:rPr>
          <w:rFonts w:ascii="Times New Roman"/>
        </w:rPr>
        <w:t>蒸馏水稀释。</w:t>
      </w:r>
    </w:p>
    <w:p w:rsidR="00D30A52" w:rsidRPr="005005BF" w:rsidRDefault="00D30A52" w:rsidP="00D30A52">
      <w:pPr>
        <w:pStyle w:val="af2"/>
        <w:spacing w:before="312" w:after="312"/>
        <w:rPr>
          <w:rFonts w:ascii="Times New Roman"/>
        </w:rPr>
      </w:pPr>
      <w:r w:rsidRPr="005005BF">
        <w:rPr>
          <w:rFonts w:ascii="Times New Roman"/>
        </w:rPr>
        <w:t>操作步骤</w:t>
      </w:r>
    </w:p>
    <w:p w:rsidR="00D30A52" w:rsidRPr="005005BF" w:rsidRDefault="00D30A52" w:rsidP="00D30A52">
      <w:pPr>
        <w:pStyle w:val="afe"/>
        <w:rPr>
          <w:rFonts w:ascii="Times New Roman"/>
        </w:rPr>
      </w:pPr>
      <w:r w:rsidRPr="005005BF">
        <w:rPr>
          <w:rFonts w:ascii="Times New Roman"/>
        </w:rPr>
        <w:t>将</w:t>
      </w:r>
      <w:smartTag w:uri="urn:schemas-microsoft-com:office:smarttags" w:element="chmetcnv">
        <w:smartTagPr>
          <w:attr w:name="TCSC" w:val="0"/>
          <w:attr w:name="NumberType" w:val="1"/>
          <w:attr w:name="Negative" w:val="False"/>
          <w:attr w:name="HasSpace" w:val="True"/>
          <w:attr w:name="SourceValue" w:val="125"/>
          <w:attr w:name="UnitName" w:val="g"/>
        </w:smartTagPr>
        <w:r w:rsidRPr="005005BF">
          <w:rPr>
            <w:rFonts w:ascii="Times New Roman"/>
          </w:rPr>
          <w:t>125 g</w:t>
        </w:r>
      </w:smartTag>
      <w:r w:rsidRPr="005005BF">
        <w:rPr>
          <w:rFonts w:ascii="Times New Roman"/>
        </w:rPr>
        <w:t>无水亚硫酸钠</w:t>
      </w:r>
      <w:r w:rsidRPr="005005BF">
        <w:rPr>
          <w:rFonts w:ascii="Times New Roman"/>
        </w:rPr>
        <w:t>(A.l.1)</w:t>
      </w:r>
      <w:r w:rsidRPr="005005BF">
        <w:rPr>
          <w:rFonts w:ascii="Times New Roman"/>
        </w:rPr>
        <w:t>溶于</w:t>
      </w:r>
      <w:r w:rsidRPr="005005BF">
        <w:rPr>
          <w:rFonts w:ascii="Times New Roman"/>
        </w:rPr>
        <w:t>500 mL</w:t>
      </w:r>
      <w:r w:rsidRPr="005005BF">
        <w:rPr>
          <w:rFonts w:ascii="Times New Roman"/>
        </w:rPr>
        <w:t>水中，然后稀释至</w:t>
      </w:r>
      <w:smartTag w:uri="urn:schemas-microsoft-com:office:smarttags" w:element="chmetcnv">
        <w:smartTagPr>
          <w:attr w:name="TCSC" w:val="0"/>
          <w:attr w:name="NumberType" w:val="1"/>
          <w:attr w:name="Negative" w:val="False"/>
          <w:attr w:name="HasSpace" w:val="True"/>
          <w:attr w:name="SourceValue" w:val="1"/>
          <w:attr w:name="UnitName" w:val="l"/>
        </w:smartTagPr>
        <w:r w:rsidRPr="005005BF">
          <w:rPr>
            <w:rFonts w:ascii="Times New Roman"/>
          </w:rPr>
          <w:t>1 L</w:t>
        </w:r>
      </w:smartTag>
      <w:r w:rsidRPr="005005BF">
        <w:rPr>
          <w:rFonts w:ascii="Times New Roman"/>
        </w:rPr>
        <w:t>。取该溶液</w:t>
      </w:r>
      <w:r w:rsidRPr="005005BF">
        <w:rPr>
          <w:rFonts w:ascii="Times New Roman"/>
        </w:rPr>
        <w:t>100 mL</w:t>
      </w:r>
      <w:r w:rsidRPr="005005BF">
        <w:rPr>
          <w:rFonts w:ascii="Times New Roman"/>
        </w:rPr>
        <w:t>加</w:t>
      </w:r>
      <w:r w:rsidR="00B83E5A" w:rsidRPr="005005BF">
        <w:rPr>
          <w:rFonts w:ascii="Times New Roman"/>
        </w:rPr>
        <w:t>入</w:t>
      </w:r>
      <w:r w:rsidRPr="005005BF">
        <w:rPr>
          <w:rFonts w:ascii="Times New Roman"/>
        </w:rPr>
        <w:t>一个</w:t>
      </w:r>
      <w:r w:rsidRPr="005005BF">
        <w:rPr>
          <w:rFonts w:ascii="Times New Roman"/>
        </w:rPr>
        <w:t>500 mL</w:t>
      </w:r>
      <w:r w:rsidRPr="005005BF">
        <w:rPr>
          <w:rFonts w:ascii="Times New Roman"/>
        </w:rPr>
        <w:t>的锥形烧杯中，再精确称取</w:t>
      </w:r>
      <w:r w:rsidRPr="005005BF">
        <w:rPr>
          <w:rFonts w:ascii="Times New Roman"/>
        </w:rPr>
        <w:t>6. 0 g</w:t>
      </w:r>
      <w:r w:rsidR="00F00906" w:rsidRPr="005005BF">
        <w:rPr>
          <w:rFonts w:ascii="Times New Roman"/>
        </w:rPr>
        <w:t>~</w:t>
      </w:r>
      <w:r w:rsidRPr="005005BF">
        <w:rPr>
          <w:rFonts w:ascii="Times New Roman"/>
        </w:rPr>
        <w:t xml:space="preserve">8. </w:t>
      </w:r>
      <w:smartTag w:uri="urn:schemas-microsoft-com:office:smarttags" w:element="chmetcnv">
        <w:smartTagPr>
          <w:attr w:name="TCSC" w:val="0"/>
          <w:attr w:name="NumberType" w:val="1"/>
          <w:attr w:name="Negative" w:val="False"/>
          <w:attr w:name="HasSpace" w:val="True"/>
          <w:attr w:name="SourceValue" w:val="0"/>
          <w:attr w:name="UnitName" w:val="g"/>
        </w:smartTagPr>
        <w:r w:rsidRPr="005005BF">
          <w:rPr>
            <w:rFonts w:ascii="Times New Roman"/>
          </w:rPr>
          <w:t>0 g</w:t>
        </w:r>
      </w:smartTag>
      <w:r w:rsidRPr="005005BF">
        <w:rPr>
          <w:rFonts w:ascii="Times New Roman"/>
        </w:rPr>
        <w:t>标称浓度为</w:t>
      </w:r>
      <w:smartTag w:uri="urn:schemas-microsoft-com:office:smarttags" w:element="chmetcnv">
        <w:smartTagPr>
          <w:attr w:name="TCSC" w:val="0"/>
          <w:attr w:name="NumberType" w:val="1"/>
          <w:attr w:name="Negative" w:val="False"/>
          <w:attr w:name="HasSpace" w:val="True"/>
          <w:attr w:name="SourceValue" w:val="50"/>
          <w:attr w:name="UnitName" w:val="g"/>
        </w:smartTagPr>
        <w:r w:rsidRPr="005005BF">
          <w:rPr>
            <w:rFonts w:ascii="Times New Roman"/>
          </w:rPr>
          <w:t>50 g</w:t>
        </w:r>
      </w:smartTag>
      <w:r w:rsidRPr="005005BF">
        <w:rPr>
          <w:rFonts w:ascii="Times New Roman"/>
        </w:rPr>
        <w:t>/ L</w:t>
      </w:r>
      <w:r w:rsidRPr="005005BF">
        <w:rPr>
          <w:rFonts w:ascii="Times New Roman"/>
        </w:rPr>
        <w:t>的甲醛溶液</w:t>
      </w:r>
      <w:r w:rsidRPr="005005BF">
        <w:rPr>
          <w:rFonts w:ascii="Times New Roman"/>
        </w:rPr>
        <w:t>((4</w:t>
      </w:r>
      <w:r w:rsidR="00F00906" w:rsidRPr="005005BF">
        <w:rPr>
          <w:rFonts w:ascii="Times New Roman"/>
        </w:rPr>
        <w:t>.</w:t>
      </w:r>
      <w:r w:rsidRPr="005005BF">
        <w:rPr>
          <w:rFonts w:ascii="Times New Roman"/>
        </w:rPr>
        <w:t>3)</w:t>
      </w:r>
      <w:r w:rsidRPr="005005BF">
        <w:rPr>
          <w:rFonts w:ascii="Times New Roman"/>
          <w:vertAlign w:val="superscript"/>
        </w:rPr>
        <w:t>1)</w:t>
      </w:r>
      <w:r w:rsidRPr="005005BF">
        <w:rPr>
          <w:rFonts w:ascii="Times New Roman"/>
        </w:rPr>
        <w:t>加入该烧杯中，充分摇匀，放置</w:t>
      </w:r>
      <w:r w:rsidRPr="005005BF">
        <w:rPr>
          <w:rFonts w:ascii="Times New Roman"/>
        </w:rPr>
        <w:t>5 min</w:t>
      </w:r>
      <w:r w:rsidRPr="005005BF">
        <w:rPr>
          <w:rFonts w:ascii="Times New Roman"/>
        </w:rPr>
        <w:t>，然后以百里酚酞为指示剂，用</w:t>
      </w:r>
      <w:r w:rsidRPr="005005BF">
        <w:rPr>
          <w:rFonts w:ascii="Times New Roman"/>
        </w:rPr>
        <w:t>0.25 mol/L</w:t>
      </w:r>
      <w:r w:rsidRPr="005005BF">
        <w:rPr>
          <w:rFonts w:ascii="Times New Roman"/>
        </w:rPr>
        <w:t>的硫酸</w:t>
      </w:r>
      <w:r w:rsidRPr="005005BF">
        <w:rPr>
          <w:rFonts w:ascii="Times New Roman"/>
        </w:rPr>
        <w:t>(A.l.2)</w:t>
      </w:r>
      <w:r w:rsidRPr="005005BF">
        <w:rPr>
          <w:rFonts w:ascii="Times New Roman"/>
        </w:rPr>
        <w:t>滴定至第一次出现无色为终点。用亚硫酸钠溶液作空白测定。</w:t>
      </w:r>
    </w:p>
    <w:p w:rsidR="00D30A52" w:rsidRPr="005005BF" w:rsidRDefault="00D30A52" w:rsidP="00D30A52">
      <w:pPr>
        <w:pStyle w:val="af2"/>
        <w:spacing w:before="312" w:after="312"/>
        <w:rPr>
          <w:rFonts w:ascii="Times New Roman"/>
        </w:rPr>
      </w:pPr>
      <w:r w:rsidRPr="005005BF">
        <w:rPr>
          <w:rFonts w:ascii="Times New Roman"/>
        </w:rPr>
        <w:t>结果表示</w:t>
      </w:r>
    </w:p>
    <w:p w:rsidR="00D30A52" w:rsidRPr="005005BF" w:rsidRDefault="00D30A52" w:rsidP="00D30A52">
      <w:pPr>
        <w:pStyle w:val="afe"/>
        <w:rPr>
          <w:rFonts w:ascii="Times New Roman"/>
        </w:rPr>
      </w:pPr>
      <w:r w:rsidRPr="005005BF">
        <w:rPr>
          <w:rFonts w:ascii="Times New Roman"/>
        </w:rPr>
        <w:t>由式</w:t>
      </w:r>
      <w:r w:rsidRPr="005005BF">
        <w:rPr>
          <w:rFonts w:ascii="Times New Roman"/>
        </w:rPr>
        <w:t>(A.l)</w:t>
      </w:r>
      <w:r w:rsidRPr="005005BF">
        <w:rPr>
          <w:rFonts w:ascii="Times New Roman"/>
        </w:rPr>
        <w:t>计算甲醛溶液中的甲醛含量，以质量分数表示：</w:t>
      </w:r>
    </w:p>
    <w:p w:rsidR="00D30A52" w:rsidRPr="005005BF" w:rsidRDefault="00D30A52" w:rsidP="00E42A97">
      <w:pPr>
        <w:jc w:val="center"/>
      </w:pPr>
      <w:r w:rsidRPr="005005BF">
        <w:rPr>
          <w:position w:val="-30"/>
        </w:rPr>
        <w:object w:dxaOrig="2780" w:dyaOrig="700">
          <v:shape id="_x0000_i1028" type="#_x0000_t75" style="width:138.35pt;height:35.35pt" o:ole="">
            <v:imagedata r:id="rId23" o:title=""/>
          </v:shape>
          <o:OLEObject Type="Embed" ProgID="Equation.3" ShapeID="_x0000_i1028" DrawAspect="Content" ObjectID="_1533454747" r:id="rId24"/>
        </w:object>
      </w:r>
    </w:p>
    <w:p w:rsidR="00D30A52" w:rsidRPr="005005BF" w:rsidRDefault="00D30A52" w:rsidP="00D30A52">
      <w:pPr>
        <w:ind w:firstLineChars="250" w:firstLine="525"/>
      </w:pPr>
      <w:r w:rsidRPr="005005BF">
        <w:t>式中：</w:t>
      </w:r>
    </w:p>
    <w:p w:rsidR="00D30A52" w:rsidRPr="005005BF" w:rsidRDefault="00D30A52" w:rsidP="00D30A52">
      <w:pPr>
        <w:ind w:firstLineChars="250" w:firstLine="525"/>
      </w:pPr>
      <w:r w:rsidRPr="005005BF">
        <w:rPr>
          <w:i/>
        </w:rPr>
        <w:t>V</w:t>
      </w:r>
      <w:r w:rsidRPr="005005BF">
        <w:rPr>
          <w:vertAlign w:val="subscript"/>
        </w:rPr>
        <w:t xml:space="preserve">1 </w:t>
      </w:r>
      <w:r w:rsidRPr="005005BF">
        <w:t>——</w:t>
      </w:r>
      <w:r w:rsidRPr="005005BF">
        <w:t>滴定甲醛溶液</w:t>
      </w:r>
      <w:r w:rsidRPr="005005BF">
        <w:rPr>
          <w:szCs w:val="21"/>
        </w:rPr>
        <w:t>试样所</w:t>
      </w:r>
      <w:r w:rsidRPr="005005BF">
        <w:t>消耗硫酸</w:t>
      </w:r>
      <w:r w:rsidRPr="005005BF">
        <w:t>(</w:t>
      </w:r>
      <w:smartTag w:uri="urn:schemas-microsoft-com:office:smarttags" w:element="chsdate">
        <w:smartTagPr>
          <w:attr w:name="IsROCDate" w:val="False"/>
          <w:attr w:name="IsLunarDate" w:val="False"/>
          <w:attr w:name="Day" w:val="30"/>
          <w:attr w:name="Month" w:val="12"/>
          <w:attr w:name="Year" w:val="1899"/>
        </w:smartTagPr>
        <w:r w:rsidRPr="005005BF">
          <w:t>A.1.2</w:t>
        </w:r>
      </w:smartTag>
      <w:r w:rsidRPr="005005BF">
        <w:t>)</w:t>
      </w:r>
      <w:r w:rsidRPr="005005BF">
        <w:t>的体积，单位为毫升（</w:t>
      </w:r>
      <w:r w:rsidRPr="005005BF">
        <w:t>mL</w:t>
      </w:r>
      <w:r w:rsidRPr="005005BF">
        <w:t>）；</w:t>
      </w:r>
      <w:r w:rsidRPr="005005BF">
        <w:t xml:space="preserve">   </w:t>
      </w:r>
    </w:p>
    <w:p w:rsidR="00D30A52" w:rsidRPr="005005BF" w:rsidRDefault="00D30A52" w:rsidP="00D30A52">
      <w:pPr>
        <w:ind w:firstLineChars="250" w:firstLine="525"/>
      </w:pPr>
      <w:r w:rsidRPr="005005BF">
        <w:rPr>
          <w:i/>
        </w:rPr>
        <w:t>V</w:t>
      </w:r>
      <w:r w:rsidRPr="005005BF">
        <w:rPr>
          <w:vertAlign w:val="subscript"/>
        </w:rPr>
        <w:t xml:space="preserve">2 </w:t>
      </w:r>
      <w:r w:rsidRPr="005005BF">
        <w:t>——</w:t>
      </w:r>
      <w:r w:rsidRPr="005005BF">
        <w:t>空白消耗硫酸</w:t>
      </w:r>
      <w:r w:rsidRPr="005005BF">
        <w:t>(A.l.2)</w:t>
      </w:r>
      <w:r w:rsidRPr="005005BF">
        <w:t>的体积，单位为毫升（</w:t>
      </w:r>
      <w:r w:rsidRPr="005005BF">
        <w:t>mL</w:t>
      </w:r>
      <w:r w:rsidRPr="005005BF">
        <w:t>）；</w:t>
      </w:r>
    </w:p>
    <w:p w:rsidR="00D30A52" w:rsidRPr="005005BF" w:rsidRDefault="00D30A52" w:rsidP="00D30A52">
      <w:pPr>
        <w:ind w:firstLineChars="200" w:firstLine="420"/>
      </w:pPr>
      <w:r w:rsidRPr="005005BF">
        <w:t xml:space="preserve"> </w:t>
      </w:r>
      <w:r w:rsidRPr="005005BF">
        <w:rPr>
          <w:i/>
        </w:rPr>
        <w:t>c</w:t>
      </w:r>
      <w:r w:rsidRPr="005005BF">
        <w:t>(H</w:t>
      </w:r>
      <w:r w:rsidRPr="005005BF">
        <w:rPr>
          <w:vertAlign w:val="subscript"/>
        </w:rPr>
        <w:t>2</w:t>
      </w:r>
      <w:r w:rsidRPr="005005BF">
        <w:t>S0</w:t>
      </w:r>
      <w:r w:rsidRPr="005005BF">
        <w:rPr>
          <w:vertAlign w:val="subscript"/>
        </w:rPr>
        <w:t>4</w:t>
      </w:r>
      <w:r w:rsidRPr="005005BF">
        <w:t>) ——</w:t>
      </w:r>
      <w:r w:rsidRPr="005005BF">
        <w:t>硫酸溶液的实际浓度，单位为摩尔每升（</w:t>
      </w:r>
      <w:r w:rsidRPr="005005BF">
        <w:t>mol/ L</w:t>
      </w:r>
      <w:r w:rsidRPr="005005BF">
        <w:t>）；</w:t>
      </w:r>
    </w:p>
    <w:p w:rsidR="00D30A52" w:rsidRPr="005005BF" w:rsidRDefault="00D30A52" w:rsidP="00D30A52">
      <w:pPr>
        <w:pStyle w:val="afe"/>
        <w:rPr>
          <w:rFonts w:ascii="Times New Roman"/>
        </w:rPr>
      </w:pPr>
      <w:r w:rsidRPr="005005BF">
        <w:rPr>
          <w:rFonts w:ascii="Times New Roman"/>
        </w:rPr>
        <w:t xml:space="preserve"> </w:t>
      </w:r>
      <w:r w:rsidRPr="005005BF">
        <w:rPr>
          <w:rFonts w:ascii="Times New Roman"/>
          <w:i/>
        </w:rPr>
        <w:t>m</w:t>
      </w:r>
      <w:r w:rsidRPr="005005BF">
        <w:rPr>
          <w:rFonts w:ascii="Times New Roman"/>
          <w:vertAlign w:val="subscript"/>
        </w:rPr>
        <w:t xml:space="preserve">1 </w:t>
      </w:r>
      <w:r w:rsidRPr="005005BF">
        <w:rPr>
          <w:rFonts w:ascii="Times New Roman"/>
        </w:rPr>
        <w:t>——</w:t>
      </w:r>
      <w:r w:rsidRPr="005005BF">
        <w:rPr>
          <w:rFonts w:ascii="Times New Roman"/>
        </w:rPr>
        <w:t>甲醛溶液试样的质量，单位为克（</w:t>
      </w:r>
      <w:r w:rsidRPr="005005BF">
        <w:rPr>
          <w:rFonts w:ascii="Times New Roman"/>
        </w:rPr>
        <w:t>g</w:t>
      </w:r>
      <w:r w:rsidRPr="005005BF">
        <w:rPr>
          <w:rFonts w:ascii="Times New Roman"/>
        </w:rPr>
        <w:t>）</w:t>
      </w:r>
    </w:p>
    <w:p w:rsidR="0080049F" w:rsidRPr="005005BF" w:rsidRDefault="0080049F" w:rsidP="00D30A52">
      <w:pPr>
        <w:pStyle w:val="afe"/>
        <w:rPr>
          <w:rFonts w:ascii="Times New Roman"/>
        </w:rPr>
      </w:pPr>
    </w:p>
    <w:p w:rsidR="0080049F" w:rsidRPr="005005BF" w:rsidRDefault="0080049F" w:rsidP="00D30A52">
      <w:pPr>
        <w:pStyle w:val="afe"/>
        <w:rPr>
          <w:rFonts w:ascii="Times New Roman"/>
        </w:rPr>
      </w:pPr>
    </w:p>
    <w:p w:rsidR="0080049F" w:rsidRPr="005005BF" w:rsidRDefault="0080049F" w:rsidP="00D30A52">
      <w:pPr>
        <w:pStyle w:val="afe"/>
        <w:rPr>
          <w:rFonts w:ascii="Times New Roman"/>
        </w:rPr>
      </w:pPr>
    </w:p>
    <w:p w:rsidR="00D30A52" w:rsidRPr="005005BF" w:rsidRDefault="0080049F" w:rsidP="00D30A52">
      <w:pPr>
        <w:pStyle w:val="affa"/>
        <w:rPr>
          <w:rFonts w:ascii="Times New Roman"/>
        </w:rPr>
      </w:pPr>
      <w:r w:rsidRPr="005005BF">
        <w:rPr>
          <w:rFonts w:ascii="Times New Roman"/>
        </w:rPr>
        <w:t>1)</w:t>
      </w:r>
      <w:r w:rsidR="00D30A52" w:rsidRPr="005005BF">
        <w:rPr>
          <w:rFonts w:ascii="Times New Roman"/>
        </w:rPr>
        <w:t>分析浓甲醛溶液时，甲醛溶液的适宜用量为</w:t>
      </w:r>
      <w:r w:rsidR="00D30A52" w:rsidRPr="005005BF">
        <w:rPr>
          <w:rFonts w:ascii="Times New Roman"/>
        </w:rPr>
        <w:t>1.8</w:t>
      </w:r>
      <w:r w:rsidR="00D30A52" w:rsidRPr="005005BF">
        <w:rPr>
          <w:rFonts w:ascii="Times New Roman"/>
        </w:rPr>
        <w:t>克</w:t>
      </w:r>
      <w:r w:rsidR="00D30A52" w:rsidRPr="005005BF">
        <w:rPr>
          <w:rFonts w:ascii="Times New Roman"/>
        </w:rPr>
        <w:t>~2.0</w:t>
      </w:r>
      <w:r w:rsidR="00D30A52" w:rsidRPr="005005BF">
        <w:rPr>
          <w:rFonts w:ascii="Times New Roman"/>
        </w:rPr>
        <w:t>克。</w:t>
      </w:r>
    </w:p>
    <w:p w:rsidR="009426D1" w:rsidRDefault="009426D1" w:rsidP="009426D1">
      <w:pPr>
        <w:pStyle w:val="a6"/>
      </w:pPr>
    </w:p>
    <w:p w:rsidR="009426D1" w:rsidRDefault="009426D1" w:rsidP="009426D1">
      <w:pPr>
        <w:pStyle w:val="af"/>
      </w:pPr>
    </w:p>
    <w:p w:rsidR="009426D1" w:rsidRDefault="009426D1" w:rsidP="009426D1">
      <w:pPr>
        <w:pStyle w:val="af1"/>
      </w:pPr>
      <w:r>
        <w:br/>
      </w:r>
      <w:r>
        <w:rPr>
          <w:rFonts w:hint="eastAsia"/>
        </w:rPr>
        <w:t>（资料性附录）</w:t>
      </w:r>
      <w:r>
        <w:br/>
      </w:r>
      <w:r>
        <w:rPr>
          <w:rFonts w:hint="eastAsia"/>
        </w:rPr>
        <w:t>滴定和终点计算范例</w:t>
      </w:r>
    </w:p>
    <w:p w:rsidR="009426D1" w:rsidRPr="005005BF" w:rsidRDefault="009426D1" w:rsidP="009426D1">
      <w:pPr>
        <w:pStyle w:val="af0"/>
        <w:spacing w:before="156" w:after="156"/>
        <w:rPr>
          <w:rFonts w:ascii="Times New Roman"/>
        </w:rPr>
      </w:pPr>
      <w:r w:rsidRPr="005005BF">
        <w:rPr>
          <w:rFonts w:ascii="Times New Roman"/>
        </w:rPr>
        <w:t>滴定过程</w:t>
      </w:r>
      <w:r w:rsidRPr="005005BF">
        <w:rPr>
          <w:rFonts w:ascii="Times New Roman"/>
        </w:rPr>
        <w:t>pH</w:t>
      </w:r>
      <w:r w:rsidRPr="005005BF">
        <w:rPr>
          <w:rFonts w:ascii="Times New Roman"/>
        </w:rPr>
        <w:t>变化的范例</w:t>
      </w:r>
    </w:p>
    <w:p w:rsidR="009426D1" w:rsidRPr="005005BF" w:rsidRDefault="009426D1" w:rsidP="009426D1">
      <w:pPr>
        <w:pStyle w:val="af"/>
      </w:pPr>
    </w:p>
    <w:tbl>
      <w:tblPr>
        <w:tblW w:w="96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60"/>
        <w:gridCol w:w="2128"/>
        <w:gridCol w:w="2520"/>
        <w:gridCol w:w="2292"/>
      </w:tblGrid>
      <w:tr w:rsidR="009426D1" w:rsidRPr="005005BF" w:rsidTr="00435FE5">
        <w:trPr>
          <w:trHeight w:val="412"/>
        </w:trPr>
        <w:tc>
          <w:tcPr>
            <w:tcW w:w="2660" w:type="dxa"/>
            <w:vAlign w:val="center"/>
          </w:tcPr>
          <w:p w:rsidR="009426D1" w:rsidRPr="005005BF" w:rsidRDefault="009426D1" w:rsidP="005005BF">
            <w:pPr>
              <w:spacing w:line="360" w:lineRule="auto"/>
              <w:jc w:val="center"/>
            </w:pPr>
            <w:r w:rsidRPr="005005BF">
              <w:t>加入</w:t>
            </w:r>
            <w:r w:rsidRPr="005005BF">
              <w:t>KOH</w:t>
            </w:r>
            <w:r w:rsidRPr="005005BF">
              <w:t>溶液的体积</w:t>
            </w:r>
            <w:r w:rsidR="0080049F" w:rsidRPr="005005BF">
              <w:t>/</w:t>
            </w:r>
            <w:r w:rsidRPr="005005BF">
              <w:t>mL</w:t>
            </w:r>
          </w:p>
        </w:tc>
        <w:tc>
          <w:tcPr>
            <w:tcW w:w="2128" w:type="dxa"/>
            <w:vAlign w:val="center"/>
          </w:tcPr>
          <w:p w:rsidR="009426D1" w:rsidRPr="005005BF" w:rsidRDefault="009426D1" w:rsidP="005005BF">
            <w:pPr>
              <w:spacing w:line="360" w:lineRule="auto"/>
              <w:jc w:val="center"/>
            </w:pPr>
            <w:r w:rsidRPr="005005BF">
              <w:t>pH</w:t>
            </w:r>
            <w:r w:rsidRPr="005005BF">
              <w:t>读数</w:t>
            </w:r>
          </w:p>
        </w:tc>
        <w:tc>
          <w:tcPr>
            <w:tcW w:w="2520" w:type="dxa"/>
            <w:vAlign w:val="center"/>
          </w:tcPr>
          <w:p w:rsidR="009426D1" w:rsidRPr="005005BF" w:rsidRDefault="009426D1" w:rsidP="005005BF">
            <w:pPr>
              <w:spacing w:line="360" w:lineRule="auto"/>
              <w:jc w:val="center"/>
            </w:pPr>
            <w:r w:rsidRPr="005005BF">
              <w:t>一阶微分</w:t>
            </w:r>
            <w:r w:rsidRPr="005005BF">
              <w:t>ΔpH/ mL</w:t>
            </w:r>
          </w:p>
        </w:tc>
        <w:tc>
          <w:tcPr>
            <w:tcW w:w="2292" w:type="dxa"/>
            <w:vAlign w:val="center"/>
          </w:tcPr>
          <w:p w:rsidR="009426D1" w:rsidRPr="005005BF" w:rsidRDefault="009426D1" w:rsidP="005005BF">
            <w:pPr>
              <w:spacing w:line="360" w:lineRule="auto"/>
              <w:jc w:val="center"/>
            </w:pPr>
            <w:r w:rsidRPr="005005BF">
              <w:t>二阶微分</w:t>
            </w:r>
            <w:r w:rsidRPr="005005BF">
              <w:t>Δ</w:t>
            </w:r>
            <w:r w:rsidRPr="005005BF">
              <w:rPr>
                <w:vertAlign w:val="superscript"/>
              </w:rPr>
              <w:t>2</w:t>
            </w:r>
            <w:r w:rsidRPr="005005BF">
              <w:t>pH/ mL</w:t>
            </w:r>
          </w:p>
        </w:tc>
      </w:tr>
      <w:tr w:rsidR="009426D1" w:rsidRPr="005005BF" w:rsidTr="00435FE5">
        <w:trPr>
          <w:trHeight w:val="1546"/>
        </w:trPr>
        <w:tc>
          <w:tcPr>
            <w:tcW w:w="2660" w:type="dxa"/>
            <w:vAlign w:val="center"/>
          </w:tcPr>
          <w:p w:rsidR="009426D1" w:rsidRPr="005005BF" w:rsidRDefault="009426D1" w:rsidP="005005BF">
            <w:pPr>
              <w:spacing w:line="360" w:lineRule="auto"/>
              <w:jc w:val="center"/>
            </w:pPr>
            <w:r w:rsidRPr="005005BF">
              <w:t>起始</w:t>
            </w:r>
          </w:p>
          <w:p w:rsidR="009426D1" w:rsidRPr="005005BF" w:rsidRDefault="009426D1" w:rsidP="005005BF">
            <w:pPr>
              <w:spacing w:line="360" w:lineRule="auto"/>
              <w:jc w:val="center"/>
            </w:pPr>
            <w:r w:rsidRPr="005005BF">
              <w:t>５</w:t>
            </w:r>
          </w:p>
          <w:p w:rsidR="009426D1" w:rsidRPr="005005BF" w:rsidRDefault="009426D1" w:rsidP="005005BF">
            <w:pPr>
              <w:spacing w:line="360" w:lineRule="auto"/>
              <w:jc w:val="center"/>
            </w:pPr>
            <w:r w:rsidRPr="005005BF">
              <w:t>６</w:t>
            </w:r>
          </w:p>
          <w:p w:rsidR="009426D1" w:rsidRPr="005005BF" w:rsidRDefault="009426D1" w:rsidP="005005BF">
            <w:pPr>
              <w:spacing w:line="360" w:lineRule="auto"/>
              <w:jc w:val="center"/>
            </w:pPr>
            <w:r w:rsidRPr="005005BF">
              <w:t>７</w:t>
            </w:r>
          </w:p>
          <w:p w:rsidR="009426D1" w:rsidRPr="005005BF" w:rsidRDefault="009426D1" w:rsidP="005005BF">
            <w:pPr>
              <w:spacing w:line="360" w:lineRule="auto"/>
              <w:jc w:val="center"/>
            </w:pPr>
            <w:r w:rsidRPr="005005BF">
              <w:t>8</w:t>
            </w:r>
          </w:p>
          <w:p w:rsidR="009426D1" w:rsidRPr="005005BF" w:rsidRDefault="009426D1" w:rsidP="005005BF">
            <w:pPr>
              <w:spacing w:line="360" w:lineRule="auto"/>
              <w:jc w:val="center"/>
            </w:pPr>
            <w:r w:rsidRPr="005005BF">
              <w:t>9</w:t>
            </w:r>
          </w:p>
          <w:p w:rsidR="009426D1" w:rsidRPr="005005BF" w:rsidRDefault="009426D1" w:rsidP="005005BF">
            <w:pPr>
              <w:spacing w:line="360" w:lineRule="auto"/>
              <w:jc w:val="center"/>
            </w:pPr>
            <w:r w:rsidRPr="005005BF">
              <w:t>10</w:t>
            </w:r>
          </w:p>
          <w:p w:rsidR="009426D1" w:rsidRPr="005005BF" w:rsidRDefault="009426D1" w:rsidP="005005BF">
            <w:pPr>
              <w:spacing w:line="360" w:lineRule="auto"/>
              <w:jc w:val="center"/>
            </w:pPr>
            <w:r w:rsidRPr="005005BF">
              <w:t>11</w:t>
            </w:r>
          </w:p>
          <w:p w:rsidR="009426D1" w:rsidRPr="005005BF" w:rsidRDefault="009426D1" w:rsidP="005005BF">
            <w:pPr>
              <w:spacing w:line="360" w:lineRule="auto"/>
              <w:jc w:val="center"/>
            </w:pPr>
            <w:r w:rsidRPr="005005BF">
              <w:t>12</w:t>
            </w:r>
          </w:p>
          <w:p w:rsidR="009426D1" w:rsidRPr="005005BF" w:rsidRDefault="009426D1" w:rsidP="005005BF">
            <w:pPr>
              <w:spacing w:line="360" w:lineRule="auto"/>
              <w:jc w:val="center"/>
            </w:pPr>
            <w:r w:rsidRPr="005005BF">
              <w:t>13</w:t>
            </w:r>
          </w:p>
          <w:p w:rsidR="009426D1" w:rsidRPr="005005BF" w:rsidRDefault="009426D1" w:rsidP="005005BF">
            <w:pPr>
              <w:spacing w:line="360" w:lineRule="auto"/>
              <w:jc w:val="center"/>
            </w:pPr>
            <w:r w:rsidRPr="005005BF">
              <w:t>14</w:t>
            </w:r>
          </w:p>
        </w:tc>
        <w:tc>
          <w:tcPr>
            <w:tcW w:w="2128" w:type="dxa"/>
            <w:vAlign w:val="center"/>
          </w:tcPr>
          <w:p w:rsidR="009426D1" w:rsidRPr="005005BF" w:rsidRDefault="009426D1" w:rsidP="005005BF">
            <w:pPr>
              <w:autoSpaceDE w:val="0"/>
              <w:autoSpaceDN w:val="0"/>
              <w:spacing w:line="360" w:lineRule="auto"/>
              <w:jc w:val="center"/>
            </w:pPr>
            <w:r w:rsidRPr="005005BF">
              <w:t>10.09</w:t>
            </w:r>
          </w:p>
          <w:p w:rsidR="009426D1" w:rsidRPr="005005BF" w:rsidRDefault="009426D1" w:rsidP="005005BF">
            <w:pPr>
              <w:autoSpaceDE w:val="0"/>
              <w:autoSpaceDN w:val="0"/>
              <w:spacing w:line="360" w:lineRule="auto"/>
              <w:jc w:val="center"/>
            </w:pPr>
            <w:r w:rsidRPr="005005BF">
              <w:t>10.46</w:t>
            </w:r>
          </w:p>
          <w:p w:rsidR="009426D1" w:rsidRPr="005005BF" w:rsidRDefault="009426D1" w:rsidP="005005BF">
            <w:pPr>
              <w:autoSpaceDE w:val="0"/>
              <w:autoSpaceDN w:val="0"/>
              <w:spacing w:line="360" w:lineRule="auto"/>
              <w:jc w:val="center"/>
            </w:pPr>
            <w:r w:rsidRPr="005005BF">
              <w:t>10.55</w:t>
            </w:r>
          </w:p>
          <w:p w:rsidR="009426D1" w:rsidRPr="005005BF" w:rsidRDefault="009426D1" w:rsidP="005005BF">
            <w:pPr>
              <w:autoSpaceDE w:val="0"/>
              <w:autoSpaceDN w:val="0"/>
              <w:spacing w:line="360" w:lineRule="auto"/>
              <w:jc w:val="center"/>
            </w:pPr>
            <w:r w:rsidRPr="005005BF">
              <w:t>10.65</w:t>
            </w:r>
          </w:p>
          <w:p w:rsidR="009426D1" w:rsidRPr="005005BF" w:rsidRDefault="009426D1" w:rsidP="005005BF">
            <w:pPr>
              <w:autoSpaceDE w:val="0"/>
              <w:autoSpaceDN w:val="0"/>
              <w:spacing w:line="360" w:lineRule="auto"/>
              <w:jc w:val="center"/>
            </w:pPr>
            <w:r w:rsidRPr="005005BF">
              <w:t>10.76</w:t>
            </w:r>
          </w:p>
          <w:p w:rsidR="009426D1" w:rsidRPr="005005BF" w:rsidRDefault="009426D1" w:rsidP="005005BF">
            <w:pPr>
              <w:autoSpaceDE w:val="0"/>
              <w:autoSpaceDN w:val="0"/>
              <w:spacing w:line="360" w:lineRule="auto"/>
              <w:jc w:val="center"/>
            </w:pPr>
            <w:r w:rsidRPr="005005BF">
              <w:t>10.90</w:t>
            </w:r>
          </w:p>
          <w:p w:rsidR="009426D1" w:rsidRPr="005005BF" w:rsidRDefault="009426D1" w:rsidP="005005BF">
            <w:pPr>
              <w:autoSpaceDE w:val="0"/>
              <w:autoSpaceDN w:val="0"/>
              <w:spacing w:line="360" w:lineRule="auto"/>
              <w:jc w:val="center"/>
            </w:pPr>
            <w:r w:rsidRPr="005005BF">
              <w:t>11.08</w:t>
            </w:r>
          </w:p>
          <w:p w:rsidR="009426D1" w:rsidRPr="005005BF" w:rsidRDefault="009426D1" w:rsidP="005005BF">
            <w:pPr>
              <w:autoSpaceDE w:val="0"/>
              <w:autoSpaceDN w:val="0"/>
              <w:spacing w:line="360" w:lineRule="auto"/>
              <w:jc w:val="center"/>
            </w:pPr>
            <w:r w:rsidRPr="005005BF">
              <w:t>11.32</w:t>
            </w:r>
          </w:p>
          <w:p w:rsidR="009426D1" w:rsidRPr="005005BF" w:rsidRDefault="009426D1" w:rsidP="005005BF">
            <w:pPr>
              <w:autoSpaceDE w:val="0"/>
              <w:autoSpaceDN w:val="0"/>
              <w:spacing w:line="360" w:lineRule="auto"/>
              <w:jc w:val="center"/>
            </w:pPr>
            <w:r w:rsidRPr="005005BF">
              <w:t>11.63</w:t>
            </w:r>
          </w:p>
          <w:p w:rsidR="009426D1" w:rsidRPr="005005BF" w:rsidRDefault="009426D1" w:rsidP="005005BF">
            <w:pPr>
              <w:autoSpaceDE w:val="0"/>
              <w:autoSpaceDN w:val="0"/>
              <w:spacing w:line="360" w:lineRule="auto"/>
              <w:jc w:val="center"/>
            </w:pPr>
            <w:r w:rsidRPr="005005BF">
              <w:t>11.93</w:t>
            </w:r>
          </w:p>
          <w:p w:rsidR="009426D1" w:rsidRPr="005005BF" w:rsidRDefault="009426D1" w:rsidP="005005BF">
            <w:pPr>
              <w:autoSpaceDE w:val="0"/>
              <w:autoSpaceDN w:val="0"/>
              <w:spacing w:line="360" w:lineRule="auto"/>
              <w:jc w:val="center"/>
            </w:pPr>
            <w:r w:rsidRPr="005005BF">
              <w:t>12.14</w:t>
            </w:r>
          </w:p>
        </w:tc>
        <w:tc>
          <w:tcPr>
            <w:tcW w:w="2520" w:type="dxa"/>
            <w:vAlign w:val="center"/>
          </w:tcPr>
          <w:p w:rsidR="009426D1" w:rsidRPr="005005BF" w:rsidRDefault="009426D1" w:rsidP="005005BF">
            <w:pPr>
              <w:autoSpaceDE w:val="0"/>
              <w:autoSpaceDN w:val="0"/>
              <w:spacing w:line="360" w:lineRule="auto"/>
              <w:jc w:val="center"/>
            </w:pPr>
          </w:p>
          <w:p w:rsidR="009426D1" w:rsidRPr="005005BF" w:rsidRDefault="009426D1" w:rsidP="005005BF">
            <w:pPr>
              <w:autoSpaceDE w:val="0"/>
              <w:autoSpaceDN w:val="0"/>
              <w:spacing w:line="360" w:lineRule="auto"/>
              <w:jc w:val="center"/>
            </w:pPr>
            <w:r w:rsidRPr="005005BF">
              <w:t>0.09</w:t>
            </w:r>
          </w:p>
          <w:p w:rsidR="009426D1" w:rsidRPr="005005BF" w:rsidRDefault="009426D1" w:rsidP="005005BF">
            <w:pPr>
              <w:autoSpaceDE w:val="0"/>
              <w:autoSpaceDN w:val="0"/>
              <w:spacing w:line="360" w:lineRule="auto"/>
              <w:jc w:val="center"/>
            </w:pPr>
            <w:r w:rsidRPr="005005BF">
              <w:t>0.10</w:t>
            </w:r>
          </w:p>
          <w:p w:rsidR="009426D1" w:rsidRPr="005005BF" w:rsidRDefault="009426D1" w:rsidP="005005BF">
            <w:pPr>
              <w:autoSpaceDE w:val="0"/>
              <w:autoSpaceDN w:val="0"/>
              <w:spacing w:line="360" w:lineRule="auto"/>
              <w:jc w:val="center"/>
            </w:pPr>
            <w:r w:rsidRPr="005005BF">
              <w:t>0.11</w:t>
            </w:r>
          </w:p>
          <w:p w:rsidR="009426D1" w:rsidRPr="005005BF" w:rsidRDefault="009426D1" w:rsidP="005005BF">
            <w:pPr>
              <w:spacing w:line="360" w:lineRule="auto"/>
              <w:jc w:val="center"/>
            </w:pPr>
            <w:r w:rsidRPr="005005BF">
              <w:t>0.14</w:t>
            </w:r>
          </w:p>
          <w:p w:rsidR="009426D1" w:rsidRPr="005005BF" w:rsidRDefault="009426D1" w:rsidP="005005BF">
            <w:pPr>
              <w:autoSpaceDE w:val="0"/>
              <w:autoSpaceDN w:val="0"/>
              <w:spacing w:line="360" w:lineRule="auto"/>
              <w:jc w:val="center"/>
            </w:pPr>
            <w:r w:rsidRPr="005005BF">
              <w:t>0.18</w:t>
            </w:r>
          </w:p>
          <w:p w:rsidR="009426D1" w:rsidRPr="005005BF" w:rsidRDefault="009426D1" w:rsidP="005005BF">
            <w:pPr>
              <w:spacing w:line="360" w:lineRule="auto"/>
              <w:jc w:val="center"/>
            </w:pPr>
            <w:r w:rsidRPr="005005BF">
              <w:t>0.24</w:t>
            </w:r>
          </w:p>
          <w:p w:rsidR="009426D1" w:rsidRPr="005005BF" w:rsidRDefault="009426D1" w:rsidP="005005BF">
            <w:pPr>
              <w:spacing w:line="360" w:lineRule="auto"/>
              <w:jc w:val="center"/>
            </w:pPr>
            <w:r w:rsidRPr="005005BF">
              <w:t>0.31</w:t>
            </w:r>
          </w:p>
          <w:p w:rsidR="009426D1" w:rsidRPr="005005BF" w:rsidRDefault="009426D1" w:rsidP="005005BF">
            <w:pPr>
              <w:spacing w:line="360" w:lineRule="auto"/>
              <w:jc w:val="center"/>
            </w:pPr>
            <w:r w:rsidRPr="005005BF">
              <w:t>0.30</w:t>
            </w:r>
          </w:p>
          <w:p w:rsidR="009426D1" w:rsidRPr="005005BF" w:rsidRDefault="009426D1" w:rsidP="005005BF">
            <w:pPr>
              <w:spacing w:line="360" w:lineRule="auto"/>
              <w:jc w:val="center"/>
            </w:pPr>
            <w:r w:rsidRPr="005005BF">
              <w:t>0.21</w:t>
            </w:r>
          </w:p>
        </w:tc>
        <w:tc>
          <w:tcPr>
            <w:tcW w:w="2292" w:type="dxa"/>
            <w:vAlign w:val="center"/>
          </w:tcPr>
          <w:p w:rsidR="009426D1" w:rsidRPr="005005BF" w:rsidRDefault="009426D1" w:rsidP="005005BF">
            <w:pPr>
              <w:autoSpaceDE w:val="0"/>
              <w:autoSpaceDN w:val="0"/>
              <w:spacing w:line="360" w:lineRule="auto"/>
              <w:jc w:val="center"/>
            </w:pPr>
          </w:p>
          <w:p w:rsidR="009426D1" w:rsidRPr="005005BF" w:rsidRDefault="009426D1" w:rsidP="005005BF">
            <w:pPr>
              <w:autoSpaceDE w:val="0"/>
              <w:autoSpaceDN w:val="0"/>
              <w:spacing w:line="360" w:lineRule="auto"/>
              <w:jc w:val="center"/>
            </w:pPr>
          </w:p>
          <w:p w:rsidR="009426D1" w:rsidRPr="005005BF" w:rsidRDefault="009426D1" w:rsidP="005005BF">
            <w:pPr>
              <w:spacing w:line="360" w:lineRule="auto"/>
              <w:jc w:val="center"/>
            </w:pPr>
            <w:r w:rsidRPr="005005BF">
              <w:t>0.01</w:t>
            </w:r>
          </w:p>
          <w:p w:rsidR="009426D1" w:rsidRPr="005005BF" w:rsidRDefault="009426D1" w:rsidP="005005BF">
            <w:pPr>
              <w:spacing w:line="360" w:lineRule="auto"/>
              <w:jc w:val="center"/>
            </w:pPr>
            <w:r w:rsidRPr="005005BF">
              <w:t>0.01</w:t>
            </w:r>
          </w:p>
          <w:p w:rsidR="009426D1" w:rsidRPr="005005BF" w:rsidRDefault="009426D1" w:rsidP="005005BF">
            <w:pPr>
              <w:autoSpaceDE w:val="0"/>
              <w:autoSpaceDN w:val="0"/>
              <w:spacing w:line="360" w:lineRule="auto"/>
              <w:jc w:val="center"/>
            </w:pPr>
            <w:r w:rsidRPr="005005BF">
              <w:t>0.03</w:t>
            </w:r>
          </w:p>
          <w:p w:rsidR="009426D1" w:rsidRPr="005005BF" w:rsidRDefault="009426D1" w:rsidP="005005BF">
            <w:pPr>
              <w:autoSpaceDE w:val="0"/>
              <w:autoSpaceDN w:val="0"/>
              <w:spacing w:line="360" w:lineRule="auto"/>
              <w:jc w:val="center"/>
            </w:pPr>
            <w:r w:rsidRPr="005005BF">
              <w:t>0.04</w:t>
            </w:r>
          </w:p>
          <w:p w:rsidR="009426D1" w:rsidRPr="005005BF" w:rsidRDefault="009426D1" w:rsidP="005005BF">
            <w:pPr>
              <w:spacing w:line="360" w:lineRule="auto"/>
              <w:jc w:val="center"/>
            </w:pPr>
            <w:r w:rsidRPr="005005BF">
              <w:t>0.06</w:t>
            </w:r>
          </w:p>
          <w:p w:rsidR="009426D1" w:rsidRPr="005005BF" w:rsidRDefault="009426D1" w:rsidP="005005BF">
            <w:pPr>
              <w:spacing w:line="360" w:lineRule="auto"/>
              <w:jc w:val="center"/>
            </w:pPr>
            <w:r w:rsidRPr="005005BF">
              <w:t>0.07</w:t>
            </w:r>
          </w:p>
          <w:p w:rsidR="009426D1" w:rsidRPr="005005BF" w:rsidRDefault="009426D1" w:rsidP="005005BF">
            <w:pPr>
              <w:spacing w:line="360" w:lineRule="auto"/>
              <w:jc w:val="center"/>
            </w:pPr>
            <w:r w:rsidRPr="005005BF">
              <w:t>-0.01</w:t>
            </w:r>
          </w:p>
          <w:p w:rsidR="009426D1" w:rsidRPr="005005BF" w:rsidRDefault="009426D1" w:rsidP="005005BF">
            <w:pPr>
              <w:spacing w:line="360" w:lineRule="auto"/>
              <w:jc w:val="center"/>
            </w:pPr>
            <w:r w:rsidRPr="005005BF">
              <w:t>-0.09</w:t>
            </w:r>
          </w:p>
          <w:p w:rsidR="009426D1" w:rsidRPr="005005BF" w:rsidRDefault="009426D1" w:rsidP="005005BF">
            <w:pPr>
              <w:spacing w:line="360" w:lineRule="auto"/>
              <w:jc w:val="center"/>
            </w:pPr>
          </w:p>
        </w:tc>
      </w:tr>
    </w:tbl>
    <w:p w:rsidR="009426D1" w:rsidRPr="005005BF" w:rsidRDefault="009426D1" w:rsidP="009426D1">
      <w:pPr>
        <w:pStyle w:val="afe"/>
        <w:rPr>
          <w:rFonts w:ascii="Times New Roman"/>
        </w:rPr>
      </w:pPr>
    </w:p>
    <w:p w:rsidR="009426D1" w:rsidRPr="005005BF" w:rsidRDefault="009426D1" w:rsidP="009426D1">
      <w:pPr>
        <w:pStyle w:val="afe"/>
        <w:rPr>
          <w:rFonts w:ascii="Times New Roman"/>
        </w:rPr>
      </w:pPr>
      <w:r w:rsidRPr="005005BF">
        <w:rPr>
          <w:rFonts w:ascii="Times New Roman"/>
        </w:rPr>
        <w:t>在该范例中，当加入的氢氧化钾溶液在</w:t>
      </w:r>
      <w:r w:rsidRPr="005005BF">
        <w:rPr>
          <w:rFonts w:ascii="Times New Roman"/>
        </w:rPr>
        <w:t>11 mL~12 mL</w:t>
      </w:r>
      <w:r w:rsidRPr="005005BF">
        <w:rPr>
          <w:rFonts w:ascii="Times New Roman"/>
        </w:rPr>
        <w:t>之间时，一阶微分达到最大值</w:t>
      </w:r>
      <w:r w:rsidRPr="005005BF">
        <w:rPr>
          <w:rFonts w:ascii="Times New Roman"/>
        </w:rPr>
        <w:t>0.31</w:t>
      </w:r>
      <w:r w:rsidRPr="005005BF">
        <w:rPr>
          <w:rFonts w:ascii="Times New Roman"/>
        </w:rPr>
        <w:t>。准确的拐点可从相邻的两个二阶微分之比来计算，如</w:t>
      </w:r>
      <w:r w:rsidRPr="005005BF">
        <w:rPr>
          <w:rFonts w:ascii="Times New Roman"/>
        </w:rPr>
        <w:t>0.07/(0.07+0.01)=0.875</w:t>
      </w:r>
      <w:r w:rsidRPr="005005BF">
        <w:rPr>
          <w:rFonts w:ascii="Times New Roman"/>
        </w:rPr>
        <w:t>是</w:t>
      </w:r>
      <w:r w:rsidRPr="005005BF">
        <w:rPr>
          <w:rFonts w:ascii="Times New Roman"/>
        </w:rPr>
        <w:t>11 mL~12 mL</w:t>
      </w:r>
      <w:r w:rsidRPr="005005BF">
        <w:rPr>
          <w:rFonts w:ascii="Times New Roman"/>
        </w:rPr>
        <w:t>之间的二阶微分之比，即拐点是</w:t>
      </w:r>
      <w:r w:rsidRPr="005005BF">
        <w:rPr>
          <w:rFonts w:ascii="Times New Roman"/>
        </w:rPr>
        <w:t>11.875 mL</w:t>
      </w:r>
      <w:r w:rsidRPr="005005BF">
        <w:rPr>
          <w:rFonts w:ascii="Times New Roman"/>
        </w:rPr>
        <w:t>。</w:t>
      </w:r>
    </w:p>
    <w:p w:rsidR="009426D1" w:rsidRDefault="009426D1" w:rsidP="009426D1">
      <w:pPr>
        <w:pStyle w:val="afe"/>
        <w:rPr>
          <w:rFonts w:ascii="Times New Roman" w:hAnsi="宋体"/>
        </w:rPr>
      </w:pPr>
      <w:r w:rsidRPr="005005BF">
        <w:rPr>
          <w:rFonts w:ascii="Times New Roman" w:hAnsi="宋体"/>
        </w:rPr>
        <w:t>图</w:t>
      </w:r>
      <w:r w:rsidRPr="005005BF">
        <w:rPr>
          <w:rFonts w:ascii="Times New Roman"/>
        </w:rPr>
        <w:t>B.1</w:t>
      </w:r>
      <w:r w:rsidRPr="005005BF">
        <w:rPr>
          <w:rFonts w:ascii="Times New Roman" w:hAnsi="宋体"/>
        </w:rPr>
        <w:t>以图例的形式表示以上数据的拐点。</w:t>
      </w:r>
    </w:p>
    <w:p w:rsidR="00EC4B48" w:rsidRPr="005005BF" w:rsidRDefault="00EC4B48" w:rsidP="00EC4B48">
      <w:pPr>
        <w:pStyle w:val="afe"/>
        <w:ind w:firstLineChars="0" w:firstLine="0"/>
        <w:jc w:val="center"/>
        <w:rPr>
          <w:rFonts w:ascii="Times New Roman"/>
        </w:rPr>
      </w:pPr>
      <w:r>
        <w:rPr>
          <w:rFonts w:hAnsi="宋体" w:hint="eastAsia"/>
        </w:rPr>
        <w:lastRenderedPageBreak/>
        <w:drawing>
          <wp:inline distT="0" distB="0" distL="0" distR="0">
            <wp:extent cx="3442572" cy="3225800"/>
            <wp:effectExtent l="19050" t="0" r="5478" b="0"/>
            <wp:docPr id="3" name="图片 12" descr="C:\Users\chao\Desktop\Grap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ao\Desktop\Graph2.jpg"/>
                    <pic:cNvPicPr>
                      <a:picLocks noChangeAspect="1" noChangeArrowheads="1"/>
                    </pic:cNvPicPr>
                  </pic:nvPicPr>
                  <pic:blipFill>
                    <a:blip r:embed="rId25" cstate="print"/>
                    <a:srcRect/>
                    <a:stretch>
                      <a:fillRect/>
                    </a:stretch>
                  </pic:blipFill>
                  <pic:spPr bwMode="auto">
                    <a:xfrm>
                      <a:off x="0" y="0"/>
                      <a:ext cx="3442856" cy="3226066"/>
                    </a:xfrm>
                    <a:prstGeom prst="rect">
                      <a:avLst/>
                    </a:prstGeom>
                    <a:noFill/>
                    <a:ln w="9525">
                      <a:noFill/>
                      <a:miter lim="800000"/>
                      <a:headEnd/>
                      <a:tailEnd/>
                    </a:ln>
                  </pic:spPr>
                </pic:pic>
              </a:graphicData>
            </a:graphic>
          </wp:inline>
        </w:drawing>
      </w:r>
    </w:p>
    <w:p w:rsidR="009426D1" w:rsidRPr="005005BF" w:rsidRDefault="00EC4B48" w:rsidP="00EC4B48">
      <w:pPr>
        <w:pStyle w:val="a7"/>
        <w:numPr>
          <w:ilvl w:val="0"/>
          <w:numId w:val="0"/>
        </w:numPr>
        <w:spacing w:before="156" w:after="156"/>
        <w:ind w:firstLineChars="100" w:firstLine="210"/>
        <w:rPr>
          <w:rFonts w:ascii="Times New Roman"/>
        </w:rPr>
      </w:pPr>
      <w:r>
        <w:rPr>
          <w:rFonts w:ascii="Times New Roman" w:hint="eastAsia"/>
        </w:rPr>
        <w:t>图</w:t>
      </w:r>
      <w:r>
        <w:rPr>
          <w:rFonts w:ascii="Times New Roman" w:hint="eastAsia"/>
        </w:rPr>
        <w:t xml:space="preserve">B.1 </w:t>
      </w:r>
      <w:r w:rsidR="009426D1" w:rsidRPr="005005BF">
        <w:rPr>
          <w:rFonts w:ascii="Times New Roman"/>
        </w:rPr>
        <w:t>滴定过程中</w:t>
      </w:r>
      <w:r w:rsidR="009426D1" w:rsidRPr="005005BF">
        <w:rPr>
          <w:rFonts w:ascii="Times New Roman"/>
        </w:rPr>
        <w:t>pH</w:t>
      </w:r>
      <w:r w:rsidR="009426D1" w:rsidRPr="005005BF">
        <w:rPr>
          <w:rFonts w:ascii="Times New Roman" w:hAnsi="宋体"/>
        </w:rPr>
        <w:t>值</w:t>
      </w:r>
      <w:r w:rsidR="009426D1" w:rsidRPr="005005BF">
        <w:rPr>
          <w:rFonts w:ascii="Times New Roman"/>
        </w:rPr>
        <w:t>的变化曲线图</w:t>
      </w:r>
    </w:p>
    <w:p w:rsidR="009426D1" w:rsidRDefault="009426D1" w:rsidP="009426D1">
      <w:pPr>
        <w:pStyle w:val="a6"/>
      </w:pPr>
    </w:p>
    <w:p w:rsidR="009426D1" w:rsidRDefault="009426D1" w:rsidP="009426D1">
      <w:pPr>
        <w:pStyle w:val="af"/>
      </w:pPr>
    </w:p>
    <w:p w:rsidR="009426D1" w:rsidRDefault="009426D1" w:rsidP="009426D1">
      <w:pPr>
        <w:pStyle w:val="af1"/>
      </w:pPr>
      <w:r>
        <w:br/>
      </w:r>
      <w:r>
        <w:rPr>
          <w:rFonts w:hint="eastAsia"/>
        </w:rPr>
        <w:t>（资料性附录）</w:t>
      </w:r>
      <w:r>
        <w:br/>
      </w:r>
      <w:r>
        <w:rPr>
          <w:rFonts w:hint="eastAsia"/>
        </w:rPr>
        <w:t>精密度</w:t>
      </w:r>
    </w:p>
    <w:p w:rsidR="009426D1" w:rsidRDefault="00797E54" w:rsidP="00797E54">
      <w:pPr>
        <w:pStyle w:val="af2"/>
        <w:spacing w:before="312" w:after="312"/>
      </w:pPr>
      <w:r>
        <w:rPr>
          <w:rFonts w:hint="eastAsia"/>
        </w:rPr>
        <w:t>背景</w:t>
      </w:r>
    </w:p>
    <w:p w:rsidR="00797E54" w:rsidRPr="005005BF" w:rsidRDefault="00797E54" w:rsidP="00797E54">
      <w:pPr>
        <w:pStyle w:val="af3"/>
        <w:spacing w:before="156" w:after="156"/>
        <w:rPr>
          <w:rFonts w:ascii="Times New Roman" w:eastAsia="宋体"/>
        </w:rPr>
      </w:pPr>
      <w:r w:rsidRPr="005005BF">
        <w:rPr>
          <w:rFonts w:ascii="Times New Roman" w:eastAsia="宋体"/>
        </w:rPr>
        <w:t>本方法的精密度按</w:t>
      </w:r>
      <w:r w:rsidRPr="005005BF">
        <w:rPr>
          <w:rFonts w:ascii="Times New Roman" w:eastAsia="宋体"/>
        </w:rPr>
        <w:t>ISO/TR 9272</w:t>
      </w:r>
      <w:r w:rsidRPr="005005BF">
        <w:rPr>
          <w:rFonts w:ascii="Times New Roman" w:eastAsia="宋体"/>
        </w:rPr>
        <w:t>的规定进行确定。术语和统计的定义可参考</w:t>
      </w:r>
      <w:r w:rsidR="001F1DA8" w:rsidRPr="005005BF">
        <w:rPr>
          <w:rFonts w:ascii="Times New Roman" w:eastAsia="宋体"/>
        </w:rPr>
        <w:t>该标准</w:t>
      </w:r>
      <w:r w:rsidRPr="005005BF">
        <w:rPr>
          <w:rFonts w:ascii="Times New Roman" w:eastAsia="宋体"/>
        </w:rPr>
        <w:t>。</w:t>
      </w:r>
    </w:p>
    <w:p w:rsidR="00797E54" w:rsidRPr="005005BF" w:rsidRDefault="00797E54" w:rsidP="00797E54">
      <w:pPr>
        <w:pStyle w:val="af3"/>
        <w:spacing w:before="156" w:after="156"/>
        <w:rPr>
          <w:rFonts w:ascii="Times New Roman" w:eastAsia="宋体"/>
        </w:rPr>
      </w:pPr>
      <w:r w:rsidRPr="005005BF">
        <w:rPr>
          <w:rFonts w:ascii="Times New Roman" w:eastAsia="宋体"/>
        </w:rPr>
        <w:t>本精密度给出了采用本测定方法按下述实验室间试验计划（</w:t>
      </w:r>
      <w:r w:rsidRPr="005005BF">
        <w:rPr>
          <w:rFonts w:ascii="Times New Roman" w:eastAsia="宋体"/>
        </w:rPr>
        <w:t>ITP</w:t>
      </w:r>
      <w:r w:rsidRPr="005005BF">
        <w:rPr>
          <w:rFonts w:ascii="Times New Roman" w:eastAsia="宋体"/>
        </w:rPr>
        <w:t>）测定具体材料的测定结果精密度的估算。所得到的精密度结果不应作为评判任何一组材料或产品接受或拒收的依据，</w:t>
      </w:r>
      <w:r w:rsidRPr="005005BF">
        <w:rPr>
          <w:rFonts w:ascii="Times New Roman" w:eastAsia="宋体"/>
          <w:szCs w:val="21"/>
        </w:rPr>
        <w:t>除非有特别说明这些精密度参数适用于这些材料以及包含本测定方法的具体试验方案</w:t>
      </w:r>
      <w:r w:rsidRPr="005005BF">
        <w:rPr>
          <w:rFonts w:ascii="Times New Roman" w:eastAsia="宋体"/>
        </w:rPr>
        <w:t>。</w:t>
      </w:r>
    </w:p>
    <w:p w:rsidR="00797E54" w:rsidRPr="005005BF" w:rsidRDefault="00797E54" w:rsidP="00797E54">
      <w:pPr>
        <w:pStyle w:val="af3"/>
        <w:spacing w:before="156" w:after="156"/>
        <w:rPr>
          <w:rFonts w:ascii="Times New Roman" w:eastAsia="宋体"/>
        </w:rPr>
      </w:pPr>
      <w:r w:rsidRPr="005005BF">
        <w:rPr>
          <w:rFonts w:ascii="Times New Roman" w:eastAsia="宋体"/>
        </w:rPr>
        <w:t>表</w:t>
      </w:r>
      <w:r w:rsidRPr="005005BF">
        <w:rPr>
          <w:rFonts w:ascii="Times New Roman" w:eastAsia="宋体"/>
        </w:rPr>
        <w:t>C.1</w:t>
      </w:r>
      <w:r w:rsidRPr="005005BF">
        <w:rPr>
          <w:rFonts w:ascii="Times New Roman" w:eastAsia="宋体"/>
        </w:rPr>
        <w:t>列出了精密度的结果。精密度</w:t>
      </w:r>
      <w:r w:rsidRPr="005005BF">
        <w:rPr>
          <w:rFonts w:ascii="Times New Roman" w:eastAsia="宋体"/>
          <w:szCs w:val="21"/>
        </w:rPr>
        <w:t>以基于</w:t>
      </w:r>
      <w:r w:rsidRPr="005005BF">
        <w:rPr>
          <w:rFonts w:ascii="Times New Roman" w:eastAsia="宋体"/>
        </w:rPr>
        <w:t>95</w:t>
      </w:r>
      <w:r w:rsidRPr="005005BF">
        <w:rPr>
          <w:rFonts w:ascii="Times New Roman" w:eastAsia="宋体"/>
        </w:rPr>
        <w:t>％的置信水平所确定的重复性</w:t>
      </w:r>
      <w:r w:rsidRPr="005005BF">
        <w:rPr>
          <w:rFonts w:ascii="Times New Roman" w:eastAsia="宋体"/>
          <w:i/>
        </w:rPr>
        <w:t>r</w:t>
      </w:r>
      <w:r w:rsidRPr="005005BF">
        <w:rPr>
          <w:rFonts w:ascii="Times New Roman" w:eastAsia="宋体"/>
        </w:rPr>
        <w:t>和再现性</w:t>
      </w:r>
      <w:r w:rsidRPr="005005BF">
        <w:rPr>
          <w:rFonts w:ascii="Times New Roman" w:eastAsia="宋体"/>
          <w:i/>
        </w:rPr>
        <w:t>Ｒ</w:t>
      </w:r>
      <w:r w:rsidRPr="005005BF">
        <w:rPr>
          <w:rFonts w:ascii="Times New Roman" w:eastAsia="宋体"/>
        </w:rPr>
        <w:t>之值表示。</w:t>
      </w:r>
    </w:p>
    <w:p w:rsidR="00797E54" w:rsidRPr="005005BF" w:rsidRDefault="00797E54" w:rsidP="00797E54">
      <w:pPr>
        <w:pStyle w:val="af3"/>
        <w:spacing w:before="156" w:after="156"/>
        <w:rPr>
          <w:rFonts w:ascii="Times New Roman"/>
        </w:rPr>
      </w:pPr>
      <w:r w:rsidRPr="005005BF">
        <w:rPr>
          <w:rFonts w:ascii="Times New Roman" w:eastAsia="宋体"/>
        </w:rPr>
        <w:t>表</w:t>
      </w:r>
      <w:r w:rsidRPr="005005BF">
        <w:rPr>
          <w:rFonts w:ascii="Times New Roman" w:eastAsia="宋体"/>
        </w:rPr>
        <w:t>C.1</w:t>
      </w:r>
      <w:r w:rsidRPr="005005BF">
        <w:rPr>
          <w:rFonts w:ascii="Times New Roman" w:eastAsia="宋体"/>
        </w:rPr>
        <w:t>中的结果为平均值并给出了本试验方法的精密度统计值</w:t>
      </w:r>
      <w:r w:rsidR="008E2826" w:rsidRPr="005005BF">
        <w:rPr>
          <w:rFonts w:ascii="Times New Roman" w:eastAsia="宋体"/>
        </w:rPr>
        <w:t>，这些数值</w:t>
      </w:r>
      <w:r w:rsidRPr="005005BF">
        <w:rPr>
          <w:rFonts w:ascii="Times New Roman" w:eastAsia="宋体"/>
        </w:rPr>
        <w:t>是由</w:t>
      </w:r>
      <w:r w:rsidRPr="005005BF">
        <w:rPr>
          <w:rFonts w:ascii="Times New Roman" w:eastAsia="宋体"/>
        </w:rPr>
        <w:t>2001</w:t>
      </w:r>
      <w:r w:rsidRPr="005005BF">
        <w:rPr>
          <w:rFonts w:ascii="Times New Roman" w:eastAsia="宋体"/>
        </w:rPr>
        <w:t>年进行的一项实验室间试验计划（</w:t>
      </w:r>
      <w:r w:rsidRPr="005005BF">
        <w:rPr>
          <w:rFonts w:ascii="Times New Roman" w:eastAsia="宋体"/>
        </w:rPr>
        <w:t>ITP</w:t>
      </w:r>
      <w:r w:rsidRPr="005005BF">
        <w:rPr>
          <w:rFonts w:ascii="Times New Roman" w:eastAsia="宋体"/>
        </w:rPr>
        <w:t>）所确定的。</w:t>
      </w:r>
      <w:r w:rsidRPr="005005BF">
        <w:rPr>
          <w:rFonts w:ascii="Times New Roman" w:eastAsia="宋体"/>
        </w:rPr>
        <w:t xml:space="preserve">13 </w:t>
      </w:r>
      <w:r w:rsidRPr="005005BF">
        <w:rPr>
          <w:rFonts w:ascii="Times New Roman" w:eastAsia="宋体"/>
        </w:rPr>
        <w:t>间实验室对用高氨胶乳制备的</w:t>
      </w:r>
      <w:r w:rsidR="00F00906" w:rsidRPr="005005BF">
        <w:rPr>
          <w:rFonts w:ascii="Times New Roman" w:eastAsia="宋体"/>
        </w:rPr>
        <w:t>A</w:t>
      </w:r>
      <w:r w:rsidRPr="005005BF">
        <w:rPr>
          <w:rFonts w:ascii="Times New Roman" w:eastAsia="宋体"/>
        </w:rPr>
        <w:t>和</w:t>
      </w:r>
      <w:r w:rsidR="00F00906" w:rsidRPr="005005BF">
        <w:rPr>
          <w:rFonts w:ascii="Times New Roman" w:eastAsia="宋体"/>
        </w:rPr>
        <w:t>B</w:t>
      </w:r>
      <w:r w:rsidRPr="005005BF">
        <w:rPr>
          <w:rFonts w:ascii="Times New Roman" w:eastAsia="宋体"/>
        </w:rPr>
        <w:t>两个样品进行了重复三次的测定。</w:t>
      </w:r>
      <w:r w:rsidR="001D3537" w:rsidRPr="005005BF">
        <w:rPr>
          <w:rFonts w:ascii="Times New Roman" w:eastAsia="宋体" w:hAnsi="宋体"/>
        </w:rPr>
        <w:t>在整批胶乳进一步取样并分别装入贴有Ａ和Ｂ标签的１Ｌ样品瓶之前，先将其过滤，再充分搅拌使其均匀化</w:t>
      </w:r>
      <w:r w:rsidRPr="005005BF">
        <w:rPr>
          <w:rFonts w:ascii="Times New Roman" w:eastAsia="宋体"/>
        </w:rPr>
        <w:t>。这样，样品</w:t>
      </w:r>
      <w:r w:rsidR="00F00906" w:rsidRPr="005005BF">
        <w:rPr>
          <w:rFonts w:ascii="Times New Roman" w:eastAsia="宋体"/>
        </w:rPr>
        <w:t>A</w:t>
      </w:r>
      <w:r w:rsidRPr="005005BF">
        <w:rPr>
          <w:rFonts w:ascii="Times New Roman" w:eastAsia="宋体"/>
        </w:rPr>
        <w:t>和样品</w:t>
      </w:r>
      <w:r w:rsidR="00F00906" w:rsidRPr="005005BF">
        <w:rPr>
          <w:rFonts w:ascii="Times New Roman" w:eastAsia="宋体"/>
        </w:rPr>
        <w:t>B</w:t>
      </w:r>
      <w:r w:rsidRPr="005005BF">
        <w:rPr>
          <w:rFonts w:ascii="Times New Roman" w:eastAsia="宋体"/>
        </w:rPr>
        <w:t>本质上是相同的，并按相同样品进行统计分析。要求每个参与的实验室按</w:t>
      </w:r>
      <w:r w:rsidR="001D3537" w:rsidRPr="005005BF">
        <w:rPr>
          <w:rFonts w:ascii="Times New Roman" w:eastAsia="宋体"/>
        </w:rPr>
        <w:t>ITP</w:t>
      </w:r>
      <w:r w:rsidRPr="005005BF">
        <w:rPr>
          <w:rFonts w:ascii="Times New Roman" w:eastAsia="宋体"/>
        </w:rPr>
        <w:t>规定的日期，用这两个样品进行精密度验证试验。</w:t>
      </w:r>
      <w:r w:rsidRPr="005005BF">
        <w:rPr>
          <w:rFonts w:ascii="Times New Roman"/>
        </w:rPr>
        <w:t xml:space="preserve"> </w:t>
      </w:r>
    </w:p>
    <w:p w:rsidR="00797E54" w:rsidRPr="005005BF" w:rsidRDefault="00797E54" w:rsidP="00797E54">
      <w:pPr>
        <w:pStyle w:val="af3"/>
        <w:spacing w:before="156" w:after="156"/>
        <w:rPr>
          <w:rFonts w:ascii="Times New Roman" w:eastAsia="宋体"/>
        </w:rPr>
      </w:pPr>
      <w:r w:rsidRPr="005005BF">
        <w:rPr>
          <w:rFonts w:ascii="Times New Roman" w:eastAsia="宋体"/>
        </w:rPr>
        <w:t>根据本</w:t>
      </w:r>
      <w:r w:rsidRPr="005005BF">
        <w:rPr>
          <w:rFonts w:ascii="Times New Roman" w:eastAsia="宋体"/>
        </w:rPr>
        <w:t>ITP</w:t>
      </w:r>
      <w:r w:rsidRPr="005005BF">
        <w:rPr>
          <w:rFonts w:ascii="Times New Roman" w:eastAsia="宋体"/>
        </w:rPr>
        <w:t>所采用的制样方法确定了</w:t>
      </w:r>
      <w:r w:rsidR="005005BF" w:rsidRPr="005005BF">
        <w:rPr>
          <w:rFonts w:ascii="Times New Roman" w:eastAsia="宋体"/>
        </w:rPr>
        <w:t>1</w:t>
      </w:r>
      <w:r w:rsidRPr="005005BF">
        <w:rPr>
          <w:rFonts w:ascii="Times New Roman" w:eastAsia="宋体"/>
        </w:rPr>
        <w:t>型精密度。</w:t>
      </w:r>
    </w:p>
    <w:p w:rsidR="00797E54" w:rsidRPr="005005BF" w:rsidRDefault="00797E54" w:rsidP="00797E54">
      <w:pPr>
        <w:pStyle w:val="af2"/>
        <w:spacing w:before="312" w:after="312"/>
        <w:rPr>
          <w:rFonts w:ascii="Times New Roman"/>
        </w:rPr>
      </w:pPr>
      <w:r w:rsidRPr="005005BF">
        <w:rPr>
          <w:rFonts w:ascii="Times New Roman"/>
        </w:rPr>
        <w:t>重复性</w:t>
      </w:r>
    </w:p>
    <w:p w:rsidR="00797E54" w:rsidRPr="005005BF" w:rsidRDefault="00797E54" w:rsidP="00797E54">
      <w:pPr>
        <w:pStyle w:val="afe"/>
        <w:rPr>
          <w:rFonts w:ascii="Times New Roman"/>
        </w:rPr>
      </w:pPr>
      <w:r w:rsidRPr="005005BF">
        <w:rPr>
          <w:rFonts w:ascii="Times New Roman"/>
        </w:rPr>
        <w:t>表</w:t>
      </w:r>
      <w:r w:rsidR="00C605D5" w:rsidRPr="005005BF">
        <w:rPr>
          <w:rFonts w:ascii="Times New Roman"/>
        </w:rPr>
        <w:t>C</w:t>
      </w:r>
      <w:r w:rsidRPr="005005BF">
        <w:rPr>
          <w:rFonts w:ascii="Times New Roman"/>
        </w:rPr>
        <w:t>.</w:t>
      </w:r>
      <w:r w:rsidRPr="005005BF">
        <w:rPr>
          <w:rFonts w:ascii="Times New Roman"/>
        </w:rPr>
        <w:t>１</w:t>
      </w:r>
      <w:r w:rsidR="00F50101" w:rsidRPr="005005BF">
        <w:rPr>
          <w:rFonts w:ascii="Times New Roman"/>
        </w:rPr>
        <w:t>给出了已确定的本试验方法较为适当</w:t>
      </w:r>
      <w:r w:rsidRPr="005005BF">
        <w:rPr>
          <w:rFonts w:ascii="Times New Roman"/>
        </w:rPr>
        <w:t>的重复性</w:t>
      </w:r>
      <w:r w:rsidRPr="005005BF">
        <w:rPr>
          <w:rFonts w:ascii="Times New Roman"/>
          <w:i/>
        </w:rPr>
        <w:t>r</w:t>
      </w:r>
      <w:r w:rsidRPr="005005BF">
        <w:rPr>
          <w:rFonts w:ascii="Times New Roman"/>
        </w:rPr>
        <w:t>（以测定单位表示）。</w:t>
      </w:r>
      <w:bookmarkStart w:id="19" w:name="OLE_LINK10"/>
      <w:r w:rsidRPr="005005BF">
        <w:rPr>
          <w:rFonts w:ascii="Times New Roman"/>
        </w:rPr>
        <w:t>按正常的试验</w:t>
      </w:r>
      <w:bookmarkEnd w:id="19"/>
      <w:r w:rsidRPr="005005BF">
        <w:rPr>
          <w:rFonts w:ascii="Times New Roman"/>
        </w:rPr>
        <w:t>操作，同一实验室所得到的两个独立的试验结果之差大于表列的</w:t>
      </w:r>
      <w:r w:rsidRPr="005005BF">
        <w:rPr>
          <w:rFonts w:ascii="Times New Roman"/>
          <w:i/>
        </w:rPr>
        <w:t>r</w:t>
      </w:r>
      <w:r w:rsidRPr="005005BF">
        <w:rPr>
          <w:rFonts w:ascii="Times New Roman"/>
        </w:rPr>
        <w:t>值（对于任何给定的水平）应被视为来自不同的（即非同一的）样品群。</w:t>
      </w:r>
    </w:p>
    <w:p w:rsidR="00797E54" w:rsidRPr="005005BF" w:rsidRDefault="00797E54" w:rsidP="00797E54">
      <w:pPr>
        <w:pStyle w:val="af2"/>
        <w:spacing w:before="312" w:after="312"/>
        <w:rPr>
          <w:rFonts w:ascii="Times New Roman"/>
        </w:rPr>
      </w:pPr>
      <w:r w:rsidRPr="005005BF">
        <w:rPr>
          <w:rFonts w:ascii="Times New Roman"/>
        </w:rPr>
        <w:t>再现性</w:t>
      </w:r>
    </w:p>
    <w:p w:rsidR="00797E54" w:rsidRPr="005005BF" w:rsidRDefault="00797E54" w:rsidP="00797E54">
      <w:pPr>
        <w:pStyle w:val="afe"/>
        <w:rPr>
          <w:rFonts w:ascii="Times New Roman"/>
        </w:rPr>
      </w:pPr>
      <w:r w:rsidRPr="005005BF">
        <w:rPr>
          <w:rFonts w:ascii="Times New Roman"/>
        </w:rPr>
        <w:t>表</w:t>
      </w:r>
      <w:r w:rsidRPr="005005BF">
        <w:rPr>
          <w:rFonts w:ascii="Times New Roman"/>
        </w:rPr>
        <w:t>C.</w:t>
      </w:r>
      <w:r w:rsidRPr="005005BF">
        <w:rPr>
          <w:rFonts w:ascii="Times New Roman"/>
        </w:rPr>
        <w:t>１给出了已确定的本试验方法较为合适的再现性</w:t>
      </w:r>
      <w:r w:rsidR="00F00906" w:rsidRPr="005005BF">
        <w:rPr>
          <w:rFonts w:ascii="Times New Roman"/>
          <w:i/>
        </w:rPr>
        <w:t>R</w:t>
      </w:r>
      <w:r w:rsidRPr="005005BF">
        <w:rPr>
          <w:rFonts w:ascii="Times New Roman"/>
        </w:rPr>
        <w:t>（按测定单位）。按正常的试验操作，两个不同的实验室所获得的两个独立的试验结果之差大于表列的</w:t>
      </w:r>
      <w:r w:rsidR="00F00906" w:rsidRPr="005005BF">
        <w:rPr>
          <w:rFonts w:ascii="Times New Roman"/>
          <w:i/>
        </w:rPr>
        <w:t xml:space="preserve">R </w:t>
      </w:r>
      <w:r w:rsidRPr="005005BF">
        <w:rPr>
          <w:rFonts w:ascii="Times New Roman"/>
        </w:rPr>
        <w:t>值（对于任何给定的水平）应被视为来自不同的（即非同一的）样品群。</w:t>
      </w:r>
    </w:p>
    <w:p w:rsidR="00797E54" w:rsidRPr="005005BF" w:rsidRDefault="00797E54" w:rsidP="00797E54">
      <w:pPr>
        <w:pStyle w:val="af0"/>
        <w:numPr>
          <w:ilvl w:val="0"/>
          <w:numId w:val="0"/>
        </w:numPr>
        <w:spacing w:before="156" w:after="156"/>
        <w:rPr>
          <w:rFonts w:ascii="Times New Roman"/>
        </w:rPr>
      </w:pPr>
      <w:r w:rsidRPr="005005BF">
        <w:rPr>
          <w:rFonts w:ascii="Times New Roman"/>
        </w:rPr>
        <w:t>表</w:t>
      </w:r>
      <w:r w:rsidRPr="005005BF">
        <w:rPr>
          <w:rFonts w:ascii="Times New Roman"/>
        </w:rPr>
        <w:t>C.1</w:t>
      </w:r>
      <w:r w:rsidRPr="005005BF">
        <w:rPr>
          <w:rFonts w:ascii="Times New Roman"/>
        </w:rPr>
        <w:t>氢氧化钾测定方法的精密度估算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3"/>
        <w:gridCol w:w="1914"/>
        <w:gridCol w:w="1914"/>
        <w:gridCol w:w="1914"/>
        <w:gridCol w:w="1915"/>
      </w:tblGrid>
      <w:tr w:rsidR="00797E54" w:rsidRPr="005005BF" w:rsidTr="00435FE5">
        <w:trPr>
          <w:cantSplit/>
        </w:trPr>
        <w:tc>
          <w:tcPr>
            <w:tcW w:w="1913" w:type="dxa"/>
            <w:vMerge w:val="restart"/>
            <w:vAlign w:val="center"/>
          </w:tcPr>
          <w:p w:rsidR="00797E54" w:rsidRPr="005005BF" w:rsidRDefault="00797E54" w:rsidP="00435FE5">
            <w:pPr>
              <w:pStyle w:val="afe"/>
              <w:ind w:firstLineChars="0" w:firstLine="0"/>
              <w:jc w:val="center"/>
              <w:rPr>
                <w:rFonts w:ascii="Times New Roman"/>
              </w:rPr>
            </w:pPr>
            <w:r w:rsidRPr="005005BF">
              <w:rPr>
                <w:rFonts w:ascii="Times New Roman"/>
              </w:rPr>
              <w:t>平均值</w:t>
            </w:r>
          </w:p>
        </w:tc>
        <w:tc>
          <w:tcPr>
            <w:tcW w:w="3828" w:type="dxa"/>
            <w:gridSpan w:val="2"/>
            <w:vAlign w:val="center"/>
          </w:tcPr>
          <w:p w:rsidR="00797E54" w:rsidRPr="005005BF" w:rsidRDefault="00797E54" w:rsidP="00435FE5">
            <w:pPr>
              <w:pStyle w:val="afe"/>
              <w:ind w:firstLineChars="0" w:firstLine="0"/>
              <w:jc w:val="center"/>
              <w:rPr>
                <w:rFonts w:ascii="Times New Roman"/>
              </w:rPr>
            </w:pPr>
            <w:r w:rsidRPr="005005BF">
              <w:rPr>
                <w:rFonts w:ascii="Times New Roman"/>
              </w:rPr>
              <w:t>实验室内</w:t>
            </w:r>
          </w:p>
        </w:tc>
        <w:tc>
          <w:tcPr>
            <w:tcW w:w="3829" w:type="dxa"/>
            <w:gridSpan w:val="2"/>
            <w:vAlign w:val="center"/>
          </w:tcPr>
          <w:p w:rsidR="00797E54" w:rsidRPr="005005BF" w:rsidRDefault="00797E54" w:rsidP="00435FE5">
            <w:pPr>
              <w:pStyle w:val="afe"/>
              <w:ind w:firstLineChars="0" w:firstLine="0"/>
              <w:jc w:val="center"/>
              <w:rPr>
                <w:rFonts w:ascii="Times New Roman"/>
              </w:rPr>
            </w:pPr>
            <w:r w:rsidRPr="005005BF">
              <w:rPr>
                <w:rFonts w:ascii="Times New Roman"/>
              </w:rPr>
              <w:t>实验室间</w:t>
            </w:r>
          </w:p>
        </w:tc>
      </w:tr>
      <w:tr w:rsidR="00797E54" w:rsidRPr="005005BF" w:rsidTr="00435FE5">
        <w:trPr>
          <w:cantSplit/>
        </w:trPr>
        <w:tc>
          <w:tcPr>
            <w:tcW w:w="1913" w:type="dxa"/>
            <w:vMerge/>
            <w:vAlign w:val="center"/>
          </w:tcPr>
          <w:p w:rsidR="00797E54" w:rsidRPr="005005BF" w:rsidRDefault="00797E54" w:rsidP="00435FE5">
            <w:pPr>
              <w:pStyle w:val="afe"/>
              <w:ind w:firstLineChars="0" w:firstLine="0"/>
              <w:jc w:val="center"/>
              <w:rPr>
                <w:rFonts w:ascii="Times New Roman"/>
              </w:rPr>
            </w:pPr>
          </w:p>
        </w:tc>
        <w:tc>
          <w:tcPr>
            <w:tcW w:w="1914" w:type="dxa"/>
            <w:vAlign w:val="center"/>
          </w:tcPr>
          <w:p w:rsidR="00797E54" w:rsidRPr="005005BF" w:rsidRDefault="00797E54" w:rsidP="00435FE5">
            <w:pPr>
              <w:pStyle w:val="afe"/>
              <w:ind w:firstLineChars="0" w:firstLine="0"/>
              <w:jc w:val="center"/>
              <w:rPr>
                <w:rFonts w:ascii="Times New Roman"/>
                <w:i/>
              </w:rPr>
            </w:pPr>
            <w:r w:rsidRPr="005005BF">
              <w:rPr>
                <w:rFonts w:ascii="Times New Roman"/>
                <w:i/>
              </w:rPr>
              <w:t>S</w:t>
            </w:r>
            <w:r w:rsidRPr="005005BF">
              <w:rPr>
                <w:rFonts w:ascii="Times New Roman"/>
                <w:i/>
                <w:vertAlign w:val="subscript"/>
              </w:rPr>
              <w:t>r</w:t>
            </w:r>
          </w:p>
        </w:tc>
        <w:tc>
          <w:tcPr>
            <w:tcW w:w="1914" w:type="dxa"/>
            <w:vAlign w:val="center"/>
          </w:tcPr>
          <w:p w:rsidR="00797E54" w:rsidRPr="005005BF" w:rsidRDefault="00797E54" w:rsidP="00435FE5">
            <w:pPr>
              <w:pStyle w:val="afe"/>
              <w:ind w:firstLineChars="0" w:firstLine="0"/>
              <w:jc w:val="center"/>
              <w:rPr>
                <w:rFonts w:ascii="Times New Roman"/>
                <w:i/>
              </w:rPr>
            </w:pPr>
            <w:r w:rsidRPr="005005BF">
              <w:rPr>
                <w:rFonts w:ascii="Times New Roman"/>
                <w:i/>
              </w:rPr>
              <w:t>r</w:t>
            </w:r>
          </w:p>
        </w:tc>
        <w:tc>
          <w:tcPr>
            <w:tcW w:w="1914" w:type="dxa"/>
            <w:vAlign w:val="center"/>
          </w:tcPr>
          <w:p w:rsidR="00797E54" w:rsidRPr="005005BF" w:rsidRDefault="00797E54" w:rsidP="00435FE5">
            <w:pPr>
              <w:pStyle w:val="afe"/>
              <w:ind w:firstLineChars="0" w:firstLine="0"/>
              <w:jc w:val="center"/>
              <w:rPr>
                <w:rFonts w:ascii="Times New Roman"/>
                <w:i/>
              </w:rPr>
            </w:pPr>
            <w:r w:rsidRPr="005005BF">
              <w:rPr>
                <w:rFonts w:ascii="Times New Roman"/>
                <w:i/>
              </w:rPr>
              <w:t>S</w:t>
            </w:r>
            <w:r w:rsidRPr="005005BF">
              <w:rPr>
                <w:rFonts w:ascii="Times New Roman"/>
                <w:i/>
                <w:vertAlign w:val="subscript"/>
              </w:rPr>
              <w:t>R</w:t>
            </w:r>
          </w:p>
        </w:tc>
        <w:tc>
          <w:tcPr>
            <w:tcW w:w="1915" w:type="dxa"/>
            <w:vAlign w:val="center"/>
          </w:tcPr>
          <w:p w:rsidR="00797E54" w:rsidRPr="005005BF" w:rsidRDefault="00797E54" w:rsidP="00435FE5">
            <w:pPr>
              <w:pStyle w:val="afe"/>
              <w:ind w:firstLineChars="0" w:firstLine="0"/>
              <w:jc w:val="center"/>
              <w:rPr>
                <w:rFonts w:ascii="Times New Roman"/>
                <w:i/>
              </w:rPr>
            </w:pPr>
            <w:r w:rsidRPr="005005BF">
              <w:rPr>
                <w:rFonts w:ascii="Times New Roman"/>
                <w:i/>
              </w:rPr>
              <w:t>R</w:t>
            </w:r>
          </w:p>
        </w:tc>
      </w:tr>
      <w:tr w:rsidR="00797E54" w:rsidRPr="005005BF" w:rsidTr="00435FE5">
        <w:trPr>
          <w:cantSplit/>
        </w:trPr>
        <w:tc>
          <w:tcPr>
            <w:tcW w:w="1913" w:type="dxa"/>
            <w:vAlign w:val="center"/>
          </w:tcPr>
          <w:p w:rsidR="00797E54" w:rsidRPr="005005BF" w:rsidRDefault="00797E54" w:rsidP="00435FE5">
            <w:pPr>
              <w:pStyle w:val="afe"/>
              <w:jc w:val="center"/>
              <w:rPr>
                <w:rFonts w:ascii="Times New Roman"/>
              </w:rPr>
            </w:pPr>
            <w:r w:rsidRPr="005005BF">
              <w:rPr>
                <w:rFonts w:ascii="Times New Roman"/>
              </w:rPr>
              <w:t>0.57</w:t>
            </w:r>
          </w:p>
        </w:tc>
        <w:tc>
          <w:tcPr>
            <w:tcW w:w="1914" w:type="dxa"/>
          </w:tcPr>
          <w:p w:rsidR="00797E54" w:rsidRPr="005005BF" w:rsidRDefault="00797E54" w:rsidP="00435FE5">
            <w:pPr>
              <w:pStyle w:val="afe"/>
              <w:pBdr>
                <w:top w:val="none" w:sz="4" w:space="0" w:color="auto"/>
                <w:left w:val="none" w:sz="4" w:space="0" w:color="auto"/>
                <w:bottom w:val="none" w:sz="4" w:space="0" w:color="auto"/>
                <w:right w:val="none" w:sz="4" w:space="0" w:color="auto"/>
                <w:between w:val="none" w:sz="4" w:space="0" w:color="auto"/>
              </w:pBdr>
              <w:ind w:firstLineChars="0" w:firstLine="0"/>
              <w:jc w:val="center"/>
              <w:rPr>
                <w:rFonts w:ascii="Times New Roman"/>
              </w:rPr>
            </w:pPr>
            <w:r w:rsidRPr="005005BF">
              <w:rPr>
                <w:rFonts w:ascii="Times New Roman"/>
              </w:rPr>
              <w:t>0.007</w:t>
            </w:r>
          </w:p>
        </w:tc>
        <w:tc>
          <w:tcPr>
            <w:tcW w:w="1914" w:type="dxa"/>
          </w:tcPr>
          <w:p w:rsidR="00797E54" w:rsidRPr="005005BF" w:rsidRDefault="00797E54" w:rsidP="00435FE5">
            <w:pPr>
              <w:pStyle w:val="afe"/>
              <w:pBdr>
                <w:top w:val="none" w:sz="4" w:space="0" w:color="auto"/>
                <w:left w:val="none" w:sz="4" w:space="0" w:color="auto"/>
                <w:bottom w:val="none" w:sz="4" w:space="0" w:color="auto"/>
                <w:right w:val="none" w:sz="4" w:space="0" w:color="auto"/>
                <w:between w:val="none" w:sz="4" w:space="0" w:color="auto"/>
              </w:pBdr>
              <w:ind w:firstLineChars="0" w:firstLine="0"/>
              <w:jc w:val="center"/>
              <w:rPr>
                <w:rFonts w:ascii="Times New Roman"/>
              </w:rPr>
            </w:pPr>
            <w:r w:rsidRPr="005005BF">
              <w:rPr>
                <w:rFonts w:ascii="Times New Roman"/>
              </w:rPr>
              <w:t>0.02</w:t>
            </w:r>
          </w:p>
        </w:tc>
        <w:tc>
          <w:tcPr>
            <w:tcW w:w="1914" w:type="dxa"/>
          </w:tcPr>
          <w:p w:rsidR="00797E54" w:rsidRPr="005005BF" w:rsidRDefault="00797E54" w:rsidP="00435FE5">
            <w:pPr>
              <w:pStyle w:val="afe"/>
              <w:pBdr>
                <w:top w:val="none" w:sz="4" w:space="0" w:color="auto"/>
                <w:left w:val="none" w:sz="4" w:space="0" w:color="auto"/>
                <w:bottom w:val="none" w:sz="4" w:space="0" w:color="auto"/>
                <w:right w:val="none" w:sz="4" w:space="0" w:color="auto"/>
                <w:between w:val="none" w:sz="4" w:space="0" w:color="auto"/>
              </w:pBdr>
              <w:ind w:firstLineChars="0" w:firstLine="0"/>
              <w:jc w:val="center"/>
              <w:rPr>
                <w:rFonts w:ascii="Times New Roman"/>
              </w:rPr>
            </w:pPr>
            <w:r w:rsidRPr="005005BF">
              <w:rPr>
                <w:rFonts w:ascii="Times New Roman"/>
              </w:rPr>
              <w:t>0.027</w:t>
            </w:r>
          </w:p>
        </w:tc>
        <w:tc>
          <w:tcPr>
            <w:tcW w:w="1915" w:type="dxa"/>
          </w:tcPr>
          <w:p w:rsidR="00797E54" w:rsidRPr="005005BF" w:rsidRDefault="00797E54" w:rsidP="00435FE5">
            <w:pPr>
              <w:pStyle w:val="afe"/>
              <w:pBdr>
                <w:top w:val="none" w:sz="4" w:space="0" w:color="auto"/>
                <w:left w:val="none" w:sz="4" w:space="0" w:color="auto"/>
                <w:bottom w:val="none" w:sz="4" w:space="0" w:color="auto"/>
                <w:right w:val="none" w:sz="4" w:space="0" w:color="auto"/>
                <w:between w:val="none" w:sz="4" w:space="0" w:color="auto"/>
              </w:pBdr>
              <w:ind w:firstLineChars="0" w:firstLine="0"/>
              <w:jc w:val="center"/>
              <w:rPr>
                <w:rFonts w:ascii="Times New Roman"/>
              </w:rPr>
            </w:pPr>
            <w:r w:rsidRPr="005005BF">
              <w:rPr>
                <w:rFonts w:ascii="Times New Roman"/>
              </w:rPr>
              <w:t>0.08</w:t>
            </w:r>
          </w:p>
        </w:tc>
      </w:tr>
      <w:tr w:rsidR="00797E54" w:rsidRPr="005005BF" w:rsidTr="00435FE5">
        <w:trPr>
          <w:cantSplit/>
          <w:trHeight w:val="1918"/>
        </w:trPr>
        <w:tc>
          <w:tcPr>
            <w:tcW w:w="9570" w:type="dxa"/>
            <w:gridSpan w:val="5"/>
          </w:tcPr>
          <w:p w:rsidR="00797E54" w:rsidRPr="005005BF" w:rsidRDefault="00797E54" w:rsidP="00435FE5">
            <w:pPr>
              <w:pStyle w:val="afe"/>
              <w:rPr>
                <w:rFonts w:ascii="Times New Roman"/>
              </w:rPr>
            </w:pPr>
            <w:r w:rsidRPr="005005BF">
              <w:rPr>
                <w:rFonts w:ascii="Times New Roman"/>
                <w:i/>
              </w:rPr>
              <w:lastRenderedPageBreak/>
              <w:t>r</w:t>
            </w:r>
            <w:r w:rsidRPr="005005BF">
              <w:rPr>
                <w:rFonts w:ascii="Times New Roman"/>
              </w:rPr>
              <w:t>=2.83×</w:t>
            </w:r>
            <w:r w:rsidRPr="005005BF">
              <w:rPr>
                <w:rFonts w:ascii="Times New Roman"/>
                <w:i/>
              </w:rPr>
              <w:t>S</w:t>
            </w:r>
            <w:r w:rsidRPr="005005BF">
              <w:rPr>
                <w:rFonts w:ascii="Times New Roman"/>
                <w:i/>
                <w:vertAlign w:val="subscript"/>
              </w:rPr>
              <w:t>r</w:t>
            </w:r>
          </w:p>
          <w:p w:rsidR="00797E54" w:rsidRPr="005005BF" w:rsidRDefault="00797E54" w:rsidP="00435FE5">
            <w:pPr>
              <w:pStyle w:val="afe"/>
              <w:rPr>
                <w:rFonts w:ascii="Times New Roman"/>
              </w:rPr>
            </w:pPr>
            <w:r w:rsidRPr="005005BF">
              <w:rPr>
                <w:rFonts w:ascii="Times New Roman"/>
              </w:rPr>
              <w:t>式中：</w:t>
            </w:r>
          </w:p>
          <w:p w:rsidR="00797E54" w:rsidRPr="005005BF" w:rsidRDefault="00797E54" w:rsidP="00435FE5">
            <w:pPr>
              <w:pStyle w:val="afe"/>
              <w:rPr>
                <w:rFonts w:ascii="Times New Roman"/>
              </w:rPr>
            </w:pPr>
            <w:r w:rsidRPr="005005BF">
              <w:rPr>
                <w:rFonts w:ascii="Times New Roman"/>
                <w:i/>
              </w:rPr>
              <w:t>r</w:t>
            </w:r>
            <w:r w:rsidRPr="005005BF">
              <w:rPr>
                <w:rFonts w:ascii="Times New Roman"/>
              </w:rPr>
              <w:t>——</w:t>
            </w:r>
            <w:r w:rsidRPr="005005BF">
              <w:rPr>
                <w:rFonts w:ascii="Times New Roman"/>
              </w:rPr>
              <w:t>重复性；</w:t>
            </w:r>
            <w:r w:rsidRPr="005005BF">
              <w:rPr>
                <w:rFonts w:ascii="Times New Roman"/>
                <w:i/>
              </w:rPr>
              <w:t>S</w:t>
            </w:r>
            <w:r w:rsidRPr="005005BF">
              <w:rPr>
                <w:rFonts w:ascii="Times New Roman"/>
                <w:i/>
                <w:vertAlign w:val="subscript"/>
              </w:rPr>
              <w:t>r</w:t>
            </w:r>
            <w:r w:rsidRPr="005005BF">
              <w:rPr>
                <w:rFonts w:ascii="Times New Roman"/>
              </w:rPr>
              <w:t>——</w:t>
            </w:r>
            <w:r w:rsidR="00A90C4A" w:rsidRPr="005005BF">
              <w:rPr>
                <w:rFonts w:ascii="Times New Roman"/>
              </w:rPr>
              <w:t>实验室内</w:t>
            </w:r>
            <w:r w:rsidRPr="005005BF">
              <w:rPr>
                <w:rFonts w:ascii="Times New Roman"/>
              </w:rPr>
              <w:t>标准差。</w:t>
            </w:r>
          </w:p>
          <w:p w:rsidR="00797E54" w:rsidRPr="005005BF" w:rsidRDefault="00797E54" w:rsidP="00435FE5">
            <w:pPr>
              <w:pStyle w:val="afe"/>
              <w:rPr>
                <w:rFonts w:ascii="Times New Roman"/>
              </w:rPr>
            </w:pPr>
            <w:r w:rsidRPr="005005BF">
              <w:rPr>
                <w:rFonts w:ascii="Times New Roman"/>
                <w:i/>
              </w:rPr>
              <w:t>R</w:t>
            </w:r>
            <w:r w:rsidRPr="005005BF">
              <w:rPr>
                <w:rFonts w:ascii="Times New Roman"/>
              </w:rPr>
              <w:t>=2.83×</w:t>
            </w:r>
            <w:r w:rsidRPr="005005BF">
              <w:rPr>
                <w:rFonts w:ascii="Times New Roman"/>
                <w:i/>
              </w:rPr>
              <w:t>S</w:t>
            </w:r>
            <w:r w:rsidRPr="005005BF">
              <w:rPr>
                <w:rFonts w:ascii="Times New Roman"/>
                <w:i/>
                <w:vertAlign w:val="subscript"/>
              </w:rPr>
              <w:t>R</w:t>
            </w:r>
          </w:p>
          <w:p w:rsidR="00797E54" w:rsidRPr="005005BF" w:rsidRDefault="00797E54" w:rsidP="00435FE5">
            <w:pPr>
              <w:pStyle w:val="afe"/>
              <w:rPr>
                <w:rFonts w:ascii="Times New Roman"/>
              </w:rPr>
            </w:pPr>
            <w:r w:rsidRPr="005005BF">
              <w:rPr>
                <w:rFonts w:ascii="Times New Roman"/>
              </w:rPr>
              <w:t>式中：</w:t>
            </w:r>
          </w:p>
          <w:p w:rsidR="00797E54" w:rsidRPr="005005BF" w:rsidRDefault="00797E54" w:rsidP="00435FE5">
            <w:pPr>
              <w:pStyle w:val="afe"/>
              <w:ind w:firstLineChars="193" w:firstLine="405"/>
              <w:rPr>
                <w:rFonts w:ascii="Times New Roman"/>
              </w:rPr>
            </w:pPr>
            <w:r w:rsidRPr="005005BF">
              <w:rPr>
                <w:rFonts w:ascii="Times New Roman"/>
                <w:i/>
              </w:rPr>
              <w:t>R</w:t>
            </w:r>
            <w:r w:rsidRPr="005005BF">
              <w:rPr>
                <w:rFonts w:ascii="Times New Roman"/>
              </w:rPr>
              <w:t>——</w:t>
            </w:r>
            <w:r w:rsidRPr="005005BF">
              <w:rPr>
                <w:rFonts w:ascii="Times New Roman"/>
              </w:rPr>
              <w:t>再现性；</w:t>
            </w:r>
            <w:r w:rsidRPr="005005BF">
              <w:rPr>
                <w:rFonts w:ascii="Times New Roman"/>
                <w:i/>
              </w:rPr>
              <w:t>S</w:t>
            </w:r>
            <w:r w:rsidRPr="005005BF">
              <w:rPr>
                <w:rFonts w:ascii="Times New Roman"/>
                <w:i/>
                <w:vertAlign w:val="subscript"/>
              </w:rPr>
              <w:t>R</w:t>
            </w:r>
            <w:r w:rsidRPr="005005BF">
              <w:rPr>
                <w:rFonts w:ascii="Times New Roman"/>
              </w:rPr>
              <w:t>——</w:t>
            </w:r>
            <w:r w:rsidR="00A90C4A" w:rsidRPr="005005BF">
              <w:rPr>
                <w:rFonts w:ascii="Times New Roman"/>
              </w:rPr>
              <w:t>实验</w:t>
            </w:r>
            <w:r w:rsidRPr="005005BF">
              <w:rPr>
                <w:rFonts w:ascii="Times New Roman"/>
              </w:rPr>
              <w:t>室间标准差。</w:t>
            </w:r>
          </w:p>
        </w:tc>
      </w:tr>
    </w:tbl>
    <w:p w:rsidR="00797E54" w:rsidRPr="005005BF" w:rsidRDefault="00797E54" w:rsidP="00797E54">
      <w:pPr>
        <w:pStyle w:val="afe"/>
        <w:rPr>
          <w:rFonts w:ascii="Times New Roman"/>
        </w:rPr>
      </w:pPr>
    </w:p>
    <w:p w:rsidR="00797E54" w:rsidRPr="005005BF" w:rsidRDefault="00797E54" w:rsidP="00797E54">
      <w:pPr>
        <w:pStyle w:val="af2"/>
        <w:spacing w:before="312" w:after="312"/>
        <w:rPr>
          <w:rFonts w:ascii="Times New Roman"/>
        </w:rPr>
      </w:pPr>
      <w:r w:rsidRPr="005005BF">
        <w:rPr>
          <w:rFonts w:ascii="Times New Roman"/>
        </w:rPr>
        <w:t>偏倚</w:t>
      </w:r>
    </w:p>
    <w:p w:rsidR="00797E54" w:rsidRPr="005005BF" w:rsidRDefault="00797E54" w:rsidP="00797E54">
      <w:pPr>
        <w:pStyle w:val="afe"/>
        <w:rPr>
          <w:rFonts w:ascii="Times New Roman"/>
        </w:rPr>
      </w:pPr>
      <w:r w:rsidRPr="005005BF">
        <w:rPr>
          <w:rFonts w:ascii="Times New Roman"/>
        </w:rPr>
        <w:t>在试验方法术语中，偏倚是指试验结果平均值与受测性能的参照值（即真值）之差。</w:t>
      </w:r>
    </w:p>
    <w:p w:rsidR="00797E54" w:rsidRPr="005005BF" w:rsidRDefault="00797E54" w:rsidP="00797E54">
      <w:pPr>
        <w:pStyle w:val="afe"/>
        <w:rPr>
          <w:rFonts w:ascii="Times New Roman"/>
        </w:rPr>
      </w:pPr>
      <w:r w:rsidRPr="005005BF">
        <w:rPr>
          <w:rFonts w:ascii="Times New Roman"/>
        </w:rPr>
        <w:t>本试验方法不存在参照值，因为受测性能的参照值只能通过试验方法确定，所以不能确定本具体试验方法的偏倚。</w:t>
      </w:r>
    </w:p>
    <w:p w:rsidR="00797E54" w:rsidRPr="005005BF" w:rsidRDefault="00797E54" w:rsidP="00797E54">
      <w:pPr>
        <w:pStyle w:val="afe"/>
        <w:rPr>
          <w:rFonts w:ascii="Times New Roman"/>
        </w:rPr>
      </w:pPr>
    </w:p>
    <w:p w:rsidR="00797E54" w:rsidRDefault="00797E54" w:rsidP="00797E54">
      <w:pPr>
        <w:pStyle w:val="afff0"/>
      </w:pPr>
      <w:bookmarkStart w:id="20" w:name="BKCKWX"/>
      <w:r>
        <w:rPr>
          <w:rFonts w:hint="eastAsia"/>
        </w:rPr>
        <w:lastRenderedPageBreak/>
        <w:t>参</w:t>
      </w:r>
      <w:r>
        <w:rPr>
          <w:rFonts w:ascii="Cambria Math" w:hAnsi="Cambria Math" w:cs="Cambria Math"/>
        </w:rPr>
        <w:t> </w:t>
      </w:r>
      <w:r>
        <w:rPr>
          <w:rFonts w:hint="eastAsia"/>
        </w:rPr>
        <w:t>考</w:t>
      </w:r>
      <w:r>
        <w:rPr>
          <w:rFonts w:ascii="Cambria Math" w:hAnsi="Cambria Math" w:cs="Cambria Math"/>
        </w:rPr>
        <w:t> </w:t>
      </w:r>
      <w:r>
        <w:rPr>
          <w:rFonts w:hint="eastAsia"/>
        </w:rPr>
        <w:t>文</w:t>
      </w:r>
      <w:r>
        <w:rPr>
          <w:rFonts w:ascii="Cambria Math" w:hAnsi="Cambria Math" w:cs="Cambria Math"/>
        </w:rPr>
        <w:t> </w:t>
      </w:r>
      <w:r>
        <w:rPr>
          <w:rFonts w:hint="eastAsia"/>
        </w:rPr>
        <w:t>献</w:t>
      </w:r>
      <w:bookmarkEnd w:id="20"/>
    </w:p>
    <w:p w:rsidR="00797E54" w:rsidRPr="00733F64" w:rsidRDefault="00797E54" w:rsidP="00797E54">
      <w:pPr>
        <w:autoSpaceDE w:val="0"/>
        <w:autoSpaceDN w:val="0"/>
        <w:adjustRightInd w:val="0"/>
        <w:jc w:val="left"/>
        <w:rPr>
          <w:rFonts w:ascii="宋体" w:cs="Arial"/>
          <w:i/>
          <w:iCs/>
          <w:kern w:val="0"/>
          <w:szCs w:val="21"/>
        </w:rPr>
      </w:pPr>
      <w:r w:rsidRPr="00733F64">
        <w:rPr>
          <w:rFonts w:ascii="宋体" w:hAnsi="宋体" w:cs="ArialMT"/>
          <w:kern w:val="0"/>
          <w:szCs w:val="21"/>
        </w:rPr>
        <w:t xml:space="preserve">[1] </w:t>
      </w:r>
      <w:r w:rsidRPr="00627024">
        <w:rPr>
          <w:rFonts w:ascii="宋体" w:hAnsi="宋体" w:cs="ArialMT"/>
          <w:kern w:val="0"/>
          <w:szCs w:val="21"/>
        </w:rPr>
        <w:t xml:space="preserve">ISO 1382:2008, </w:t>
      </w:r>
      <w:r w:rsidRPr="00627024">
        <w:rPr>
          <w:rFonts w:ascii="宋体" w:hAnsi="宋体" w:cs="Arial"/>
          <w:i/>
          <w:iCs/>
          <w:kern w:val="0"/>
          <w:szCs w:val="21"/>
        </w:rPr>
        <w:t>Rubber — Vocabulary</w:t>
      </w:r>
      <w:r w:rsidRPr="00733F64">
        <w:rPr>
          <w:rFonts w:ascii="宋体" w:hAnsi="宋体" w:cs="Arial" w:hint="eastAsia"/>
          <w:i/>
          <w:iCs/>
          <w:kern w:val="0"/>
          <w:szCs w:val="21"/>
        </w:rPr>
        <w:t>；</w:t>
      </w:r>
    </w:p>
    <w:p w:rsidR="00797E54" w:rsidRPr="00797E54" w:rsidRDefault="00797E54" w:rsidP="00797E54">
      <w:pPr>
        <w:pStyle w:val="afe"/>
        <w:ind w:firstLineChars="0" w:firstLine="0"/>
      </w:pPr>
      <w:r w:rsidRPr="00733F64">
        <w:rPr>
          <w:rFonts w:hAnsi="宋体" w:cs="ArialMT"/>
          <w:szCs w:val="21"/>
        </w:rPr>
        <w:t>[2]</w:t>
      </w:r>
      <w:r w:rsidRPr="00960C23">
        <w:rPr>
          <w:rFonts w:hAnsi="宋体" w:cs="ArialMT"/>
          <w:szCs w:val="21"/>
        </w:rPr>
        <w:t xml:space="preserve"> </w:t>
      </w:r>
      <w:r w:rsidRPr="00733F64">
        <w:rPr>
          <w:rFonts w:hAnsi="宋体" w:cs="ArialMT"/>
          <w:szCs w:val="21"/>
        </w:rPr>
        <w:t xml:space="preserve">ISO/TR 9272:1986, </w:t>
      </w:r>
      <w:r w:rsidRPr="00733F64">
        <w:rPr>
          <w:rFonts w:hAnsi="宋体" w:cs="Arial"/>
          <w:i/>
          <w:iCs/>
          <w:szCs w:val="21"/>
        </w:rPr>
        <w:t xml:space="preserve">Rubber and rubber products — Determination of precision for test method standards </w:t>
      </w:r>
      <w:r w:rsidRPr="00733F64">
        <w:rPr>
          <w:rFonts w:hAnsi="宋体" w:cs="ArialMT"/>
          <w:szCs w:val="21"/>
        </w:rPr>
        <w:t>[now withdrawn — the currently valid edition, which can be consulted for terminology and statistical concepts, is ISO/TR 9272:2005</w:t>
      </w:r>
      <w:r w:rsidR="00F50101">
        <w:rPr>
          <w:rFonts w:hAnsi="宋体" w:cs="ArialMT"/>
          <w:szCs w:val="21"/>
        </w:rPr>
        <w:t>]</w:t>
      </w:r>
      <w:r w:rsidR="00F50101">
        <w:rPr>
          <w:rFonts w:hAnsi="宋体" w:cs="ArialMT" w:hint="eastAsia"/>
          <w:szCs w:val="21"/>
        </w:rPr>
        <w:t>.</w:t>
      </w:r>
    </w:p>
    <w:p w:rsidR="00F34B99" w:rsidRPr="00D30A52" w:rsidRDefault="00D30A52" w:rsidP="00D30A52">
      <w:pPr>
        <w:pStyle w:val="affffff4"/>
        <w:framePr w:wrap="around"/>
      </w:pPr>
      <w:r>
        <w:t>_________________________________</w:t>
      </w:r>
    </w:p>
    <w:sectPr w:rsidR="00F34B99" w:rsidRPr="00D30A52"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01A" w:rsidRDefault="00E2001A">
      <w:r>
        <w:separator/>
      </w:r>
    </w:p>
  </w:endnote>
  <w:endnote w:type="continuationSeparator" w:id="1">
    <w:p w:rsidR="00E2001A" w:rsidRDefault="00E20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MT">
    <w:altName w:val="方正舒体"/>
    <w:panose1 w:val="00000000000000000000"/>
    <w:charset w:val="86"/>
    <w:family w:val="auto"/>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5" w:rsidRDefault="00211195">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5" w:rsidRDefault="00211195">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5" w:rsidRDefault="00211195">
    <w:pPr>
      <w:pStyle w:val="a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52" w:rsidRDefault="00640AAC" w:rsidP="00D30A52">
    <w:pPr>
      <w:pStyle w:val="aff"/>
    </w:pPr>
    <w:r>
      <w:fldChar w:fldCharType="begin"/>
    </w:r>
    <w:r w:rsidR="00D30A52">
      <w:instrText xml:space="preserve"> PAGE  \* MERGEFORMAT </w:instrText>
    </w:r>
    <w:r>
      <w:fldChar w:fldCharType="separate"/>
    </w:r>
    <w:r w:rsidR="001A3E38">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01A" w:rsidRDefault="00E2001A">
      <w:r>
        <w:separator/>
      </w:r>
    </w:p>
  </w:footnote>
  <w:footnote w:type="continuationSeparator" w:id="1">
    <w:p w:rsidR="00E2001A" w:rsidRDefault="00E20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5" w:rsidRDefault="00211195">
    <w:pPr>
      <w:pStyle w:val="a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5" w:rsidRDefault="00211195">
    <w:pPr>
      <w:pStyle w:val="af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5" w:rsidRDefault="00211195">
    <w:pPr>
      <w:pStyle w:val="af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52" w:rsidRDefault="00D30A52" w:rsidP="00F34B99">
    <w:pPr>
      <w:pStyle w:val="aff0"/>
    </w:pPr>
    <w:r>
      <w:t>GB/T 8297</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1"/>
      <w:numFmt w:val="lowerLetter"/>
      <w:lvlText w:val="%1）"/>
      <w:lvlJc w:val="left"/>
      <w:pPr>
        <w:tabs>
          <w:tab w:val="num" w:pos="780"/>
        </w:tabs>
        <w:ind w:left="780" w:hanging="360"/>
      </w:pPr>
      <w:rPr>
        <w:rFonts w:cs="Times New Roman" w:hint="eastAsia"/>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7">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3"/>
  </w:num>
  <w:num w:numId="2">
    <w:abstractNumId w:val="22"/>
  </w:num>
  <w:num w:numId="3">
    <w:abstractNumId w:val="1"/>
  </w:num>
  <w:num w:numId="4">
    <w:abstractNumId w:val="8"/>
  </w:num>
  <w:num w:numId="5">
    <w:abstractNumId w:val="5"/>
  </w:num>
  <w:num w:numId="6">
    <w:abstractNumId w:val="12"/>
  </w:num>
  <w:num w:numId="7">
    <w:abstractNumId w:val="17"/>
  </w:num>
  <w:num w:numId="8">
    <w:abstractNumId w:val="7"/>
  </w:num>
  <w:num w:numId="9">
    <w:abstractNumId w:val="19"/>
  </w:num>
  <w:num w:numId="10">
    <w:abstractNumId w:val="21"/>
  </w:num>
  <w:num w:numId="11">
    <w:abstractNumId w:val="2"/>
  </w:num>
  <w:num w:numId="12">
    <w:abstractNumId w:val="10"/>
  </w:num>
  <w:num w:numId="13">
    <w:abstractNumId w:val="4"/>
  </w:num>
  <w:num w:numId="14">
    <w:abstractNumId w:val="20"/>
  </w:num>
  <w:num w:numId="15">
    <w:abstractNumId w:val="18"/>
  </w:num>
  <w:num w:numId="16">
    <w:abstractNumId w:val="14"/>
  </w:num>
  <w:num w:numId="17">
    <w:abstractNumId w:val="11"/>
  </w:num>
  <w:num w:numId="18">
    <w:abstractNumId w:val="13"/>
  </w:num>
  <w:num w:numId="19">
    <w:abstractNumId w:val="9"/>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6"/>
  </w:num>
  <w:num w:numId="32">
    <w:abstractNumId w:val="24"/>
  </w:num>
  <w:num w:numId="33">
    <w:abstractNumId w:val="16"/>
  </w:num>
  <w:num w:numId="34">
    <w:abstractNumId w:val="23"/>
  </w:num>
  <w:num w:numId="35">
    <w:abstractNumId w:val="0"/>
  </w:num>
  <w:num w:numId="36">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bordersDoNotSurroundHeader/>
  <w:bordersDoNotSurroundFooter/>
  <w:attachedTemplate r:id="rId1"/>
  <w:stylePaneFormatFilter w:val="3F0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99C"/>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3724"/>
    <w:rsid w:val="000A48B1"/>
    <w:rsid w:val="000B3143"/>
    <w:rsid w:val="000C6850"/>
    <w:rsid w:val="000C6B05"/>
    <w:rsid w:val="000C6DD6"/>
    <w:rsid w:val="000C73D4"/>
    <w:rsid w:val="000D0E61"/>
    <w:rsid w:val="000D3D4C"/>
    <w:rsid w:val="000D4F51"/>
    <w:rsid w:val="000D718B"/>
    <w:rsid w:val="000E0205"/>
    <w:rsid w:val="000E0C46"/>
    <w:rsid w:val="000F030C"/>
    <w:rsid w:val="000F129C"/>
    <w:rsid w:val="001056DE"/>
    <w:rsid w:val="00106139"/>
    <w:rsid w:val="001124C0"/>
    <w:rsid w:val="0013175F"/>
    <w:rsid w:val="00146743"/>
    <w:rsid w:val="001512B4"/>
    <w:rsid w:val="001620A5"/>
    <w:rsid w:val="00164E53"/>
    <w:rsid w:val="0016699D"/>
    <w:rsid w:val="00175159"/>
    <w:rsid w:val="00176208"/>
    <w:rsid w:val="0018211B"/>
    <w:rsid w:val="001840D3"/>
    <w:rsid w:val="001900F8"/>
    <w:rsid w:val="00191258"/>
    <w:rsid w:val="00192680"/>
    <w:rsid w:val="00192861"/>
    <w:rsid w:val="00193037"/>
    <w:rsid w:val="00193A2C"/>
    <w:rsid w:val="001A288E"/>
    <w:rsid w:val="001A3E38"/>
    <w:rsid w:val="001B6DC2"/>
    <w:rsid w:val="001B71BB"/>
    <w:rsid w:val="001C149C"/>
    <w:rsid w:val="001C21AC"/>
    <w:rsid w:val="001C47BA"/>
    <w:rsid w:val="001C59EA"/>
    <w:rsid w:val="001D3537"/>
    <w:rsid w:val="001D406C"/>
    <w:rsid w:val="001D41EE"/>
    <w:rsid w:val="001E0380"/>
    <w:rsid w:val="001E13B1"/>
    <w:rsid w:val="001F1DA8"/>
    <w:rsid w:val="001F3A19"/>
    <w:rsid w:val="00211195"/>
    <w:rsid w:val="00234467"/>
    <w:rsid w:val="00237D8D"/>
    <w:rsid w:val="00241DA2"/>
    <w:rsid w:val="00247FEE"/>
    <w:rsid w:val="00250E7D"/>
    <w:rsid w:val="002565D5"/>
    <w:rsid w:val="002622C0"/>
    <w:rsid w:val="00262351"/>
    <w:rsid w:val="00263515"/>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4680A"/>
    <w:rsid w:val="0035323B"/>
    <w:rsid w:val="003570D0"/>
    <w:rsid w:val="003609D2"/>
    <w:rsid w:val="00363F22"/>
    <w:rsid w:val="00375564"/>
    <w:rsid w:val="0037705A"/>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359AE"/>
    <w:rsid w:val="00435FE5"/>
    <w:rsid w:val="00440EC3"/>
    <w:rsid w:val="00446B29"/>
    <w:rsid w:val="004474B7"/>
    <w:rsid w:val="00453F9A"/>
    <w:rsid w:val="00460A3A"/>
    <w:rsid w:val="004653D1"/>
    <w:rsid w:val="00471E91"/>
    <w:rsid w:val="00474675"/>
    <w:rsid w:val="0047470C"/>
    <w:rsid w:val="004A35F9"/>
    <w:rsid w:val="004B24C1"/>
    <w:rsid w:val="004C292F"/>
    <w:rsid w:val="005005BF"/>
    <w:rsid w:val="00510280"/>
    <w:rsid w:val="00513D73"/>
    <w:rsid w:val="00514A43"/>
    <w:rsid w:val="005174E5"/>
    <w:rsid w:val="00522393"/>
    <w:rsid w:val="00522620"/>
    <w:rsid w:val="00525656"/>
    <w:rsid w:val="0052732A"/>
    <w:rsid w:val="00531965"/>
    <w:rsid w:val="00534C02"/>
    <w:rsid w:val="0054264B"/>
    <w:rsid w:val="00543786"/>
    <w:rsid w:val="005533D7"/>
    <w:rsid w:val="005703DE"/>
    <w:rsid w:val="0058464E"/>
    <w:rsid w:val="005967EC"/>
    <w:rsid w:val="005A01CB"/>
    <w:rsid w:val="005A58FF"/>
    <w:rsid w:val="005A5EAF"/>
    <w:rsid w:val="005A64C0"/>
    <w:rsid w:val="005B3C11"/>
    <w:rsid w:val="005C1C28"/>
    <w:rsid w:val="005C208D"/>
    <w:rsid w:val="005C6DB5"/>
    <w:rsid w:val="005E19E7"/>
    <w:rsid w:val="0061716C"/>
    <w:rsid w:val="0062113E"/>
    <w:rsid w:val="006243A1"/>
    <w:rsid w:val="00632E56"/>
    <w:rsid w:val="00635CBA"/>
    <w:rsid w:val="0063645D"/>
    <w:rsid w:val="00640AAC"/>
    <w:rsid w:val="0064338B"/>
    <w:rsid w:val="00646542"/>
    <w:rsid w:val="006504F4"/>
    <w:rsid w:val="00654BC9"/>
    <w:rsid w:val="006552FD"/>
    <w:rsid w:val="00663AF3"/>
    <w:rsid w:val="00666B6C"/>
    <w:rsid w:val="00682682"/>
    <w:rsid w:val="00682702"/>
    <w:rsid w:val="00692368"/>
    <w:rsid w:val="006A1B87"/>
    <w:rsid w:val="006A2EBC"/>
    <w:rsid w:val="006A5EA0"/>
    <w:rsid w:val="006A783B"/>
    <w:rsid w:val="006A7B33"/>
    <w:rsid w:val="006B3839"/>
    <w:rsid w:val="006B4E13"/>
    <w:rsid w:val="006B75DD"/>
    <w:rsid w:val="006C67E0"/>
    <w:rsid w:val="006C7ABA"/>
    <w:rsid w:val="006D0D60"/>
    <w:rsid w:val="006D1122"/>
    <w:rsid w:val="006D3C00"/>
    <w:rsid w:val="006E3675"/>
    <w:rsid w:val="006E4A7F"/>
    <w:rsid w:val="006F6F7F"/>
    <w:rsid w:val="00704DF6"/>
    <w:rsid w:val="0070651C"/>
    <w:rsid w:val="0071229A"/>
    <w:rsid w:val="007132A3"/>
    <w:rsid w:val="00716421"/>
    <w:rsid w:val="00724EFB"/>
    <w:rsid w:val="007419C3"/>
    <w:rsid w:val="007467A7"/>
    <w:rsid w:val="007469DD"/>
    <w:rsid w:val="0074741B"/>
    <w:rsid w:val="0074759E"/>
    <w:rsid w:val="007478EA"/>
    <w:rsid w:val="0075415C"/>
    <w:rsid w:val="00763502"/>
    <w:rsid w:val="007913AB"/>
    <w:rsid w:val="007914F7"/>
    <w:rsid w:val="00797E54"/>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5F8B"/>
    <w:rsid w:val="007F758D"/>
    <w:rsid w:val="007F7D52"/>
    <w:rsid w:val="0080049F"/>
    <w:rsid w:val="0080654C"/>
    <w:rsid w:val="008071C6"/>
    <w:rsid w:val="00810A11"/>
    <w:rsid w:val="00815D43"/>
    <w:rsid w:val="00817A00"/>
    <w:rsid w:val="00833E6B"/>
    <w:rsid w:val="00835DB3"/>
    <w:rsid w:val="0083617B"/>
    <w:rsid w:val="008371BD"/>
    <w:rsid w:val="008504A8"/>
    <w:rsid w:val="0085282E"/>
    <w:rsid w:val="0087198C"/>
    <w:rsid w:val="00872C1F"/>
    <w:rsid w:val="00873B42"/>
    <w:rsid w:val="008828ED"/>
    <w:rsid w:val="008856D8"/>
    <w:rsid w:val="00892E82"/>
    <w:rsid w:val="008B73A1"/>
    <w:rsid w:val="008C1B58"/>
    <w:rsid w:val="008C39AE"/>
    <w:rsid w:val="008C545B"/>
    <w:rsid w:val="008C590D"/>
    <w:rsid w:val="008D06E9"/>
    <w:rsid w:val="008E031B"/>
    <w:rsid w:val="008E2826"/>
    <w:rsid w:val="008E7029"/>
    <w:rsid w:val="008E7EF6"/>
    <w:rsid w:val="008F1F98"/>
    <w:rsid w:val="008F6758"/>
    <w:rsid w:val="009040DD"/>
    <w:rsid w:val="00905B47"/>
    <w:rsid w:val="0091331C"/>
    <w:rsid w:val="009279DE"/>
    <w:rsid w:val="00930116"/>
    <w:rsid w:val="0094212C"/>
    <w:rsid w:val="009426D1"/>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97DD9"/>
    <w:rsid w:val="009A3A7C"/>
    <w:rsid w:val="009B2ADB"/>
    <w:rsid w:val="009B603A"/>
    <w:rsid w:val="009C2D0E"/>
    <w:rsid w:val="009C3DAC"/>
    <w:rsid w:val="009C42E0"/>
    <w:rsid w:val="009D3E48"/>
    <w:rsid w:val="009D5362"/>
    <w:rsid w:val="009E0CF6"/>
    <w:rsid w:val="009E1415"/>
    <w:rsid w:val="009E6116"/>
    <w:rsid w:val="00A02E43"/>
    <w:rsid w:val="00A065F9"/>
    <w:rsid w:val="00A07F34"/>
    <w:rsid w:val="00A17210"/>
    <w:rsid w:val="00A22154"/>
    <w:rsid w:val="00A25C38"/>
    <w:rsid w:val="00A36BBE"/>
    <w:rsid w:val="00A4307A"/>
    <w:rsid w:val="00A47EBB"/>
    <w:rsid w:val="00A51CDD"/>
    <w:rsid w:val="00A6730D"/>
    <w:rsid w:val="00A71625"/>
    <w:rsid w:val="00A71B9B"/>
    <w:rsid w:val="00A751C7"/>
    <w:rsid w:val="00A87844"/>
    <w:rsid w:val="00A87CDE"/>
    <w:rsid w:val="00A90C4A"/>
    <w:rsid w:val="00AA038C"/>
    <w:rsid w:val="00AA7A09"/>
    <w:rsid w:val="00AB3B50"/>
    <w:rsid w:val="00AC05B1"/>
    <w:rsid w:val="00AC71ED"/>
    <w:rsid w:val="00AD356C"/>
    <w:rsid w:val="00AE2914"/>
    <w:rsid w:val="00AE399C"/>
    <w:rsid w:val="00AE6D15"/>
    <w:rsid w:val="00B04182"/>
    <w:rsid w:val="00B07AE3"/>
    <w:rsid w:val="00B11430"/>
    <w:rsid w:val="00B26C40"/>
    <w:rsid w:val="00B353EB"/>
    <w:rsid w:val="00B4044F"/>
    <w:rsid w:val="00B439C4"/>
    <w:rsid w:val="00B4535E"/>
    <w:rsid w:val="00B52A8C"/>
    <w:rsid w:val="00B621E2"/>
    <w:rsid w:val="00B636A8"/>
    <w:rsid w:val="00B665C6"/>
    <w:rsid w:val="00B805AF"/>
    <w:rsid w:val="00B83E5A"/>
    <w:rsid w:val="00B869EC"/>
    <w:rsid w:val="00B9397A"/>
    <w:rsid w:val="00B9633D"/>
    <w:rsid w:val="00BA2EBE"/>
    <w:rsid w:val="00BB0F28"/>
    <w:rsid w:val="00BB458A"/>
    <w:rsid w:val="00BD00D3"/>
    <w:rsid w:val="00BD1659"/>
    <w:rsid w:val="00BD37E0"/>
    <w:rsid w:val="00BD3AA9"/>
    <w:rsid w:val="00BD4A18"/>
    <w:rsid w:val="00BD6DB2"/>
    <w:rsid w:val="00BE11CF"/>
    <w:rsid w:val="00BE2013"/>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05D5"/>
    <w:rsid w:val="00C65BCC"/>
    <w:rsid w:val="00C66970"/>
    <w:rsid w:val="00C8691C"/>
    <w:rsid w:val="00CA168A"/>
    <w:rsid w:val="00CA357E"/>
    <w:rsid w:val="00CA44F9"/>
    <w:rsid w:val="00CA4A69"/>
    <w:rsid w:val="00CC3E0C"/>
    <w:rsid w:val="00CC58D3"/>
    <w:rsid w:val="00CC784D"/>
    <w:rsid w:val="00D0337B"/>
    <w:rsid w:val="00D079B2"/>
    <w:rsid w:val="00D114E9"/>
    <w:rsid w:val="00D30A52"/>
    <w:rsid w:val="00D33759"/>
    <w:rsid w:val="00D340DE"/>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D68D4"/>
    <w:rsid w:val="00DE35CB"/>
    <w:rsid w:val="00DF21E9"/>
    <w:rsid w:val="00E00F14"/>
    <w:rsid w:val="00E06386"/>
    <w:rsid w:val="00E2001A"/>
    <w:rsid w:val="00E24EB4"/>
    <w:rsid w:val="00E320ED"/>
    <w:rsid w:val="00E33AFB"/>
    <w:rsid w:val="00E34218"/>
    <w:rsid w:val="00E42A97"/>
    <w:rsid w:val="00E46282"/>
    <w:rsid w:val="00E5216E"/>
    <w:rsid w:val="00E650AF"/>
    <w:rsid w:val="00E82344"/>
    <w:rsid w:val="00E84C82"/>
    <w:rsid w:val="00E84D64"/>
    <w:rsid w:val="00E87408"/>
    <w:rsid w:val="00E914C4"/>
    <w:rsid w:val="00E934F5"/>
    <w:rsid w:val="00E96961"/>
    <w:rsid w:val="00EA72EC"/>
    <w:rsid w:val="00EB11CB"/>
    <w:rsid w:val="00EB24A0"/>
    <w:rsid w:val="00EB275A"/>
    <w:rsid w:val="00EB48ED"/>
    <w:rsid w:val="00EB786A"/>
    <w:rsid w:val="00EC1578"/>
    <w:rsid w:val="00EC1C72"/>
    <w:rsid w:val="00EC3CC9"/>
    <w:rsid w:val="00EC4B48"/>
    <w:rsid w:val="00EC680A"/>
    <w:rsid w:val="00EE2BED"/>
    <w:rsid w:val="00EE374B"/>
    <w:rsid w:val="00EE577B"/>
    <w:rsid w:val="00EF1057"/>
    <w:rsid w:val="00F00906"/>
    <w:rsid w:val="00F11BB5"/>
    <w:rsid w:val="00F1417B"/>
    <w:rsid w:val="00F34B99"/>
    <w:rsid w:val="00F50101"/>
    <w:rsid w:val="00F52DAB"/>
    <w:rsid w:val="00F543F0"/>
    <w:rsid w:val="00F71351"/>
    <w:rsid w:val="00F77492"/>
    <w:rsid w:val="00F81D29"/>
    <w:rsid w:val="00F91C4D"/>
    <w:rsid w:val="00F92FD9"/>
    <w:rsid w:val="00FA6684"/>
    <w:rsid w:val="00FA731E"/>
    <w:rsid w:val="00FB2B38"/>
    <w:rsid w:val="00FC6358"/>
    <w:rsid w:val="00FD2AE7"/>
    <w:rsid w:val="00FD320D"/>
    <w:rsid w:val="00FE1E9A"/>
    <w:rsid w:val="00FE2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035925"/>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b"/>
    <w:link w:val="afe"/>
    <w:rsid w:val="00035925"/>
    <w:rPr>
      <w:rFonts w:ascii="宋体"/>
      <w:noProof/>
      <w:sz w:val="21"/>
      <w:lang w:val="en-US" w:eastAsia="zh-CN" w:bidi="ar-SA"/>
    </w:rPr>
  </w:style>
  <w:style w:type="paragraph" w:customStyle="1" w:styleId="a1">
    <w:name w:val="一级条标题"/>
    <w:next w:val="afe"/>
    <w:rsid w:val="001C149C"/>
    <w:pPr>
      <w:numPr>
        <w:ilvl w:val="1"/>
        <w:numId w:val="31"/>
      </w:numPr>
      <w:spacing w:beforeLines="50" w:afterLines="50"/>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31"/>
      </w:numPr>
      <w:spacing w:beforeLines="100" w:afterLines="100"/>
      <w:jc w:val="both"/>
      <w:outlineLvl w:val="1"/>
    </w:pPr>
    <w:rPr>
      <w:rFonts w:ascii="黑体" w:eastAsia="黑体"/>
      <w:sz w:val="21"/>
    </w:rPr>
  </w:style>
  <w:style w:type="paragraph" w:customStyle="1" w:styleId="a2">
    <w:name w:val="二级条标题"/>
    <w:basedOn w:val="a1"/>
    <w:next w:val="afe"/>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4"/>
      </w:numPr>
      <w:jc w:val="both"/>
    </w:pPr>
    <w:rPr>
      <w:rFonts w:ascii="宋体"/>
      <w:sz w:val="21"/>
    </w:rPr>
  </w:style>
  <w:style w:type="paragraph" w:customStyle="1" w:styleId="a9">
    <w:name w:val="列项●（二级）"/>
    <w:rsid w:val="00BE55CB"/>
    <w:pPr>
      <w:numPr>
        <w:ilvl w:val="1"/>
        <w:numId w:val="4"/>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17"/>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17"/>
      </w:numPr>
      <w:jc w:val="both"/>
    </w:pPr>
    <w:rPr>
      <w:rFonts w:ascii="宋体"/>
      <w:sz w:val="21"/>
    </w:rPr>
  </w:style>
  <w:style w:type="paragraph" w:customStyle="1" w:styleId="aa">
    <w:name w:val="列项◆（三级）"/>
    <w:basedOn w:val="afa"/>
    <w:rsid w:val="00BE55CB"/>
    <w:pPr>
      <w:numPr>
        <w:ilvl w:val="2"/>
        <w:numId w:val="4"/>
      </w:numPr>
    </w:pPr>
    <w:rPr>
      <w:rFonts w:ascii="宋体"/>
      <w:szCs w:val="21"/>
    </w:rPr>
  </w:style>
  <w:style w:type="paragraph" w:customStyle="1" w:styleId="ae">
    <w:name w:val="编号列项（三级）"/>
    <w:rsid w:val="003E5729"/>
    <w:pPr>
      <w:numPr>
        <w:ilvl w:val="2"/>
        <w:numId w:val="17"/>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rsid w:val="000D718B"/>
  </w:style>
  <w:style w:type="paragraph" w:customStyle="1" w:styleId="a">
    <w:name w:val="注×：（正文）"/>
    <w:rsid w:val="000D718B"/>
    <w:pPr>
      <w:numPr>
        <w:numId w:val="5"/>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b"/>
    <w:rsid w:val="00083A09"/>
    <w:rPr>
      <w:noProof/>
      <w:color w:val="0000FF"/>
      <w:spacing w:val="0"/>
      <w:w w:val="100"/>
      <w:szCs w:val="21"/>
      <w:u w:val="single"/>
    </w:rPr>
  </w:style>
  <w:style w:type="character" w:customStyle="1" w:styleId="afff3">
    <w:name w:val="发布"/>
    <w:basedOn w:val="afb"/>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0"/>
    <w:qFormat/>
    <w:rsid w:val="00083A09"/>
  </w:style>
  <w:style w:type="character" w:customStyle="1" w:styleId="Char0">
    <w:name w:val="附录公式 Char"/>
    <w:basedOn w:val="Char"/>
    <w:link w:val="affff"/>
    <w:rsid w:val="00083A09"/>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autoSpaceDN w:val="0"/>
      <w:spacing w:beforeLines="50" w:afterLines="50"/>
      <w:outlineLvl w:val="2"/>
    </w:pPr>
  </w:style>
  <w:style w:type="paragraph" w:customStyle="1" w:styleId="affff4">
    <w:name w:val="附录一级无"/>
    <w:basedOn w:val="af3"/>
    <w:rsid w:val="00BF617A"/>
    <w:pPr>
      <w:spacing w:beforeLines="0" w:afterLines="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b">
    <w:name w:val="footnote text"/>
    <w:basedOn w:val="afa"/>
    <w:rsid w:val="00074FBE"/>
    <w:pPr>
      <w:numPr>
        <w:numId w:val="12"/>
      </w:numPr>
      <w:snapToGrid w:val="0"/>
      <w:jc w:val="left"/>
    </w:pPr>
    <w:rPr>
      <w:rFonts w:ascii="宋体"/>
      <w:sz w:val="18"/>
      <w:szCs w:val="18"/>
    </w:rPr>
  </w:style>
  <w:style w:type="character" w:styleId="affff5">
    <w:name w:val="footnote reference"/>
    <w:basedOn w:val="afb"/>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a"/>
    <w:next w:val="afa"/>
    <w:autoRedefine/>
    <w:semiHidden/>
    <w:rsid w:val="00961C93"/>
    <w:pPr>
      <w:tabs>
        <w:tab w:val="right" w:leader="dot" w:pos="9241"/>
      </w:tabs>
      <w:ind w:firstLineChars="100" w:firstLine="100"/>
      <w:jc w:val="left"/>
    </w:pPr>
    <w:rPr>
      <w:rFonts w:ascii="宋体"/>
      <w:szCs w:val="21"/>
    </w:rPr>
  </w:style>
  <w:style w:type="paragraph" w:styleId="4">
    <w:name w:val="toc 4"/>
    <w:basedOn w:val="afa"/>
    <w:next w:val="afa"/>
    <w:autoRedefine/>
    <w:semiHidden/>
    <w:rsid w:val="00961C93"/>
    <w:pPr>
      <w:tabs>
        <w:tab w:val="right" w:leader="dot" w:pos="9241"/>
      </w:tabs>
      <w:ind w:firstLineChars="200" w:firstLine="200"/>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0"/>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0"/>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1"/>
    <w:qFormat/>
    <w:rsid w:val="00083A09"/>
    <w:pPr>
      <w:tabs>
        <w:tab w:val="num" w:pos="360"/>
      </w:tabs>
    </w:pPr>
    <w:rPr>
      <w:rFonts w:ascii="宋体" w:hAnsi="宋体"/>
      <w:kern w:val="2"/>
      <w:sz w:val="18"/>
      <w:szCs w:val="18"/>
    </w:rPr>
  </w:style>
  <w:style w:type="character" w:customStyle="1" w:styleId="Char1">
    <w:name w:val="首示例 Char"/>
    <w:basedOn w:val="afb"/>
    <w:link w:val="afffff0"/>
    <w:rsid w:val="00083A09"/>
    <w:rPr>
      <w:rFonts w:ascii="宋体" w:hAnsi="宋体"/>
      <w:kern w:val="2"/>
      <w:sz w:val="18"/>
      <w:szCs w:val="18"/>
    </w:rPr>
  </w:style>
  <w:style w:type="paragraph" w:customStyle="1" w:styleId="afffff1">
    <w:name w:val="四级无"/>
    <w:basedOn w:val="a4"/>
    <w:rsid w:val="001C149C"/>
    <w:pPr>
      <w:spacing w:beforeLines="0" w:afterLines="0"/>
    </w:pPr>
    <w:rPr>
      <w:rFonts w:ascii="宋体" w:eastAsia="宋体"/>
    </w:rPr>
  </w:style>
  <w:style w:type="paragraph" w:styleId="10">
    <w:name w:val="index 1"/>
    <w:basedOn w:val="afa"/>
    <w:next w:val="afe"/>
    <w:rsid w:val="009951DC"/>
    <w:pPr>
      <w:tabs>
        <w:tab w:val="right" w:leader="dot" w:pos="9299"/>
      </w:tabs>
      <w:jc w:val="left"/>
    </w:pPr>
    <w:rPr>
      <w:rFonts w:ascii="宋体"/>
      <w:szCs w:val="21"/>
    </w:rPr>
  </w:style>
  <w:style w:type="paragraph" w:styleId="20">
    <w:name w:val="index 2"/>
    <w:basedOn w:val="afa"/>
    <w:next w:val="afa"/>
    <w:autoRedefine/>
    <w:rsid w:val="00083A09"/>
    <w:pPr>
      <w:ind w:left="420" w:hanging="210"/>
      <w:jc w:val="left"/>
    </w:pPr>
    <w:rPr>
      <w:rFonts w:ascii="Calibri" w:hAnsi="Calibri"/>
      <w:sz w:val="20"/>
      <w:szCs w:val="20"/>
    </w:rPr>
  </w:style>
  <w:style w:type="paragraph" w:styleId="30">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0"/>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basedOn w:val="afb"/>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basedOn w:val="afb"/>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basedOn w:val="afb"/>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1">
    <w:name w:val="封面标准名称2"/>
    <w:basedOn w:val="afff7"/>
    <w:rsid w:val="0028269A"/>
    <w:pPr>
      <w:framePr w:wrap="around" w:y="4469"/>
      <w:spacing w:beforeLines="630"/>
    </w:pPr>
  </w:style>
  <w:style w:type="paragraph" w:customStyle="1" w:styleId="22">
    <w:name w:val="封面标准英文名称2"/>
    <w:basedOn w:val="afff8"/>
    <w:rsid w:val="0028269A"/>
    <w:pPr>
      <w:framePr w:wrap="around" w:y="4469"/>
    </w:pPr>
  </w:style>
  <w:style w:type="paragraph" w:customStyle="1" w:styleId="23">
    <w:name w:val="封面一致性程度标识2"/>
    <w:basedOn w:val="afff9"/>
    <w:rsid w:val="0028269A"/>
    <w:pPr>
      <w:framePr w:wrap="around" w:y="4469"/>
    </w:pPr>
  </w:style>
  <w:style w:type="paragraph" w:customStyle="1" w:styleId="24">
    <w:name w:val="封面标准文稿类别2"/>
    <w:basedOn w:val="afffa"/>
    <w:rsid w:val="0028269A"/>
    <w:pPr>
      <w:framePr w:wrap="around" w:y="4469"/>
    </w:pPr>
  </w:style>
  <w:style w:type="paragraph" w:customStyle="1" w:styleId="25">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character" w:customStyle="1" w:styleId="Char2">
    <w:name w:val="二级条标题 Char"/>
    <w:basedOn w:val="afb"/>
    <w:rsid w:val="00D30A52"/>
    <w:rPr>
      <w:rFonts w:eastAsia="黑体"/>
      <w:sz w:val="21"/>
      <w:lang w:val="en-US" w:eastAsia="zh-CN"/>
    </w:rPr>
  </w:style>
  <w:style w:type="paragraph" w:styleId="11">
    <w:name w:val="toc 1"/>
    <w:basedOn w:val="afa"/>
    <w:next w:val="afa"/>
    <w:autoRedefine/>
    <w:semiHidden/>
    <w:rsid w:val="00961C93"/>
    <w:pPr>
      <w:tabs>
        <w:tab w:val="right" w:leader="dot" w:pos="9242"/>
      </w:tabs>
      <w:spacing w:beforeLines="25" w:afterLines="25"/>
      <w:jc w:val="left"/>
    </w:pPr>
    <w:rPr>
      <w:rFonts w:ascii="宋体"/>
      <w:szCs w:val="21"/>
    </w:rPr>
  </w:style>
  <w:style w:type="paragraph" w:styleId="26">
    <w:name w:val="toc 2"/>
    <w:basedOn w:val="afa"/>
    <w:next w:val="afa"/>
    <w:autoRedefine/>
    <w:semiHidden/>
    <w:rsid w:val="00961C93"/>
    <w:pPr>
      <w:tabs>
        <w:tab w:val="right" w:leader="dot" w:pos="9242"/>
      </w:tabs>
    </w:pPr>
    <w:rPr>
      <w:rFonts w:ascii="宋体"/>
      <w:szCs w:val="21"/>
    </w:rPr>
  </w:style>
  <w:style w:type="paragraph" w:styleId="affffff7">
    <w:name w:val="Balloon Text"/>
    <w:basedOn w:val="afa"/>
    <w:link w:val="Char3"/>
    <w:rsid w:val="00211195"/>
    <w:rPr>
      <w:sz w:val="18"/>
      <w:szCs w:val="18"/>
    </w:rPr>
  </w:style>
  <w:style w:type="character" w:customStyle="1" w:styleId="Char3">
    <w:name w:val="批注框文本 Char"/>
    <w:basedOn w:val="afb"/>
    <w:link w:val="affffff7"/>
    <w:rsid w:val="0021119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6.wmf"/><Relationship Id="rId10" Type="http://schemas.openxmlformats.org/officeDocument/2006/relationships/header" Target="header2.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E-disk\&#26032;&#24314;&#25991;&#20214;&#22841;2008-2\&#26631;&#20934;&#20462;&#35746;&#21644;&#32763;&#35793;\&#27987;&#32553;&#22825;&#28982;&#33014;&#20083;%20KOH&#30340;&#27979;&#23450;\&#27987;&#32553;&#22825;&#28982;&#33014;&#20083;%20&#27682;&#27687;&#21270;&#38078;&#65288;KOH&#65289;&#20540;&#30340;&#27979;&#23450;.tc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浓缩天然胶乳 氢氧化钾（KOH）值的测定.tcs</Template>
  <TotalTime>362</TotalTime>
  <Pages>11</Pages>
  <Words>950</Words>
  <Characters>5415</Characters>
  <Application>Microsoft Office Word</Application>
  <DocSecurity>0</DocSecurity>
  <Lines>45</Lines>
  <Paragraphs>12</Paragraphs>
  <ScaleCrop>false</ScaleCrop>
  <Company>zle</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Sky123.Org</dc:creator>
  <cp:keywords/>
  <dc:description/>
  <cp:lastModifiedBy>jgs-yuhp</cp:lastModifiedBy>
  <cp:revision>23</cp:revision>
  <cp:lastPrinted>2016-08-10T03:57:00Z</cp:lastPrinted>
  <dcterms:created xsi:type="dcterms:W3CDTF">2015-11-23T03:07:00Z</dcterms:created>
  <dcterms:modified xsi:type="dcterms:W3CDTF">2016-08-23T02:53:00Z</dcterms:modified>
</cp:coreProperties>
</file>